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B77F5" w:rsidRPr="00AB6097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B6097" w:rsidRDefault="00EC4E49" w:rsidP="00180819">
            <w:pPr>
              <w:pStyle w:val="Caption"/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B6097" w:rsidRDefault="00080016" w:rsidP="00180819">
            <w:pPr>
              <w:rPr>
                <w:lang w:val="es-ES"/>
              </w:rPr>
            </w:pPr>
            <w:r w:rsidRPr="00AB6097">
              <w:rPr>
                <w:noProof/>
                <w:lang w:eastAsia="en-US"/>
              </w:rPr>
              <w:drawing>
                <wp:inline distT="0" distB="0" distL="0" distR="0" wp14:anchorId="36AE26FE" wp14:editId="521AB98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B6097" w:rsidRDefault="00080016" w:rsidP="00180819">
            <w:pPr>
              <w:jc w:val="right"/>
              <w:rPr>
                <w:lang w:val="es-ES"/>
              </w:rPr>
            </w:pPr>
            <w:r w:rsidRPr="00AB6097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3B77F5" w:rsidRPr="00AB609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079B" w:rsidRPr="00AB6097" w:rsidRDefault="004C079B" w:rsidP="0087409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B6097">
              <w:rPr>
                <w:rFonts w:ascii="Arial Black" w:hAnsi="Arial Black"/>
                <w:caps/>
                <w:sz w:val="15"/>
                <w:lang w:val="es-ES"/>
              </w:rPr>
              <w:t>CWS/</w:t>
            </w:r>
            <w:r w:rsidR="00925CAB" w:rsidRPr="00AB6097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Pr="00AB6097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3E02D3" w:rsidRPr="00AB6097">
              <w:rPr>
                <w:rFonts w:ascii="Arial Black" w:hAnsi="Arial Black"/>
                <w:caps/>
                <w:sz w:val="15"/>
                <w:lang w:val="es-ES"/>
              </w:rPr>
              <w:t>17</w:t>
            </w:r>
            <w:r w:rsidRPr="00AB6097">
              <w:rPr>
                <w:rFonts w:ascii="Arial Black" w:hAnsi="Arial Black"/>
                <w:caps/>
                <w:sz w:val="15"/>
                <w:lang w:val="es-ES"/>
              </w:rPr>
              <w:t xml:space="preserve">    </w:t>
            </w:r>
          </w:p>
        </w:tc>
      </w:tr>
      <w:tr w:rsidR="003B77F5" w:rsidRPr="00AB609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079B" w:rsidRPr="00AB6097" w:rsidRDefault="004C079B" w:rsidP="0018081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B6097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r w:rsidR="00080016" w:rsidRPr="00AB6097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3B77F5" w:rsidRPr="00AB609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079B" w:rsidRPr="00AB6097" w:rsidRDefault="00080016" w:rsidP="0018081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B6097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4C079B" w:rsidRPr="00AB6097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r w:rsidR="009551E4" w:rsidRPr="00AB6097">
              <w:rPr>
                <w:rFonts w:ascii="Arial Black" w:hAnsi="Arial Black"/>
                <w:caps/>
                <w:sz w:val="15"/>
                <w:lang w:val="es-ES"/>
              </w:rPr>
              <w:t>4</w:t>
            </w:r>
            <w:r w:rsidRPr="00AB6097">
              <w:rPr>
                <w:rFonts w:ascii="Arial Black" w:hAnsi="Arial Black"/>
                <w:caps/>
                <w:sz w:val="15"/>
                <w:lang w:val="es-ES"/>
              </w:rPr>
              <w:t xml:space="preserve"> DE ABRIL DE</w:t>
            </w:r>
            <w:r w:rsidR="004C079B" w:rsidRPr="00AB6097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925CAB" w:rsidRPr="00AB6097">
              <w:rPr>
                <w:rFonts w:ascii="Arial Black" w:hAnsi="Arial Black"/>
                <w:caps/>
                <w:sz w:val="15"/>
                <w:lang w:val="es-ES"/>
              </w:rPr>
              <w:t>7</w:t>
            </w:r>
          </w:p>
        </w:tc>
      </w:tr>
    </w:tbl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rPr>
          <w:b/>
          <w:sz w:val="28"/>
          <w:szCs w:val="28"/>
          <w:lang w:val="es-ES"/>
        </w:rPr>
      </w:pPr>
      <w:r w:rsidRPr="00AB6097">
        <w:rPr>
          <w:b/>
          <w:sz w:val="28"/>
          <w:szCs w:val="28"/>
          <w:lang w:val="es-ES"/>
        </w:rPr>
        <w:t>Comité de Normas Técnicas de la OMPI (CWS)</w:t>
      </w:r>
      <w:bookmarkStart w:id="0" w:name="_GoBack"/>
      <w:bookmarkEnd w:id="0"/>
    </w:p>
    <w:p w:rsidR="00080016" w:rsidRPr="00180819" w:rsidRDefault="00080016" w:rsidP="00180819">
      <w:pPr>
        <w:rPr>
          <w:szCs w:val="28"/>
          <w:lang w:val="es-ES"/>
        </w:rPr>
      </w:pPr>
    </w:p>
    <w:p w:rsidR="00080016" w:rsidRPr="00180819" w:rsidRDefault="00080016" w:rsidP="00180819">
      <w:pPr>
        <w:rPr>
          <w:szCs w:val="28"/>
          <w:lang w:val="es-ES"/>
        </w:rPr>
      </w:pPr>
    </w:p>
    <w:p w:rsidR="00080016" w:rsidRPr="00AB6097" w:rsidRDefault="00080016" w:rsidP="00180819">
      <w:pPr>
        <w:rPr>
          <w:b/>
          <w:sz w:val="28"/>
          <w:szCs w:val="28"/>
          <w:lang w:val="es-ES"/>
        </w:rPr>
      </w:pPr>
      <w:r w:rsidRPr="00AB6097">
        <w:rPr>
          <w:b/>
          <w:sz w:val="28"/>
          <w:szCs w:val="28"/>
          <w:lang w:val="es-ES"/>
        </w:rPr>
        <w:t xml:space="preserve">Quinta </w:t>
      </w:r>
      <w:r w:rsidR="00180819">
        <w:rPr>
          <w:b/>
          <w:sz w:val="28"/>
          <w:szCs w:val="28"/>
          <w:lang w:val="es-ES"/>
        </w:rPr>
        <w:t>S</w:t>
      </w:r>
      <w:r w:rsidRPr="00AB6097">
        <w:rPr>
          <w:b/>
          <w:sz w:val="28"/>
          <w:szCs w:val="28"/>
          <w:lang w:val="es-ES"/>
        </w:rPr>
        <w:t>esión</w:t>
      </w:r>
    </w:p>
    <w:p w:rsidR="00080016" w:rsidRPr="00AB6097" w:rsidRDefault="00080016" w:rsidP="00180819">
      <w:pPr>
        <w:rPr>
          <w:b/>
          <w:sz w:val="24"/>
          <w:szCs w:val="24"/>
          <w:lang w:val="es-ES"/>
        </w:rPr>
      </w:pPr>
      <w:r w:rsidRPr="00AB6097">
        <w:rPr>
          <w:b/>
          <w:sz w:val="28"/>
          <w:szCs w:val="28"/>
          <w:lang w:val="es-ES"/>
        </w:rPr>
        <w:t>Ginebra, 29 de mayo a 2 de junio de 2017</w:t>
      </w:r>
    </w:p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pStyle w:val="Heading2"/>
        <w:spacing w:before="0"/>
        <w:rPr>
          <w:lang w:val="es-ES"/>
        </w:rPr>
      </w:pPr>
      <w:bookmarkStart w:id="1" w:name="task_creation_dsgn_elecvis"/>
      <w:r w:rsidRPr="00AB6097">
        <w:rPr>
          <w:lang w:val="es-ES"/>
        </w:rPr>
        <w:t>Creación de una tarea para establecer los requisitos relativos a las representaciones visuales de dibujos y modelos industriales presentadas en formato electrónico</w:t>
      </w:r>
      <w:bookmarkEnd w:id="1"/>
    </w:p>
    <w:p w:rsidR="002D0648" w:rsidRDefault="002D0648" w:rsidP="00180819">
      <w:pPr>
        <w:rPr>
          <w:lang w:val="es-ES"/>
        </w:rPr>
      </w:pPr>
    </w:p>
    <w:p w:rsidR="00180819" w:rsidRPr="00AB6097" w:rsidRDefault="00180819" w:rsidP="00180819">
      <w:pPr>
        <w:rPr>
          <w:lang w:val="es-ES"/>
        </w:rPr>
      </w:pPr>
    </w:p>
    <w:p w:rsidR="00080016" w:rsidRPr="00AB6097" w:rsidRDefault="00080016" w:rsidP="00180819">
      <w:pPr>
        <w:rPr>
          <w:i/>
          <w:lang w:val="es-ES"/>
        </w:rPr>
      </w:pPr>
      <w:r w:rsidRPr="00AB6097">
        <w:rPr>
          <w:i/>
          <w:lang w:val="es-ES"/>
        </w:rPr>
        <w:t>Documento preparado por la Secretaría</w:t>
      </w:r>
    </w:p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rPr>
          <w:lang w:val="es-ES"/>
        </w:rPr>
      </w:pPr>
    </w:p>
    <w:p w:rsidR="00080016" w:rsidRPr="00AB6097" w:rsidRDefault="00080016" w:rsidP="00180819">
      <w:pPr>
        <w:pStyle w:val="ONUME"/>
        <w:rPr>
          <w:lang w:val="es-ES"/>
        </w:rPr>
      </w:pPr>
      <w:r w:rsidRPr="00AB6097">
        <w:rPr>
          <w:lang w:val="es-ES"/>
        </w:rPr>
        <w:t>El</w:t>
      </w:r>
      <w:r w:rsidR="003E02D3" w:rsidRPr="00AB6097">
        <w:rPr>
          <w:lang w:val="es-ES"/>
        </w:rPr>
        <w:t xml:space="preserve"> </w:t>
      </w:r>
      <w:r w:rsidRPr="00AB6097">
        <w:rPr>
          <w:lang w:val="es-ES"/>
        </w:rPr>
        <w:t>15 de febrero de</w:t>
      </w:r>
      <w:r w:rsidR="003E02D3" w:rsidRPr="00AB6097">
        <w:rPr>
          <w:lang w:val="es-ES"/>
        </w:rPr>
        <w:t xml:space="preserve"> 2017, </w:t>
      </w:r>
      <w:r w:rsidRPr="00AB6097">
        <w:rPr>
          <w:lang w:val="es-ES"/>
        </w:rPr>
        <w:t xml:space="preserve">IP Australia </w:t>
      </w:r>
      <w:r w:rsidR="003B77F5" w:rsidRPr="00AB6097">
        <w:rPr>
          <w:lang w:val="es-ES"/>
        </w:rPr>
        <w:t>envió</w:t>
      </w:r>
      <w:r w:rsidRPr="00AB6097">
        <w:rPr>
          <w:lang w:val="es-ES"/>
        </w:rPr>
        <w:t xml:space="preserve"> una carta a la</w:t>
      </w:r>
      <w:r w:rsidR="003E02D3" w:rsidRPr="00AB6097">
        <w:rPr>
          <w:lang w:val="es-ES"/>
        </w:rPr>
        <w:t xml:space="preserve"> </w:t>
      </w:r>
      <w:r w:rsidR="003B77F5" w:rsidRPr="00AB6097">
        <w:rPr>
          <w:lang w:val="es-ES"/>
        </w:rPr>
        <w:t>Secretaría</w:t>
      </w:r>
      <w:r w:rsidR="003E02D3" w:rsidRPr="00AB6097">
        <w:rPr>
          <w:lang w:val="es-ES"/>
        </w:rPr>
        <w:t xml:space="preserve"> </w:t>
      </w:r>
      <w:r w:rsidRPr="00AB6097">
        <w:rPr>
          <w:lang w:val="es-ES"/>
        </w:rPr>
        <w:t xml:space="preserve">en la que propuso que el </w:t>
      </w:r>
      <w:r w:rsidRPr="00AB6097">
        <w:rPr>
          <w:szCs w:val="22"/>
          <w:lang w:val="es-ES"/>
        </w:rPr>
        <w:t>Comité de Normas Técnicas de la OMPI (CWS</w:t>
      </w:r>
      <w:r w:rsidR="00470C5B" w:rsidRPr="00AB6097">
        <w:rPr>
          <w:szCs w:val="22"/>
          <w:lang w:val="es-ES"/>
        </w:rPr>
        <w:t xml:space="preserve">) </w:t>
      </w:r>
      <w:r w:rsidRPr="00AB6097">
        <w:rPr>
          <w:szCs w:val="22"/>
          <w:lang w:val="es-ES"/>
        </w:rPr>
        <w:t>iniciara un debate sobre una norma relativa a la</w:t>
      </w:r>
      <w:r w:rsidR="003B77F5" w:rsidRPr="00AB6097">
        <w:rPr>
          <w:szCs w:val="22"/>
          <w:lang w:val="es-ES"/>
        </w:rPr>
        <w:t>s</w:t>
      </w:r>
      <w:r w:rsidRPr="00AB6097">
        <w:rPr>
          <w:szCs w:val="22"/>
          <w:lang w:val="es-ES"/>
        </w:rPr>
        <w:t xml:space="preserve"> </w:t>
      </w:r>
      <w:r w:rsidR="003B77F5" w:rsidRPr="00AB6097">
        <w:rPr>
          <w:szCs w:val="22"/>
          <w:lang w:val="es-ES"/>
        </w:rPr>
        <w:t xml:space="preserve">vistas </w:t>
      </w:r>
      <w:r w:rsidRPr="00AB6097">
        <w:rPr>
          <w:szCs w:val="22"/>
          <w:lang w:val="es-ES"/>
        </w:rPr>
        <w:t>gráfica</w:t>
      </w:r>
      <w:r w:rsidR="003B77F5" w:rsidRPr="00AB6097">
        <w:rPr>
          <w:szCs w:val="22"/>
          <w:lang w:val="es-ES"/>
        </w:rPr>
        <w:t>s</w:t>
      </w:r>
      <w:r w:rsidRPr="00AB6097">
        <w:rPr>
          <w:szCs w:val="22"/>
          <w:lang w:val="es-ES"/>
        </w:rPr>
        <w:t xml:space="preserve"> de los </w:t>
      </w:r>
      <w:r w:rsidR="003B77F5" w:rsidRPr="00AB6097">
        <w:rPr>
          <w:szCs w:val="22"/>
          <w:lang w:val="es-ES"/>
        </w:rPr>
        <w:t>dibujos y modelo</w:t>
      </w:r>
      <w:r w:rsidRPr="00AB6097">
        <w:rPr>
          <w:szCs w:val="22"/>
          <w:lang w:val="es-ES"/>
        </w:rPr>
        <w:t xml:space="preserve">s </w:t>
      </w:r>
      <w:r w:rsidR="00106B37" w:rsidRPr="00AB6097">
        <w:rPr>
          <w:szCs w:val="22"/>
          <w:lang w:val="es-ES"/>
        </w:rPr>
        <w:t xml:space="preserve">industriales </w:t>
      </w:r>
      <w:r w:rsidRPr="00AB6097">
        <w:rPr>
          <w:szCs w:val="22"/>
          <w:lang w:val="es-ES"/>
        </w:rPr>
        <w:t>presentadas en formato electrónico</w:t>
      </w:r>
      <w:r w:rsidR="00562578" w:rsidRPr="00AB6097">
        <w:rPr>
          <w:lang w:val="es-ES"/>
        </w:rPr>
        <w:t xml:space="preserve">, </w:t>
      </w:r>
      <w:r w:rsidRPr="00AB6097">
        <w:rPr>
          <w:lang w:val="es-ES"/>
        </w:rPr>
        <w:t>e</w:t>
      </w:r>
      <w:r w:rsidR="00562578" w:rsidRPr="00AB6097">
        <w:rPr>
          <w:lang w:val="es-ES"/>
        </w:rPr>
        <w:t xml:space="preserve">n </w:t>
      </w:r>
      <w:r w:rsidRPr="00AB6097">
        <w:rPr>
          <w:lang w:val="es-ES"/>
        </w:rPr>
        <w:t>lo que atañe al formato de los ficheros</w:t>
      </w:r>
      <w:r w:rsidR="00562578" w:rsidRPr="00AB6097">
        <w:rPr>
          <w:lang w:val="es-ES"/>
        </w:rPr>
        <w:t xml:space="preserve">, </w:t>
      </w:r>
      <w:r w:rsidRPr="00AB6097">
        <w:rPr>
          <w:lang w:val="es-ES"/>
        </w:rPr>
        <w:t xml:space="preserve">la </w:t>
      </w:r>
      <w:r w:rsidR="003B77F5" w:rsidRPr="00AB6097">
        <w:rPr>
          <w:lang w:val="es-ES"/>
        </w:rPr>
        <w:t>resolución</w:t>
      </w:r>
      <w:r w:rsidR="00562578" w:rsidRPr="00AB6097">
        <w:rPr>
          <w:lang w:val="es-ES"/>
        </w:rPr>
        <w:t xml:space="preserve">, </w:t>
      </w:r>
      <w:r w:rsidRPr="00AB6097">
        <w:rPr>
          <w:lang w:val="es-ES"/>
        </w:rPr>
        <w:t xml:space="preserve">el tamaño y demás atributos </w:t>
      </w:r>
      <w:r w:rsidR="008C14AA" w:rsidRPr="00AB6097">
        <w:rPr>
          <w:lang w:val="es-ES"/>
        </w:rPr>
        <w:t>pertin</w:t>
      </w:r>
      <w:r w:rsidRPr="00AB6097">
        <w:rPr>
          <w:lang w:val="es-ES"/>
        </w:rPr>
        <w:t>entes</w:t>
      </w:r>
      <w:r w:rsidR="00562578" w:rsidRPr="00AB6097">
        <w:rPr>
          <w:lang w:val="es-ES"/>
        </w:rPr>
        <w:t xml:space="preserve">, </w:t>
      </w:r>
      <w:r w:rsidRPr="00AB6097">
        <w:rPr>
          <w:lang w:val="es-ES"/>
        </w:rPr>
        <w:t xml:space="preserve">con </w:t>
      </w:r>
      <w:r w:rsidR="003B77F5" w:rsidRPr="00AB6097">
        <w:rPr>
          <w:lang w:val="es-ES"/>
        </w:rPr>
        <w:t>el</w:t>
      </w:r>
      <w:r w:rsidRPr="00AB6097">
        <w:rPr>
          <w:lang w:val="es-ES"/>
        </w:rPr>
        <w:t xml:space="preserve"> fin de </w:t>
      </w:r>
      <w:r w:rsidR="003B77F5" w:rsidRPr="00AB6097">
        <w:rPr>
          <w:lang w:val="es-ES"/>
        </w:rPr>
        <w:t>ofrece</w:t>
      </w:r>
      <w:r w:rsidRPr="00AB6097">
        <w:rPr>
          <w:lang w:val="es-ES"/>
        </w:rPr>
        <w:t xml:space="preserve">r a las </w:t>
      </w:r>
      <w:r w:rsidR="000E41A6" w:rsidRPr="00AB6097">
        <w:rPr>
          <w:lang w:val="es-ES"/>
        </w:rPr>
        <w:t>oficinas</w:t>
      </w:r>
      <w:r w:rsidRPr="00AB6097">
        <w:rPr>
          <w:lang w:val="es-ES"/>
        </w:rPr>
        <w:t xml:space="preserve"> de propiedad industrial</w:t>
      </w:r>
      <w:r w:rsidR="000E41A6" w:rsidRPr="00AB6097">
        <w:rPr>
          <w:lang w:val="es-ES"/>
        </w:rPr>
        <w:t xml:space="preserve"> </w:t>
      </w:r>
      <w:r w:rsidR="00562578" w:rsidRPr="00AB6097">
        <w:rPr>
          <w:lang w:val="es-ES"/>
        </w:rPr>
        <w:t>(</w:t>
      </w:r>
      <w:r w:rsidRPr="00AB6097">
        <w:rPr>
          <w:lang w:val="es-ES"/>
        </w:rPr>
        <w:t>P.I.</w:t>
      </w:r>
      <w:r w:rsidR="000E41A6" w:rsidRPr="00AB6097">
        <w:rPr>
          <w:lang w:val="es-ES"/>
        </w:rPr>
        <w:t>)</w:t>
      </w:r>
      <w:r w:rsidR="00562578" w:rsidRPr="00AB6097">
        <w:rPr>
          <w:lang w:val="es-ES"/>
        </w:rPr>
        <w:t xml:space="preserve"> </w:t>
      </w:r>
      <w:r w:rsidR="000E41A6" w:rsidRPr="00AB6097">
        <w:rPr>
          <w:lang w:val="es-ES"/>
        </w:rPr>
        <w:t>y sus clientes</w:t>
      </w:r>
      <w:r w:rsidR="00562578" w:rsidRPr="00AB6097">
        <w:rPr>
          <w:lang w:val="es-ES"/>
        </w:rPr>
        <w:t xml:space="preserve"> </w:t>
      </w:r>
      <w:r w:rsidR="003B77F5" w:rsidRPr="00AB6097">
        <w:rPr>
          <w:lang w:val="es-ES"/>
        </w:rPr>
        <w:t xml:space="preserve">un parámetro de coherencia </w:t>
      </w:r>
      <w:r w:rsidR="00F120FB" w:rsidRPr="00AB6097">
        <w:rPr>
          <w:lang w:val="es-ES"/>
        </w:rPr>
        <w:t xml:space="preserve">y calidad para </w:t>
      </w:r>
      <w:r w:rsidR="000E41A6" w:rsidRPr="00AB6097">
        <w:rPr>
          <w:lang w:val="es-ES"/>
        </w:rPr>
        <w:t xml:space="preserve">la presentación de imágenes </w:t>
      </w:r>
      <w:r w:rsidR="00F120FB" w:rsidRPr="00AB6097">
        <w:rPr>
          <w:lang w:val="es-ES"/>
        </w:rPr>
        <w:t>relativas a</w:t>
      </w:r>
      <w:r w:rsidR="00106B37" w:rsidRPr="00AB6097">
        <w:rPr>
          <w:lang w:val="es-ES"/>
        </w:rPr>
        <w:t xml:space="preserve"> los</w:t>
      </w:r>
      <w:r w:rsidR="00F120FB" w:rsidRPr="00AB6097">
        <w:rPr>
          <w:lang w:val="es-ES"/>
        </w:rPr>
        <w:t xml:space="preserve"> </w:t>
      </w:r>
      <w:r w:rsidR="003B77F5" w:rsidRPr="00AB6097">
        <w:rPr>
          <w:lang w:val="es-ES"/>
        </w:rPr>
        <w:t>dibujos y modelo</w:t>
      </w:r>
      <w:r w:rsidR="000E41A6" w:rsidRPr="00AB6097">
        <w:rPr>
          <w:lang w:val="es-ES"/>
        </w:rPr>
        <w:t>s</w:t>
      </w:r>
      <w:r w:rsidR="00470C5B" w:rsidRPr="00AB6097">
        <w:rPr>
          <w:szCs w:val="22"/>
          <w:lang w:val="es-ES"/>
        </w:rPr>
        <w:t xml:space="preserve">. </w:t>
      </w:r>
      <w:r w:rsidR="000E4A66" w:rsidRPr="00AB6097">
        <w:rPr>
          <w:szCs w:val="22"/>
          <w:lang w:val="es-ES"/>
        </w:rPr>
        <w:t xml:space="preserve"> </w:t>
      </w:r>
      <w:r w:rsidR="00F120FB" w:rsidRPr="00AB6097">
        <w:rPr>
          <w:szCs w:val="22"/>
          <w:lang w:val="es-ES"/>
        </w:rPr>
        <w:t xml:space="preserve">La </w:t>
      </w:r>
      <w:r w:rsidRPr="00AB6097">
        <w:rPr>
          <w:szCs w:val="22"/>
          <w:lang w:val="es-ES"/>
        </w:rPr>
        <w:t>propuesta de</w:t>
      </w:r>
      <w:r w:rsidR="000E41A6" w:rsidRPr="00AB6097">
        <w:rPr>
          <w:szCs w:val="22"/>
          <w:lang w:val="es-ES"/>
        </w:rPr>
        <w:t xml:space="preserve"> IP Australia</w:t>
      </w:r>
      <w:r w:rsidR="00F120FB" w:rsidRPr="00AB6097">
        <w:rPr>
          <w:szCs w:val="22"/>
          <w:lang w:val="es-ES"/>
        </w:rPr>
        <w:t xml:space="preserve"> figura en el Anexo del presente documento</w:t>
      </w:r>
      <w:r w:rsidRPr="00AB6097">
        <w:rPr>
          <w:szCs w:val="22"/>
          <w:lang w:val="es-ES"/>
        </w:rPr>
        <w:t>.</w:t>
      </w:r>
    </w:p>
    <w:p w:rsidR="00180819" w:rsidRDefault="00F120FB" w:rsidP="00180819">
      <w:pPr>
        <w:pStyle w:val="ONUME"/>
        <w:rPr>
          <w:szCs w:val="22"/>
          <w:lang w:val="es-ES"/>
        </w:rPr>
      </w:pPr>
      <w:r w:rsidRPr="00AB6097">
        <w:rPr>
          <w:szCs w:val="22"/>
          <w:lang w:val="es-ES"/>
        </w:rPr>
        <w:t xml:space="preserve">Cabe señalar que la falta de una norma técnica de la OMPI sobre las vistas gráficas de los dibujos y modelos presentadas en formato electrónico </w:t>
      </w:r>
      <w:r w:rsidR="00106B37" w:rsidRPr="00AB6097">
        <w:rPr>
          <w:szCs w:val="22"/>
          <w:lang w:val="es-ES"/>
        </w:rPr>
        <w:t>entorpece la prestación de servicios digitales por</w:t>
      </w:r>
      <w:r w:rsidRPr="00AB6097">
        <w:rPr>
          <w:szCs w:val="22"/>
          <w:lang w:val="es-ES"/>
        </w:rPr>
        <w:t xml:space="preserve"> las oficinas de P.I. </w:t>
      </w:r>
      <w:r w:rsidR="006C0107">
        <w:rPr>
          <w:szCs w:val="22"/>
          <w:lang w:val="es-ES"/>
        </w:rPr>
        <w:t xml:space="preserve"> </w:t>
      </w:r>
      <w:r w:rsidRPr="00AB6097">
        <w:rPr>
          <w:szCs w:val="22"/>
          <w:lang w:val="es-ES"/>
        </w:rPr>
        <w:t xml:space="preserve">y que las distintas oficinas </w:t>
      </w:r>
      <w:r w:rsidR="009E33B6" w:rsidRPr="00AB6097">
        <w:rPr>
          <w:szCs w:val="22"/>
          <w:lang w:val="es-ES"/>
        </w:rPr>
        <w:t>podrían aplicar</w:t>
      </w:r>
      <w:r w:rsidRPr="00AB6097">
        <w:rPr>
          <w:szCs w:val="22"/>
          <w:lang w:val="es-ES"/>
        </w:rPr>
        <w:t xml:space="preserve"> enfoques diferentes para la recepción de las representaciones gráficas de dibujos </w:t>
      </w:r>
      <w:r w:rsidR="009E33B6" w:rsidRPr="00AB6097">
        <w:rPr>
          <w:szCs w:val="22"/>
          <w:lang w:val="es-ES"/>
        </w:rPr>
        <w:t>y</w:t>
      </w:r>
      <w:r w:rsidRPr="00AB6097">
        <w:rPr>
          <w:szCs w:val="22"/>
          <w:lang w:val="es-ES"/>
        </w:rPr>
        <w:t xml:space="preserve"> modelos;  en consecuencia, sus clientes </w:t>
      </w:r>
      <w:r w:rsidR="00102872" w:rsidRPr="00AB6097">
        <w:rPr>
          <w:szCs w:val="22"/>
          <w:lang w:val="es-ES"/>
        </w:rPr>
        <w:t>se ve</w:t>
      </w:r>
      <w:r w:rsidRPr="00AB6097">
        <w:rPr>
          <w:szCs w:val="22"/>
          <w:lang w:val="es-ES"/>
        </w:rPr>
        <w:t xml:space="preserve">rán </w:t>
      </w:r>
      <w:r w:rsidR="00102872" w:rsidRPr="00AB6097">
        <w:rPr>
          <w:szCs w:val="22"/>
          <w:lang w:val="es-ES"/>
        </w:rPr>
        <w:t xml:space="preserve">en la necesidad de </w:t>
      </w:r>
      <w:r w:rsidRPr="00AB6097">
        <w:rPr>
          <w:szCs w:val="22"/>
          <w:lang w:val="es-ES"/>
        </w:rPr>
        <w:t xml:space="preserve">satisfacer diferentes requisitos para </w:t>
      </w:r>
      <w:r w:rsidR="000C5710" w:rsidRPr="00AB6097">
        <w:rPr>
          <w:szCs w:val="22"/>
          <w:lang w:val="es-ES"/>
        </w:rPr>
        <w:t>solicitar el</w:t>
      </w:r>
      <w:r w:rsidRPr="00AB6097">
        <w:rPr>
          <w:szCs w:val="22"/>
          <w:lang w:val="es-ES"/>
        </w:rPr>
        <w:t xml:space="preserve"> registro de dibujos y modelos de las distintas oficinas de P.I.  Asimismo, cabe la posibilidad de que incurran en gastos por tener que convertir la representación gráfica de un dibujo o modelo a distintos formatos, según sea necesario.  </w:t>
      </w:r>
      <w:r w:rsidR="00E10C49" w:rsidRPr="00AB6097">
        <w:rPr>
          <w:szCs w:val="22"/>
          <w:lang w:val="es-ES"/>
        </w:rPr>
        <w:t>Por otra parte</w:t>
      </w:r>
      <w:r w:rsidRPr="00AB6097">
        <w:rPr>
          <w:szCs w:val="22"/>
          <w:lang w:val="es-ES"/>
        </w:rPr>
        <w:t xml:space="preserve">, es posible que el intercambio de datos plantee problemas a las oficinas de P.I. </w:t>
      </w:r>
      <w:r w:rsidR="006C0107">
        <w:rPr>
          <w:szCs w:val="22"/>
          <w:lang w:val="es-ES"/>
        </w:rPr>
        <w:t xml:space="preserve"> </w:t>
      </w:r>
      <w:r w:rsidRPr="00AB6097">
        <w:rPr>
          <w:szCs w:val="22"/>
          <w:lang w:val="es-ES"/>
        </w:rPr>
        <w:t>en cuanto a la coherencia del formato y la calidad.</w:t>
      </w:r>
    </w:p>
    <w:p w:rsidR="00180819" w:rsidRDefault="00180819" w:rsidP="00180819">
      <w:pPr>
        <w:rPr>
          <w:lang w:val="es-ES"/>
        </w:rPr>
      </w:pPr>
      <w:r>
        <w:rPr>
          <w:lang w:val="es-ES"/>
        </w:rPr>
        <w:br w:type="page"/>
      </w:r>
    </w:p>
    <w:p w:rsidR="00080016" w:rsidRPr="00AB6097" w:rsidRDefault="000E41A6" w:rsidP="00180819">
      <w:pPr>
        <w:pStyle w:val="ONUME"/>
        <w:rPr>
          <w:lang w:val="es-ES"/>
        </w:rPr>
      </w:pPr>
      <w:r w:rsidRPr="00AB6097">
        <w:rPr>
          <w:lang w:val="es-ES"/>
        </w:rPr>
        <w:lastRenderedPageBreak/>
        <w:t xml:space="preserve">Cabe recordar que el predecesor del CWS, el “Grupo de </w:t>
      </w:r>
      <w:r w:rsidR="003B77F5" w:rsidRPr="00AB6097">
        <w:rPr>
          <w:lang w:val="es-ES"/>
        </w:rPr>
        <w:t>Trabajo</w:t>
      </w:r>
      <w:r w:rsidRPr="00AB6097">
        <w:rPr>
          <w:lang w:val="es-ES"/>
        </w:rPr>
        <w:t xml:space="preserve"> sobre Normas y Documentación</w:t>
      </w:r>
      <w:r w:rsidR="00E80E13" w:rsidRPr="00AB6097">
        <w:rPr>
          <w:lang w:val="es-ES"/>
        </w:rPr>
        <w:t xml:space="preserve"> (SDWG)</w:t>
      </w:r>
      <w:r w:rsidRPr="00AB6097">
        <w:rPr>
          <w:lang w:val="es-ES"/>
        </w:rPr>
        <w:t xml:space="preserve">” examinó varias </w:t>
      </w:r>
      <w:r w:rsidR="003B77F5" w:rsidRPr="00AB6097">
        <w:rPr>
          <w:lang w:val="es-ES"/>
        </w:rPr>
        <w:t>veces</w:t>
      </w:r>
      <w:r w:rsidRPr="00AB6097">
        <w:rPr>
          <w:lang w:val="es-ES"/>
        </w:rPr>
        <w:t xml:space="preserve"> la </w:t>
      </w:r>
      <w:r w:rsidR="003B77F5" w:rsidRPr="00AB6097">
        <w:rPr>
          <w:lang w:val="es-ES"/>
        </w:rPr>
        <w:t>creación</w:t>
      </w:r>
      <w:r w:rsidR="0045673A" w:rsidRPr="00AB6097">
        <w:rPr>
          <w:lang w:val="es-ES"/>
        </w:rPr>
        <w:t xml:space="preserve"> </w:t>
      </w:r>
      <w:r w:rsidRPr="00AB6097">
        <w:rPr>
          <w:lang w:val="es-ES"/>
        </w:rPr>
        <w:t>de una tarea para elaborar</w:t>
      </w:r>
      <w:r w:rsidR="0045673A" w:rsidRPr="00AB6097">
        <w:rPr>
          <w:lang w:val="es-ES"/>
        </w:rPr>
        <w:t xml:space="preserve"> </w:t>
      </w:r>
      <w:r w:rsidR="003B77F5" w:rsidRPr="00AB6097">
        <w:rPr>
          <w:lang w:val="es-ES"/>
        </w:rPr>
        <w:t>recomendaciones</w:t>
      </w:r>
      <w:r w:rsidR="0045673A" w:rsidRPr="00AB6097">
        <w:rPr>
          <w:lang w:val="es-ES"/>
        </w:rPr>
        <w:t xml:space="preserve"> </w:t>
      </w:r>
      <w:r w:rsidRPr="00AB6097">
        <w:rPr>
          <w:lang w:val="es-ES"/>
        </w:rPr>
        <w:t xml:space="preserve">sobre </w:t>
      </w:r>
      <w:r w:rsidR="003B77F5" w:rsidRPr="00AB6097">
        <w:rPr>
          <w:lang w:val="es-ES"/>
        </w:rPr>
        <w:t>imágenes</w:t>
      </w:r>
      <w:r w:rsidR="0045673A" w:rsidRPr="00AB6097">
        <w:rPr>
          <w:lang w:val="es-ES"/>
        </w:rPr>
        <w:t xml:space="preserve">, </w:t>
      </w:r>
      <w:r w:rsidR="003B77F5" w:rsidRPr="00AB6097">
        <w:rPr>
          <w:lang w:val="es-ES"/>
        </w:rPr>
        <w:t>fotografías</w:t>
      </w:r>
      <w:r w:rsidR="0045673A" w:rsidRPr="00AB6097">
        <w:rPr>
          <w:lang w:val="es-ES"/>
        </w:rPr>
        <w:t xml:space="preserve"> </w:t>
      </w:r>
      <w:r w:rsidRPr="00AB6097">
        <w:rPr>
          <w:lang w:val="es-ES"/>
        </w:rPr>
        <w:t xml:space="preserve">y dibujos relacionados con los documentos de patente y de </w:t>
      </w:r>
      <w:r w:rsidR="003B77F5" w:rsidRPr="00AB6097">
        <w:rPr>
          <w:lang w:val="es-ES"/>
        </w:rPr>
        <w:t>dibujos y modelo</w:t>
      </w:r>
      <w:r w:rsidRPr="00AB6097">
        <w:rPr>
          <w:lang w:val="es-ES"/>
        </w:rPr>
        <w:t xml:space="preserve">s </w:t>
      </w:r>
      <w:r w:rsidR="0045673A" w:rsidRPr="00AB6097">
        <w:rPr>
          <w:lang w:val="es-ES"/>
        </w:rPr>
        <w:t>industrial</w:t>
      </w:r>
      <w:r w:rsidRPr="00AB6097">
        <w:rPr>
          <w:lang w:val="es-ES"/>
        </w:rPr>
        <w:t>es</w:t>
      </w:r>
      <w:r w:rsidR="0045673A" w:rsidRPr="00AB6097">
        <w:rPr>
          <w:lang w:val="es-ES"/>
        </w:rPr>
        <w:t xml:space="preserve">.  </w:t>
      </w:r>
      <w:r w:rsidRPr="00AB6097">
        <w:rPr>
          <w:lang w:val="es-ES"/>
        </w:rPr>
        <w:t>El</w:t>
      </w:r>
      <w:r w:rsidR="005366F5" w:rsidRPr="00AB6097">
        <w:rPr>
          <w:lang w:val="es-ES"/>
        </w:rPr>
        <w:t xml:space="preserve"> SDWG </w:t>
      </w:r>
      <w:r w:rsidRPr="00AB6097">
        <w:rPr>
          <w:lang w:val="es-ES"/>
        </w:rPr>
        <w:t xml:space="preserve">acordó </w:t>
      </w:r>
      <w:r w:rsidR="00302DB1" w:rsidRPr="00AB6097">
        <w:rPr>
          <w:lang w:val="es-ES"/>
        </w:rPr>
        <w:t>aplazar la</w:t>
      </w:r>
      <w:r w:rsidRPr="00AB6097">
        <w:rPr>
          <w:lang w:val="es-ES"/>
        </w:rPr>
        <w:t xml:space="preserve"> </w:t>
      </w:r>
      <w:r w:rsidR="003B77F5" w:rsidRPr="00AB6097">
        <w:rPr>
          <w:lang w:val="es-ES"/>
        </w:rPr>
        <w:t>decisión</w:t>
      </w:r>
      <w:r w:rsidR="005366F5" w:rsidRPr="00AB6097">
        <w:rPr>
          <w:lang w:val="es-ES"/>
        </w:rPr>
        <w:t xml:space="preserve"> </w:t>
      </w:r>
      <w:r w:rsidRPr="00AB6097">
        <w:rPr>
          <w:lang w:val="es-ES"/>
        </w:rPr>
        <w:t>de crear</w:t>
      </w:r>
      <w:r w:rsidR="005366F5" w:rsidRPr="00AB6097">
        <w:rPr>
          <w:lang w:val="es-ES"/>
        </w:rPr>
        <w:t xml:space="preserve"> </w:t>
      </w:r>
      <w:r w:rsidRPr="00AB6097">
        <w:rPr>
          <w:lang w:val="es-ES"/>
        </w:rPr>
        <w:t xml:space="preserve">esa tarea </w:t>
      </w:r>
      <w:r w:rsidR="00302DB1" w:rsidRPr="00AB6097">
        <w:rPr>
          <w:lang w:val="es-ES"/>
        </w:rPr>
        <w:t xml:space="preserve">hasta la finalización de las </w:t>
      </w:r>
      <w:r w:rsidR="003B77F5" w:rsidRPr="00AB6097">
        <w:rPr>
          <w:lang w:val="es-ES"/>
        </w:rPr>
        <w:t>recomendaciones</w:t>
      </w:r>
      <w:r w:rsidR="005366F5" w:rsidRPr="00AB6097">
        <w:rPr>
          <w:lang w:val="es-ES"/>
        </w:rPr>
        <w:t xml:space="preserve"> </w:t>
      </w:r>
      <w:r w:rsidR="00302DB1" w:rsidRPr="00AB6097">
        <w:rPr>
          <w:lang w:val="es-ES"/>
        </w:rPr>
        <w:t>relativas a los elementos figurativos de las marcas</w:t>
      </w:r>
      <w:r w:rsidR="005366F5" w:rsidRPr="00AB6097">
        <w:rPr>
          <w:lang w:val="es-ES"/>
        </w:rPr>
        <w:t xml:space="preserve">. </w:t>
      </w:r>
      <w:r w:rsidR="000E4A66" w:rsidRPr="00AB6097">
        <w:rPr>
          <w:lang w:val="es-ES"/>
        </w:rPr>
        <w:t xml:space="preserve"> </w:t>
      </w:r>
      <w:r w:rsidR="00080016" w:rsidRPr="00AB6097">
        <w:rPr>
          <w:lang w:val="es-ES"/>
        </w:rPr>
        <w:t>(Véanse los párrafos 63 y 64 del documento SCIT/SDWG/11/14;  los párrafos 63 a 65 del documento SCIT/SDWG/10/12;  el párrafo 73</w:t>
      </w:r>
      <w:r w:rsidR="00302DB1" w:rsidRPr="00AB6097">
        <w:rPr>
          <w:lang w:val="es-ES"/>
        </w:rPr>
        <w:t xml:space="preserve"> </w:t>
      </w:r>
      <w:r w:rsidR="00080016" w:rsidRPr="00AB6097">
        <w:rPr>
          <w:lang w:val="es-ES"/>
        </w:rPr>
        <w:t>del documento S</w:t>
      </w:r>
      <w:r w:rsidR="00302DB1" w:rsidRPr="00AB6097">
        <w:rPr>
          <w:lang w:val="es-ES"/>
        </w:rPr>
        <w:t xml:space="preserve">CIT/SDWG/8/14;  y el párrafo 38 </w:t>
      </w:r>
      <w:r w:rsidR="00080016" w:rsidRPr="00AB6097">
        <w:rPr>
          <w:lang w:val="es-ES"/>
        </w:rPr>
        <w:t>del documento SCIT/SDWG/4/14.)</w:t>
      </w:r>
      <w:r w:rsidR="0045673A" w:rsidRPr="00AB6097">
        <w:rPr>
          <w:lang w:val="es-ES"/>
        </w:rPr>
        <w:t xml:space="preserve">  </w:t>
      </w:r>
      <w:r w:rsidR="00302DB1" w:rsidRPr="00AB6097">
        <w:rPr>
          <w:lang w:val="es-ES"/>
        </w:rPr>
        <w:t>La Norma</w:t>
      </w:r>
      <w:r w:rsidR="0045673A" w:rsidRPr="00AB6097">
        <w:rPr>
          <w:lang w:val="es-ES"/>
        </w:rPr>
        <w:t xml:space="preserve"> ST.67 </w:t>
      </w:r>
      <w:r w:rsidR="00302DB1" w:rsidRPr="00AB6097">
        <w:rPr>
          <w:lang w:val="es-ES"/>
        </w:rPr>
        <w:t xml:space="preserve">de la OMPI </w:t>
      </w:r>
      <w:r w:rsidR="0045673A" w:rsidRPr="00AB6097">
        <w:rPr>
          <w:lang w:val="es-ES"/>
        </w:rPr>
        <w:t>(</w:t>
      </w:r>
      <w:r w:rsidR="00302DB1" w:rsidRPr="00AB6097">
        <w:rPr>
          <w:lang w:val="es-ES"/>
        </w:rPr>
        <w:t>Recomendaciones para la gestión electrónica de los elementos figurativos de las marcas</w:t>
      </w:r>
      <w:r w:rsidR="0045673A" w:rsidRPr="00AB6097">
        <w:rPr>
          <w:szCs w:val="22"/>
          <w:lang w:val="es-ES"/>
        </w:rPr>
        <w:t xml:space="preserve">) </w:t>
      </w:r>
      <w:r w:rsidR="00302DB1" w:rsidRPr="00AB6097">
        <w:rPr>
          <w:szCs w:val="22"/>
          <w:lang w:val="es-ES"/>
        </w:rPr>
        <w:t>fue adoptada en</w:t>
      </w:r>
      <w:r w:rsidR="0045673A" w:rsidRPr="00AB6097">
        <w:rPr>
          <w:lang w:val="es-ES"/>
        </w:rPr>
        <w:t xml:space="preserve"> 2012 </w:t>
      </w:r>
      <w:r w:rsidR="00302DB1" w:rsidRPr="00AB6097">
        <w:rPr>
          <w:lang w:val="es-ES"/>
        </w:rPr>
        <w:t>por el </w:t>
      </w:r>
      <w:r w:rsidR="00080016" w:rsidRPr="00AB6097">
        <w:rPr>
          <w:lang w:val="es-ES"/>
        </w:rPr>
        <w:t>CWS</w:t>
      </w:r>
      <w:r w:rsidR="0045673A" w:rsidRPr="00AB6097">
        <w:rPr>
          <w:lang w:val="es-ES"/>
        </w:rPr>
        <w:t>.</w:t>
      </w:r>
    </w:p>
    <w:p w:rsidR="00080016" w:rsidRPr="00AB6097" w:rsidRDefault="00302DB1" w:rsidP="00180819">
      <w:pPr>
        <w:pStyle w:val="ONUME"/>
        <w:spacing w:after="120"/>
        <w:rPr>
          <w:szCs w:val="22"/>
          <w:lang w:val="es-ES"/>
        </w:rPr>
      </w:pPr>
      <w:r w:rsidRPr="00AB6097">
        <w:rPr>
          <w:szCs w:val="22"/>
          <w:lang w:val="es-ES"/>
        </w:rPr>
        <w:t xml:space="preserve">Con arreglo a la propuesta de </w:t>
      </w:r>
      <w:r w:rsidR="00080016" w:rsidRPr="00AB6097">
        <w:rPr>
          <w:szCs w:val="22"/>
          <w:lang w:val="es-ES"/>
        </w:rPr>
        <w:t>IP Australia</w:t>
      </w:r>
      <w:r w:rsidR="00E80E13" w:rsidRPr="00AB6097">
        <w:rPr>
          <w:lang w:val="es-ES"/>
        </w:rPr>
        <w:t>,</w:t>
      </w:r>
      <w:r w:rsidR="00DC4DF7" w:rsidRPr="00AB6097">
        <w:rPr>
          <w:lang w:val="es-ES"/>
        </w:rPr>
        <w:t xml:space="preserve"> </w:t>
      </w:r>
      <w:r w:rsidRPr="00AB6097">
        <w:rPr>
          <w:lang w:val="es-ES"/>
        </w:rPr>
        <w:t xml:space="preserve">y a raíz de los debates mantenidos anteriormente y </w:t>
      </w:r>
      <w:r w:rsidR="00F120FB" w:rsidRPr="00AB6097">
        <w:rPr>
          <w:lang w:val="es-ES"/>
        </w:rPr>
        <w:t>de</w:t>
      </w:r>
      <w:r w:rsidRPr="00AB6097">
        <w:rPr>
          <w:lang w:val="es-ES"/>
        </w:rPr>
        <w:t xml:space="preserve">l acuerdo </w:t>
      </w:r>
      <w:r w:rsidR="00106B37" w:rsidRPr="00AB6097">
        <w:rPr>
          <w:lang w:val="es-ES"/>
        </w:rPr>
        <w:t>alcanz</w:t>
      </w:r>
      <w:r w:rsidR="0033220D" w:rsidRPr="00AB6097">
        <w:rPr>
          <w:lang w:val="es-ES"/>
        </w:rPr>
        <w:t>ado en</w:t>
      </w:r>
      <w:r w:rsidRPr="00AB6097">
        <w:rPr>
          <w:lang w:val="es-ES"/>
        </w:rPr>
        <w:t xml:space="preserve"> el</w:t>
      </w:r>
      <w:r w:rsidR="00DC4DF7" w:rsidRPr="00AB6097">
        <w:rPr>
          <w:lang w:val="es-ES"/>
        </w:rPr>
        <w:t xml:space="preserve"> SDWG </w:t>
      </w:r>
      <w:r w:rsidRPr="00AB6097">
        <w:rPr>
          <w:lang w:val="es-ES"/>
        </w:rPr>
        <w:t xml:space="preserve">y el </w:t>
      </w:r>
      <w:r w:rsidR="00080016" w:rsidRPr="00AB6097">
        <w:rPr>
          <w:lang w:val="es-ES"/>
        </w:rPr>
        <w:t>CWS</w:t>
      </w:r>
      <w:r w:rsidR="004E69D7" w:rsidRPr="00AB6097">
        <w:rPr>
          <w:szCs w:val="22"/>
          <w:lang w:val="es-ES"/>
        </w:rPr>
        <w:t xml:space="preserve">, </w:t>
      </w:r>
      <w:r w:rsidRPr="00AB6097">
        <w:rPr>
          <w:szCs w:val="22"/>
          <w:lang w:val="es-ES"/>
        </w:rPr>
        <w:t xml:space="preserve">la </w:t>
      </w:r>
      <w:r w:rsidR="003B77F5" w:rsidRPr="00AB6097">
        <w:rPr>
          <w:szCs w:val="22"/>
          <w:lang w:val="es-ES"/>
        </w:rPr>
        <w:t>Secretaría</w:t>
      </w:r>
      <w:r w:rsidRPr="00AB6097">
        <w:rPr>
          <w:szCs w:val="22"/>
          <w:lang w:val="es-ES"/>
        </w:rPr>
        <w:t xml:space="preserve"> propone lo siguiente, que se somete a examen y aprobación del </w:t>
      </w:r>
      <w:r w:rsidR="00080016" w:rsidRPr="00AB6097">
        <w:rPr>
          <w:szCs w:val="22"/>
          <w:lang w:val="es-ES"/>
        </w:rPr>
        <w:t>CWS</w:t>
      </w:r>
      <w:r w:rsidR="004E69D7" w:rsidRPr="00AB6097">
        <w:rPr>
          <w:szCs w:val="22"/>
          <w:lang w:val="es-ES"/>
        </w:rPr>
        <w:t>:</w:t>
      </w:r>
    </w:p>
    <w:p w:rsidR="00080016" w:rsidRPr="00AB6097" w:rsidRDefault="00302DB1" w:rsidP="00180819">
      <w:pPr>
        <w:pStyle w:val="ONUME"/>
        <w:numPr>
          <w:ilvl w:val="0"/>
          <w:numId w:val="7"/>
        </w:numPr>
        <w:spacing w:after="120"/>
        <w:ind w:left="567" w:hanging="7"/>
        <w:rPr>
          <w:szCs w:val="22"/>
          <w:lang w:val="es-ES"/>
        </w:rPr>
      </w:pPr>
      <w:r w:rsidRPr="00AB6097">
        <w:rPr>
          <w:szCs w:val="22"/>
          <w:lang w:val="es-ES"/>
        </w:rPr>
        <w:t xml:space="preserve">la creación de una nueva tarea, cuya descripción sería la </w:t>
      </w:r>
      <w:r w:rsidR="00080016" w:rsidRPr="00AB6097">
        <w:rPr>
          <w:szCs w:val="22"/>
          <w:lang w:val="es-ES"/>
        </w:rPr>
        <w:t>siguiente:</w:t>
      </w:r>
    </w:p>
    <w:p w:rsidR="00080016" w:rsidRPr="00AB6097" w:rsidRDefault="004E69D7" w:rsidP="00180819">
      <w:pPr>
        <w:pStyle w:val="ONUME"/>
        <w:numPr>
          <w:ilvl w:val="0"/>
          <w:numId w:val="0"/>
        </w:numPr>
        <w:spacing w:after="120"/>
        <w:ind w:left="567" w:hanging="7"/>
        <w:rPr>
          <w:szCs w:val="22"/>
          <w:lang w:val="es-ES"/>
        </w:rPr>
      </w:pPr>
      <w:r w:rsidRPr="00AB6097">
        <w:rPr>
          <w:szCs w:val="22"/>
          <w:lang w:val="es-ES"/>
        </w:rPr>
        <w:t>“</w:t>
      </w:r>
      <w:r w:rsidR="00302DB1" w:rsidRPr="00AB6097">
        <w:rPr>
          <w:szCs w:val="22"/>
          <w:lang w:val="es-ES"/>
        </w:rPr>
        <w:t>Recabar</w:t>
      </w:r>
      <w:r w:rsidRPr="00AB6097">
        <w:rPr>
          <w:szCs w:val="22"/>
          <w:lang w:val="es-ES"/>
        </w:rPr>
        <w:t xml:space="preserve"> </w:t>
      </w:r>
      <w:r w:rsidR="003B77F5" w:rsidRPr="00AB6097">
        <w:rPr>
          <w:szCs w:val="22"/>
          <w:lang w:val="es-ES"/>
        </w:rPr>
        <w:t>información</w:t>
      </w:r>
      <w:r w:rsidRPr="00AB6097">
        <w:rPr>
          <w:szCs w:val="22"/>
          <w:lang w:val="es-ES"/>
        </w:rPr>
        <w:t xml:space="preserve"> </w:t>
      </w:r>
      <w:r w:rsidR="00302DB1" w:rsidRPr="00AB6097">
        <w:rPr>
          <w:szCs w:val="22"/>
          <w:lang w:val="es-ES"/>
        </w:rPr>
        <w:t>de las oficinas de P.I.</w:t>
      </w:r>
      <w:r w:rsidR="006C0107">
        <w:rPr>
          <w:szCs w:val="22"/>
          <w:lang w:val="es-ES"/>
        </w:rPr>
        <w:t xml:space="preserve"> </w:t>
      </w:r>
      <w:r w:rsidR="00302DB1" w:rsidRPr="00AB6097">
        <w:rPr>
          <w:szCs w:val="22"/>
          <w:lang w:val="es-ES"/>
        </w:rPr>
        <w:t xml:space="preserve"> y los clientes acerca de los requisitos</w:t>
      </w:r>
      <w:r w:rsidR="0033220D" w:rsidRPr="00AB6097">
        <w:rPr>
          <w:szCs w:val="22"/>
          <w:lang w:val="es-ES"/>
        </w:rPr>
        <w:t xml:space="preserve"> aplicables</w:t>
      </w:r>
      <w:r w:rsidR="004A266D" w:rsidRPr="00AB6097">
        <w:rPr>
          <w:szCs w:val="22"/>
          <w:lang w:val="es-ES"/>
        </w:rPr>
        <w:t>;</w:t>
      </w:r>
      <w:r w:rsidR="000E4A66" w:rsidRPr="00AB6097">
        <w:rPr>
          <w:szCs w:val="22"/>
          <w:lang w:val="es-ES"/>
        </w:rPr>
        <w:t xml:space="preserve"> </w:t>
      </w:r>
      <w:r w:rsidR="004A266D" w:rsidRPr="00AB6097">
        <w:rPr>
          <w:szCs w:val="22"/>
          <w:lang w:val="es-ES"/>
        </w:rPr>
        <w:t xml:space="preserve"> </w:t>
      </w:r>
      <w:r w:rsidR="00302DB1" w:rsidRPr="00AB6097">
        <w:rPr>
          <w:szCs w:val="22"/>
          <w:lang w:val="es-ES"/>
        </w:rPr>
        <w:t>y preparar</w:t>
      </w:r>
      <w:r w:rsidR="004A266D" w:rsidRPr="00AB6097">
        <w:rPr>
          <w:szCs w:val="22"/>
          <w:lang w:val="es-ES"/>
        </w:rPr>
        <w:t xml:space="preserve"> </w:t>
      </w:r>
      <w:r w:rsidR="003B77F5" w:rsidRPr="00AB6097">
        <w:rPr>
          <w:szCs w:val="22"/>
          <w:lang w:val="es-ES"/>
        </w:rPr>
        <w:t>recomendaciones</w:t>
      </w:r>
      <w:r w:rsidR="004A266D" w:rsidRPr="00AB6097">
        <w:rPr>
          <w:szCs w:val="22"/>
          <w:lang w:val="es-ES"/>
        </w:rPr>
        <w:t xml:space="preserve"> </w:t>
      </w:r>
      <w:r w:rsidR="00302DB1" w:rsidRPr="00AB6097">
        <w:rPr>
          <w:szCs w:val="22"/>
          <w:lang w:val="es-ES"/>
        </w:rPr>
        <w:t>relativas a las representaciones visuales de dibujos y modelos industriales presentadas en formato electrónico</w:t>
      </w:r>
      <w:r w:rsidRPr="00AB6097">
        <w:rPr>
          <w:szCs w:val="22"/>
          <w:lang w:val="es-ES"/>
        </w:rPr>
        <w:t xml:space="preserve">”; </w:t>
      </w:r>
      <w:r w:rsidR="000E4A66" w:rsidRPr="00AB6097">
        <w:rPr>
          <w:szCs w:val="22"/>
          <w:lang w:val="es-ES"/>
        </w:rPr>
        <w:t xml:space="preserve"> </w:t>
      </w:r>
      <w:r w:rsidR="00302DB1" w:rsidRPr="00AB6097">
        <w:rPr>
          <w:szCs w:val="22"/>
          <w:lang w:val="es-ES"/>
        </w:rPr>
        <w:t>y</w:t>
      </w:r>
    </w:p>
    <w:p w:rsidR="00080016" w:rsidRPr="00AB6097" w:rsidRDefault="00080016" w:rsidP="00180819">
      <w:pPr>
        <w:pStyle w:val="ONUME"/>
        <w:numPr>
          <w:ilvl w:val="0"/>
          <w:numId w:val="7"/>
        </w:numPr>
        <w:spacing w:after="0"/>
        <w:ind w:left="567" w:hanging="7"/>
        <w:rPr>
          <w:szCs w:val="22"/>
          <w:lang w:val="es-ES"/>
        </w:rPr>
      </w:pPr>
      <w:r w:rsidRPr="00AB6097">
        <w:rPr>
          <w:szCs w:val="22"/>
          <w:lang w:val="es-ES"/>
        </w:rPr>
        <w:t>crear un nuevo equipo técnico, con su responsable correspondiente, para que se ocupe de l</w:t>
      </w:r>
      <w:r w:rsidR="00302DB1" w:rsidRPr="00AB6097">
        <w:rPr>
          <w:szCs w:val="22"/>
          <w:lang w:val="es-ES"/>
        </w:rPr>
        <w:t>a nueva tarea.</w:t>
      </w:r>
    </w:p>
    <w:p w:rsidR="00080016" w:rsidRPr="00AB6097" w:rsidRDefault="00080016" w:rsidP="00180819">
      <w:pPr>
        <w:pStyle w:val="ONUME"/>
        <w:tabs>
          <w:tab w:val="left" w:pos="6050"/>
        </w:tabs>
        <w:ind w:left="5534"/>
        <w:rPr>
          <w:i/>
          <w:szCs w:val="22"/>
          <w:lang w:val="es-ES"/>
        </w:rPr>
      </w:pPr>
      <w:r w:rsidRPr="00AB6097">
        <w:rPr>
          <w:i/>
          <w:szCs w:val="22"/>
          <w:lang w:val="es-ES"/>
        </w:rPr>
        <w:t>Se invita al CWS a:</w:t>
      </w:r>
    </w:p>
    <w:p w:rsidR="00080016" w:rsidRPr="00AB6097" w:rsidRDefault="003E02D3" w:rsidP="00180819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AB6097">
        <w:rPr>
          <w:i/>
          <w:szCs w:val="22"/>
          <w:lang w:val="es-ES"/>
        </w:rPr>
        <w:tab/>
      </w:r>
      <w:r w:rsidR="00180819">
        <w:rPr>
          <w:i/>
          <w:szCs w:val="22"/>
          <w:lang w:val="es-ES"/>
        </w:rPr>
        <w:t>(</w:t>
      </w:r>
      <w:r w:rsidR="00302DB1" w:rsidRPr="00AB6097">
        <w:rPr>
          <w:i/>
          <w:szCs w:val="22"/>
          <w:lang w:val="es-ES"/>
        </w:rPr>
        <w:t>a)</w:t>
      </w:r>
      <w:r w:rsidR="00302DB1" w:rsidRPr="00AB6097">
        <w:rPr>
          <w:i/>
          <w:szCs w:val="22"/>
          <w:lang w:val="es-ES"/>
        </w:rPr>
        <w:tab/>
        <w:t>considerar la propuesta de IP Australia</w:t>
      </w:r>
      <w:r w:rsidR="00080016" w:rsidRPr="00AB6097">
        <w:rPr>
          <w:i/>
          <w:szCs w:val="22"/>
          <w:lang w:val="es-ES"/>
        </w:rPr>
        <w:t xml:space="preserve">, mencionada en el párrafo 1 y </w:t>
      </w:r>
      <w:r w:rsidR="00C24E3C" w:rsidRPr="00AB6097">
        <w:rPr>
          <w:i/>
          <w:szCs w:val="22"/>
          <w:lang w:val="es-ES"/>
        </w:rPr>
        <w:t xml:space="preserve">que figura </w:t>
      </w:r>
      <w:r w:rsidR="00080016" w:rsidRPr="00AB6097">
        <w:rPr>
          <w:i/>
          <w:szCs w:val="22"/>
          <w:lang w:val="es-ES"/>
        </w:rPr>
        <w:t>en el Anexo del presente documento;</w:t>
      </w:r>
    </w:p>
    <w:p w:rsidR="00080016" w:rsidRPr="00AB6097" w:rsidRDefault="003E02D3" w:rsidP="00180819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AB6097">
        <w:rPr>
          <w:i/>
          <w:szCs w:val="22"/>
          <w:lang w:val="es-ES"/>
        </w:rPr>
        <w:tab/>
      </w:r>
      <w:r w:rsidR="00180819">
        <w:rPr>
          <w:i/>
          <w:szCs w:val="22"/>
          <w:lang w:val="es-ES"/>
        </w:rPr>
        <w:t>(</w:t>
      </w:r>
      <w:r w:rsidRPr="00AB6097">
        <w:rPr>
          <w:i/>
          <w:szCs w:val="22"/>
          <w:lang w:val="es-ES"/>
        </w:rPr>
        <w:t>b)</w:t>
      </w:r>
      <w:r w:rsidRPr="00AB6097">
        <w:rPr>
          <w:i/>
          <w:szCs w:val="22"/>
          <w:lang w:val="es-ES"/>
        </w:rPr>
        <w:tab/>
      </w:r>
      <w:r w:rsidR="00302DB1" w:rsidRPr="00AB6097">
        <w:rPr>
          <w:i/>
          <w:iCs/>
          <w:lang w:val="es-ES"/>
        </w:rPr>
        <w:t>examinar y aprobar la creación de la tarea</w:t>
      </w:r>
      <w:r w:rsidR="00302DB1" w:rsidRPr="00AB6097">
        <w:rPr>
          <w:i/>
          <w:szCs w:val="22"/>
          <w:lang w:val="es-ES"/>
        </w:rPr>
        <w:t xml:space="preserve"> mencionada en el apartado a) del párrafo 4</w:t>
      </w:r>
      <w:r w:rsidRPr="00AB6097">
        <w:rPr>
          <w:i/>
          <w:szCs w:val="22"/>
          <w:lang w:val="es-ES"/>
        </w:rPr>
        <w:t>;</w:t>
      </w:r>
      <w:r w:rsidR="004A266D" w:rsidRPr="00AB6097">
        <w:rPr>
          <w:i/>
          <w:szCs w:val="22"/>
          <w:lang w:val="es-ES"/>
        </w:rPr>
        <w:t xml:space="preserve"> </w:t>
      </w:r>
      <w:r w:rsidR="000E4A66" w:rsidRPr="00AB6097">
        <w:rPr>
          <w:i/>
          <w:szCs w:val="22"/>
          <w:lang w:val="es-ES"/>
        </w:rPr>
        <w:t xml:space="preserve"> </w:t>
      </w:r>
      <w:r w:rsidR="00302DB1" w:rsidRPr="00AB6097">
        <w:rPr>
          <w:i/>
          <w:szCs w:val="22"/>
          <w:lang w:val="es-ES"/>
        </w:rPr>
        <w:t>y</w:t>
      </w:r>
    </w:p>
    <w:p w:rsidR="00080016" w:rsidRPr="00AB6097" w:rsidRDefault="003E02D3" w:rsidP="00180819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es-ES"/>
        </w:rPr>
      </w:pPr>
      <w:r w:rsidRPr="00AB6097">
        <w:rPr>
          <w:i/>
          <w:szCs w:val="22"/>
          <w:lang w:val="es-ES"/>
        </w:rPr>
        <w:tab/>
      </w:r>
      <w:r w:rsidR="00180819">
        <w:rPr>
          <w:i/>
          <w:szCs w:val="22"/>
          <w:lang w:val="es-ES"/>
        </w:rPr>
        <w:t>(</w:t>
      </w:r>
      <w:r w:rsidR="00302DB1" w:rsidRPr="00AB6097">
        <w:rPr>
          <w:i/>
          <w:szCs w:val="22"/>
          <w:lang w:val="es-ES"/>
        </w:rPr>
        <w:t>c)</w:t>
      </w:r>
      <w:r w:rsidR="00302DB1" w:rsidRPr="00AB6097">
        <w:rPr>
          <w:i/>
          <w:szCs w:val="22"/>
          <w:lang w:val="es-ES"/>
        </w:rPr>
        <w:tab/>
      </w:r>
      <w:r w:rsidR="00080016" w:rsidRPr="00AB6097">
        <w:rPr>
          <w:i/>
          <w:szCs w:val="22"/>
          <w:lang w:val="es-ES"/>
        </w:rPr>
        <w:t xml:space="preserve">examinar y aprobar la creación del nuevo equipo técnico, con su responsable correspondiente, </w:t>
      </w:r>
      <w:r w:rsidR="00C24E3C" w:rsidRPr="00AB6097">
        <w:rPr>
          <w:i/>
          <w:szCs w:val="22"/>
          <w:lang w:val="es-ES"/>
        </w:rPr>
        <w:t xml:space="preserve">según se </w:t>
      </w:r>
      <w:r w:rsidR="00302DB1" w:rsidRPr="00AB6097">
        <w:rPr>
          <w:i/>
          <w:szCs w:val="22"/>
          <w:lang w:val="es-ES"/>
        </w:rPr>
        <w:t>menciona</w:t>
      </w:r>
      <w:r w:rsidR="00080016" w:rsidRPr="00AB6097">
        <w:rPr>
          <w:i/>
          <w:szCs w:val="22"/>
          <w:lang w:val="es-ES"/>
        </w:rPr>
        <w:t xml:space="preserve"> en el apartado b) del párrafo 4.</w:t>
      </w:r>
    </w:p>
    <w:p w:rsidR="00080016" w:rsidRPr="00AB6097" w:rsidRDefault="00080016" w:rsidP="00180819">
      <w:pPr>
        <w:pStyle w:val="Endofdocument-Annex"/>
        <w:rPr>
          <w:lang w:val="es-ES"/>
        </w:rPr>
      </w:pPr>
    </w:p>
    <w:p w:rsidR="00080016" w:rsidRPr="00AB6097" w:rsidRDefault="00080016" w:rsidP="00180819">
      <w:pPr>
        <w:pStyle w:val="Endofdocument-Annex"/>
        <w:rPr>
          <w:lang w:val="es-ES"/>
        </w:rPr>
      </w:pPr>
    </w:p>
    <w:p w:rsidR="004C079B" w:rsidRPr="00AB6097" w:rsidRDefault="00080016" w:rsidP="00180819">
      <w:pPr>
        <w:pStyle w:val="Endofdocument-Annex"/>
        <w:rPr>
          <w:lang w:val="es-ES"/>
        </w:rPr>
      </w:pPr>
      <w:r w:rsidRPr="00AB6097">
        <w:rPr>
          <w:lang w:val="es-ES"/>
        </w:rPr>
        <w:t>[Sigue el Anexo]</w:t>
      </w:r>
    </w:p>
    <w:sectPr w:rsidR="004C079B" w:rsidRPr="00AB6097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AB" w:rsidRDefault="00B124AB">
      <w:r>
        <w:separator/>
      </w:r>
    </w:p>
  </w:endnote>
  <w:endnote w:type="continuationSeparator" w:id="0">
    <w:p w:rsidR="00B124AB" w:rsidRDefault="00B124AB" w:rsidP="003B38C1">
      <w:r>
        <w:separator/>
      </w:r>
    </w:p>
    <w:p w:rsidR="00B124AB" w:rsidRPr="003B38C1" w:rsidRDefault="00B124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124AB" w:rsidRPr="003B38C1" w:rsidRDefault="00B124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AB" w:rsidRDefault="00B124AB">
      <w:r>
        <w:separator/>
      </w:r>
    </w:p>
  </w:footnote>
  <w:footnote w:type="continuationSeparator" w:id="0">
    <w:p w:rsidR="00B124AB" w:rsidRDefault="00B124AB" w:rsidP="008B60B2">
      <w:r>
        <w:separator/>
      </w:r>
    </w:p>
    <w:p w:rsidR="00B124AB" w:rsidRPr="00ED77FB" w:rsidRDefault="00B124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124AB" w:rsidRPr="00ED77FB" w:rsidRDefault="00B124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3B77F5" w:rsidRDefault="00A03DF8" w:rsidP="00477D6B">
    <w:pPr>
      <w:jc w:val="right"/>
      <w:rPr>
        <w:lang w:val="es-ES"/>
      </w:rPr>
    </w:pPr>
    <w:r w:rsidRPr="003B77F5">
      <w:rPr>
        <w:lang w:val="es-ES"/>
      </w:rPr>
      <w:t>CWS/</w:t>
    </w:r>
    <w:r w:rsidR="00FE7245" w:rsidRPr="003B77F5">
      <w:rPr>
        <w:lang w:val="es-ES"/>
      </w:rPr>
      <w:t>5</w:t>
    </w:r>
    <w:r w:rsidRPr="003B77F5">
      <w:rPr>
        <w:lang w:val="es-ES"/>
      </w:rPr>
      <w:t>/</w:t>
    </w:r>
    <w:r w:rsidR="00F852B7" w:rsidRPr="003B77F5">
      <w:rPr>
        <w:lang w:val="es-ES"/>
      </w:rPr>
      <w:t>17</w:t>
    </w:r>
  </w:p>
  <w:p w:rsidR="00EC4E49" w:rsidRPr="003B77F5" w:rsidRDefault="003B77F5" w:rsidP="00477D6B">
    <w:pPr>
      <w:jc w:val="right"/>
      <w:rPr>
        <w:lang w:val="es-ES"/>
      </w:rPr>
    </w:pPr>
    <w:r>
      <w:rPr>
        <w:lang w:val="es-ES"/>
      </w:rPr>
      <w:t>página</w:t>
    </w:r>
    <w:r w:rsidR="00EC4E49" w:rsidRPr="003B77F5">
      <w:rPr>
        <w:lang w:val="es-ES"/>
      </w:rPr>
      <w:t xml:space="preserve"> </w:t>
    </w:r>
    <w:r w:rsidR="00EC4E49" w:rsidRPr="003B77F5">
      <w:rPr>
        <w:lang w:val="es-ES"/>
      </w:rPr>
      <w:fldChar w:fldCharType="begin"/>
    </w:r>
    <w:r w:rsidR="00EC4E49" w:rsidRPr="003B77F5">
      <w:rPr>
        <w:lang w:val="es-ES"/>
      </w:rPr>
      <w:instrText xml:space="preserve"> PAGE  \* MERGEFORMAT </w:instrText>
    </w:r>
    <w:r w:rsidR="00EC4E49" w:rsidRPr="003B77F5">
      <w:rPr>
        <w:lang w:val="es-ES"/>
      </w:rPr>
      <w:fldChar w:fldCharType="separate"/>
    </w:r>
    <w:r w:rsidR="00874091">
      <w:rPr>
        <w:noProof/>
        <w:lang w:val="es-ES"/>
      </w:rPr>
      <w:t>2</w:t>
    </w:r>
    <w:r w:rsidR="00EC4E49" w:rsidRPr="003B77F5">
      <w:rPr>
        <w:lang w:val="es-ES"/>
      </w:rPr>
      <w:fldChar w:fldCharType="end"/>
    </w:r>
  </w:p>
  <w:p w:rsidR="00EC4E49" w:rsidRDefault="00EC4E49" w:rsidP="00477D6B">
    <w:pPr>
      <w:jc w:val="right"/>
    </w:pPr>
  </w:p>
  <w:p w:rsidR="00D4344C" w:rsidRDefault="00D4344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D60FCD"/>
    <w:multiLevelType w:val="hybridMultilevel"/>
    <w:tmpl w:val="9F6C6E4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25D85"/>
    <w:multiLevelType w:val="hybridMultilevel"/>
    <w:tmpl w:val="345E5D10"/>
    <w:lvl w:ilvl="0" w:tplc="5FA228DE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5C323C"/>
    <w:multiLevelType w:val="hybridMultilevel"/>
    <w:tmpl w:val="C076E5B8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Auxiliar_Pool_STS|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XLegacy\LegacySTS"/>
    <w:docVar w:name="TextBaseURL" w:val="empty"/>
    <w:docVar w:name="UILng" w:val="en"/>
  </w:docVars>
  <w:rsids>
    <w:rsidRoot w:val="004C079B"/>
    <w:rsid w:val="00043CAA"/>
    <w:rsid w:val="00075432"/>
    <w:rsid w:val="00080016"/>
    <w:rsid w:val="000968ED"/>
    <w:rsid w:val="000A6EFF"/>
    <w:rsid w:val="000C5710"/>
    <w:rsid w:val="000E41A6"/>
    <w:rsid w:val="000E4A66"/>
    <w:rsid w:val="000F5E56"/>
    <w:rsid w:val="00102872"/>
    <w:rsid w:val="00103B9F"/>
    <w:rsid w:val="00106B37"/>
    <w:rsid w:val="00112D22"/>
    <w:rsid w:val="001362EE"/>
    <w:rsid w:val="00166058"/>
    <w:rsid w:val="00180819"/>
    <w:rsid w:val="001832A6"/>
    <w:rsid w:val="001A0084"/>
    <w:rsid w:val="001F0A03"/>
    <w:rsid w:val="00226097"/>
    <w:rsid w:val="002634C4"/>
    <w:rsid w:val="002928D3"/>
    <w:rsid w:val="002C6794"/>
    <w:rsid w:val="002D0648"/>
    <w:rsid w:val="002F1FE6"/>
    <w:rsid w:val="002F4E68"/>
    <w:rsid w:val="00302DB1"/>
    <w:rsid w:val="00312F7F"/>
    <w:rsid w:val="0033220D"/>
    <w:rsid w:val="00341817"/>
    <w:rsid w:val="00342A15"/>
    <w:rsid w:val="00361450"/>
    <w:rsid w:val="003673CF"/>
    <w:rsid w:val="003845C1"/>
    <w:rsid w:val="003A6F89"/>
    <w:rsid w:val="003B0876"/>
    <w:rsid w:val="003B29CE"/>
    <w:rsid w:val="003B38C1"/>
    <w:rsid w:val="003B5AA3"/>
    <w:rsid w:val="003B77F5"/>
    <w:rsid w:val="003E02D3"/>
    <w:rsid w:val="00423E3E"/>
    <w:rsid w:val="00427AF4"/>
    <w:rsid w:val="0045673A"/>
    <w:rsid w:val="004647DA"/>
    <w:rsid w:val="00470C5B"/>
    <w:rsid w:val="00474062"/>
    <w:rsid w:val="00477D6B"/>
    <w:rsid w:val="004906BA"/>
    <w:rsid w:val="004A266D"/>
    <w:rsid w:val="004A5299"/>
    <w:rsid w:val="004C079B"/>
    <w:rsid w:val="004D15B1"/>
    <w:rsid w:val="004E69D7"/>
    <w:rsid w:val="004F16B6"/>
    <w:rsid w:val="004F54CC"/>
    <w:rsid w:val="005019FF"/>
    <w:rsid w:val="0053057A"/>
    <w:rsid w:val="005366F5"/>
    <w:rsid w:val="00560A29"/>
    <w:rsid w:val="00562578"/>
    <w:rsid w:val="005C6649"/>
    <w:rsid w:val="005C7D9D"/>
    <w:rsid w:val="00605827"/>
    <w:rsid w:val="00622A81"/>
    <w:rsid w:val="00646050"/>
    <w:rsid w:val="00662341"/>
    <w:rsid w:val="006713CA"/>
    <w:rsid w:val="00676C5C"/>
    <w:rsid w:val="006C0107"/>
    <w:rsid w:val="006D55F9"/>
    <w:rsid w:val="00735879"/>
    <w:rsid w:val="007819D2"/>
    <w:rsid w:val="007C2240"/>
    <w:rsid w:val="007D0C7D"/>
    <w:rsid w:val="007D1613"/>
    <w:rsid w:val="00810D6C"/>
    <w:rsid w:val="00823E7A"/>
    <w:rsid w:val="00874091"/>
    <w:rsid w:val="008B2CC1"/>
    <w:rsid w:val="008B60B2"/>
    <w:rsid w:val="008C14AA"/>
    <w:rsid w:val="0090731E"/>
    <w:rsid w:val="00913781"/>
    <w:rsid w:val="00916EE2"/>
    <w:rsid w:val="00925CAB"/>
    <w:rsid w:val="00937D6F"/>
    <w:rsid w:val="00945F19"/>
    <w:rsid w:val="009551E4"/>
    <w:rsid w:val="00966A22"/>
    <w:rsid w:val="0096722F"/>
    <w:rsid w:val="00980843"/>
    <w:rsid w:val="009E2791"/>
    <w:rsid w:val="009E33B6"/>
    <w:rsid w:val="009E3F6F"/>
    <w:rsid w:val="009F499F"/>
    <w:rsid w:val="00A03DF8"/>
    <w:rsid w:val="00A33B66"/>
    <w:rsid w:val="00A42DAF"/>
    <w:rsid w:val="00A45BD8"/>
    <w:rsid w:val="00A869B7"/>
    <w:rsid w:val="00A9671E"/>
    <w:rsid w:val="00AB6097"/>
    <w:rsid w:val="00AC205C"/>
    <w:rsid w:val="00AC3F4A"/>
    <w:rsid w:val="00AF0A6B"/>
    <w:rsid w:val="00B05A69"/>
    <w:rsid w:val="00B124AB"/>
    <w:rsid w:val="00B33D93"/>
    <w:rsid w:val="00B510E8"/>
    <w:rsid w:val="00B77FAE"/>
    <w:rsid w:val="00B9734B"/>
    <w:rsid w:val="00C11BFE"/>
    <w:rsid w:val="00C2498D"/>
    <w:rsid w:val="00C24E3C"/>
    <w:rsid w:val="00D4344C"/>
    <w:rsid w:val="00D45252"/>
    <w:rsid w:val="00D71B4D"/>
    <w:rsid w:val="00D93D55"/>
    <w:rsid w:val="00DA5413"/>
    <w:rsid w:val="00DC3A11"/>
    <w:rsid w:val="00DC4DF7"/>
    <w:rsid w:val="00DF0955"/>
    <w:rsid w:val="00E10C49"/>
    <w:rsid w:val="00E335FE"/>
    <w:rsid w:val="00E80E13"/>
    <w:rsid w:val="00E84598"/>
    <w:rsid w:val="00EC4E49"/>
    <w:rsid w:val="00ED77FB"/>
    <w:rsid w:val="00EE45FA"/>
    <w:rsid w:val="00EF1DB5"/>
    <w:rsid w:val="00F120FB"/>
    <w:rsid w:val="00F66152"/>
    <w:rsid w:val="00F774E1"/>
    <w:rsid w:val="00F852B7"/>
    <w:rsid w:val="00FD5AF4"/>
    <w:rsid w:val="00FE7245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C5B1-0A57-40A9-B356-4A930220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3112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CWS/5/17</vt:lpstr>
    </vt:vector>
  </TitlesOfParts>
  <Company>WIPO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CWS/5/17 (in Spanish)</dc:title>
  <dc:subject>Creation of a Task to Establish Requirements for Design Electronic Visual Representations</dc:subject>
  <dc:creator>WIPO</dc:creator>
  <cp:keywords>CWS</cp:keywords>
  <dc:description/>
  <cp:lastModifiedBy>ZAGO Bétina</cp:lastModifiedBy>
  <cp:revision>5</cp:revision>
  <cp:lastPrinted>2017-04-04T13:06:00Z</cp:lastPrinted>
  <dcterms:created xsi:type="dcterms:W3CDTF">2017-05-02T07:24:00Z</dcterms:created>
  <dcterms:modified xsi:type="dcterms:W3CDTF">2017-05-02T07:31:00Z</dcterms:modified>
</cp:coreProperties>
</file>