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A71" w:rsidRPr="00BB3D75" w:rsidRDefault="001001B9" w:rsidP="00FA2A71">
      <w:pPr>
        <w:pStyle w:val="Heading1"/>
        <w:spacing w:before="0" w:after="340"/>
        <w:rPr>
          <w:lang w:val="es-ES_tradnl"/>
        </w:rPr>
      </w:pPr>
      <w:bookmarkStart w:id="0" w:name="_GoBack"/>
      <w:bookmarkEnd w:id="0"/>
      <w:r w:rsidRPr="00BB3D75">
        <w:rPr>
          <w:lang w:val="es-ES_tradnl"/>
        </w:rPr>
        <w:t>orden del día</w:t>
      </w:r>
    </w:p>
    <w:p w:rsidR="00FA2A71" w:rsidRPr="00BB3D75" w:rsidRDefault="001001B9" w:rsidP="00FA2A71">
      <w:pPr>
        <w:spacing w:after="340"/>
        <w:rPr>
          <w:i/>
          <w:lang w:val="es-ES_tradnl"/>
        </w:rPr>
      </w:pPr>
      <w:r w:rsidRPr="00BB3D75">
        <w:rPr>
          <w:i/>
          <w:lang w:val="es-ES_tradnl"/>
        </w:rPr>
        <w:t>preparado por la Secretaría</w:t>
      </w:r>
    </w:p>
    <w:p w:rsidR="00B67792" w:rsidRPr="00BB3D75" w:rsidRDefault="00B67792" w:rsidP="00302FDD">
      <w:pPr>
        <w:pStyle w:val="ONUME"/>
        <w:ind w:left="567" w:hanging="567"/>
        <w:rPr>
          <w:lang w:val="es-ES_tradnl"/>
        </w:rPr>
      </w:pPr>
      <w:r w:rsidRPr="00BB3D75">
        <w:rPr>
          <w:lang w:val="es-ES_tradnl"/>
        </w:rPr>
        <w:t>Apertura de la quinta sesión</w:t>
      </w:r>
    </w:p>
    <w:p w:rsidR="00B67792" w:rsidRPr="00BB3D75" w:rsidRDefault="00B67792" w:rsidP="00302FDD">
      <w:pPr>
        <w:pStyle w:val="ONUME"/>
        <w:ind w:left="567" w:hanging="567"/>
        <w:rPr>
          <w:lang w:val="es-ES_tradnl"/>
        </w:rPr>
      </w:pPr>
      <w:r w:rsidRPr="00BB3D75">
        <w:rPr>
          <w:lang w:val="es-ES_tradnl"/>
        </w:rPr>
        <w:t>Elección de presidente y dos vicepresidentes</w:t>
      </w:r>
    </w:p>
    <w:p w:rsidR="00B67792" w:rsidRPr="00BB3D75" w:rsidRDefault="00B67792" w:rsidP="00302FDD">
      <w:pPr>
        <w:pStyle w:val="ONUME"/>
        <w:spacing w:after="0"/>
        <w:ind w:left="567" w:hanging="567"/>
        <w:rPr>
          <w:lang w:val="es-ES_tradnl"/>
        </w:rPr>
      </w:pPr>
      <w:r w:rsidRPr="00BB3D75">
        <w:rPr>
          <w:lang w:val="es-ES_tradnl"/>
        </w:rPr>
        <w:t>Aprobación del orden del día</w:t>
      </w:r>
    </w:p>
    <w:p w:rsidR="00FA2A71" w:rsidRPr="00BB3D75" w:rsidRDefault="00FA2A71" w:rsidP="00302FDD">
      <w:pPr>
        <w:pStyle w:val="ONUME"/>
        <w:numPr>
          <w:ilvl w:val="0"/>
          <w:numId w:val="0"/>
        </w:numPr>
        <w:tabs>
          <w:tab w:val="left" w:pos="1134"/>
        </w:tabs>
        <w:rPr>
          <w:lang w:val="es-ES_tradnl"/>
        </w:rPr>
      </w:pPr>
      <w:r w:rsidRPr="00BB3D75">
        <w:rPr>
          <w:lang w:val="es-ES_tradnl"/>
        </w:rPr>
        <w:tab/>
      </w:r>
      <w:r w:rsidR="00B67792" w:rsidRPr="00BB3D75">
        <w:rPr>
          <w:lang w:val="es-ES_tradnl"/>
        </w:rPr>
        <w:t>Véase el presente documento.</w:t>
      </w:r>
    </w:p>
    <w:p w:rsidR="00B67792" w:rsidRPr="00BB3D75" w:rsidRDefault="00FF389A" w:rsidP="00302FDD">
      <w:pPr>
        <w:pStyle w:val="ONUME"/>
        <w:spacing w:after="0"/>
        <w:ind w:left="567" w:hanging="567"/>
        <w:rPr>
          <w:lang w:val="es-ES_tradnl"/>
        </w:rPr>
      </w:pPr>
      <w:r w:rsidRPr="00BB3D75">
        <w:rPr>
          <w:lang w:val="es-ES_tradnl"/>
        </w:rPr>
        <w:t>Informe de la encuesta sobre el uso de las normas técnicas de la OMPI</w:t>
      </w:r>
    </w:p>
    <w:p w:rsidR="00FA2A71" w:rsidRPr="00BB3D75" w:rsidRDefault="00FA2A71" w:rsidP="00302FDD">
      <w:pPr>
        <w:pStyle w:val="ONUME"/>
        <w:numPr>
          <w:ilvl w:val="0"/>
          <w:numId w:val="0"/>
        </w:numPr>
        <w:tabs>
          <w:tab w:val="left" w:pos="1134"/>
        </w:tabs>
        <w:rPr>
          <w:lang w:val="es-ES_tradnl"/>
        </w:rPr>
      </w:pPr>
      <w:r w:rsidRPr="00BB3D75">
        <w:rPr>
          <w:lang w:val="es-ES_tradnl"/>
        </w:rPr>
        <w:tab/>
      </w:r>
      <w:r w:rsidR="00B67792" w:rsidRPr="00BB3D75">
        <w:rPr>
          <w:lang w:val="es-ES_tradnl"/>
        </w:rPr>
        <w:t xml:space="preserve">Véase el documento </w:t>
      </w:r>
      <w:r w:rsidRPr="00BB3D75">
        <w:rPr>
          <w:lang w:val="es-ES_tradnl"/>
        </w:rPr>
        <w:t>CWS/5/2.</w:t>
      </w:r>
    </w:p>
    <w:p w:rsidR="00FF389A" w:rsidRPr="00BB3D75" w:rsidRDefault="00FF389A" w:rsidP="00302FDD">
      <w:pPr>
        <w:pStyle w:val="ONUME"/>
        <w:spacing w:after="0"/>
        <w:ind w:left="567" w:hanging="567"/>
        <w:rPr>
          <w:lang w:val="es-ES_tradnl"/>
        </w:rPr>
      </w:pPr>
      <w:r w:rsidRPr="00BB3D75">
        <w:rPr>
          <w:lang w:val="es-ES_tradnl"/>
        </w:rPr>
        <w:t>Decisión del 48º período de sesiones de la Asamblea General de la OMPI en relación con el CWS, incluidas las cuestiones relativas a la Agenda para el Desarrollo</w:t>
      </w:r>
      <w:r w:rsidRPr="00BB3D75">
        <w:rPr>
          <w:rStyle w:val="FootnoteReference"/>
          <w:lang w:val="es-ES_tradnl"/>
        </w:rPr>
        <w:footnoteReference w:id="2"/>
      </w:r>
    </w:p>
    <w:p w:rsidR="00FF389A" w:rsidRPr="00BB3D75" w:rsidRDefault="00FF389A" w:rsidP="00302FDD">
      <w:pPr>
        <w:pStyle w:val="ONUME"/>
        <w:numPr>
          <w:ilvl w:val="0"/>
          <w:numId w:val="0"/>
        </w:numPr>
        <w:tabs>
          <w:tab w:val="left" w:pos="1134"/>
        </w:tabs>
        <w:rPr>
          <w:lang w:val="es-ES_tradnl"/>
        </w:rPr>
      </w:pPr>
      <w:r w:rsidRPr="00BB3D75">
        <w:rPr>
          <w:lang w:val="es-ES_tradnl"/>
        </w:rPr>
        <w:tab/>
        <w:t>Véase el documento CWS/5/3.</w:t>
      </w:r>
    </w:p>
    <w:p w:rsidR="00FF389A" w:rsidRPr="00BB3D75" w:rsidRDefault="00FF389A" w:rsidP="00302FDD">
      <w:pPr>
        <w:pStyle w:val="ONUME"/>
        <w:spacing w:after="0"/>
        <w:ind w:left="567" w:hanging="567"/>
        <w:rPr>
          <w:lang w:val="es-ES_tradnl"/>
        </w:rPr>
      </w:pPr>
      <w:r w:rsidRPr="00BB3D75">
        <w:rPr>
          <w:lang w:val="es-ES_tradnl"/>
        </w:rPr>
        <w:t>Ampliación de la Norma ST.96 de la OMPI a fin de incorporar el esquema de lenguaje extensible de marcado (XML) para obras huérfanas e indicaciones geográficas</w:t>
      </w:r>
    </w:p>
    <w:p w:rsidR="00FF389A" w:rsidRPr="00BB3D75" w:rsidRDefault="00FF389A" w:rsidP="00302FDD">
      <w:pPr>
        <w:pStyle w:val="ONUME"/>
        <w:numPr>
          <w:ilvl w:val="0"/>
          <w:numId w:val="0"/>
        </w:numPr>
        <w:tabs>
          <w:tab w:val="left" w:pos="1134"/>
        </w:tabs>
        <w:rPr>
          <w:lang w:val="es-ES_tradnl"/>
        </w:rPr>
      </w:pPr>
      <w:r w:rsidRPr="00BB3D75">
        <w:rPr>
          <w:lang w:val="es-ES_tradnl"/>
        </w:rPr>
        <w:tab/>
        <w:t>Véase el documento CWS/5/4.</w:t>
      </w:r>
    </w:p>
    <w:p w:rsidR="00FF389A" w:rsidRPr="00BB3D75" w:rsidRDefault="00FF389A" w:rsidP="00302FDD">
      <w:pPr>
        <w:pStyle w:val="ONUME"/>
        <w:spacing w:after="0"/>
        <w:ind w:left="567" w:hanging="567"/>
        <w:rPr>
          <w:lang w:val="es-ES_tradnl"/>
        </w:rPr>
      </w:pPr>
      <w:r w:rsidRPr="00BB3D75">
        <w:rPr>
          <w:lang w:val="es-ES_tradnl"/>
        </w:rPr>
        <w:t>Informe del Equipo Técnico XML4IP sobre la Tarea Nº 41</w:t>
      </w:r>
    </w:p>
    <w:p w:rsidR="00FF389A" w:rsidRPr="00BB3D75" w:rsidRDefault="00FF389A" w:rsidP="00302FDD">
      <w:pPr>
        <w:pStyle w:val="ONUME"/>
        <w:numPr>
          <w:ilvl w:val="0"/>
          <w:numId w:val="0"/>
        </w:numPr>
        <w:tabs>
          <w:tab w:val="left" w:pos="1134"/>
        </w:tabs>
        <w:rPr>
          <w:lang w:val="es-ES_tradnl"/>
        </w:rPr>
      </w:pPr>
      <w:r w:rsidRPr="00BB3D75">
        <w:rPr>
          <w:lang w:val="es-ES_tradnl"/>
        </w:rPr>
        <w:tab/>
        <w:t>Véase el documento CWS/5/5.</w:t>
      </w:r>
    </w:p>
    <w:p w:rsidR="00FF389A" w:rsidRPr="00BB3D75" w:rsidRDefault="00FF389A" w:rsidP="00302FDD">
      <w:pPr>
        <w:pStyle w:val="ONUME"/>
        <w:spacing w:after="0"/>
        <w:ind w:left="567" w:hanging="567"/>
        <w:rPr>
          <w:lang w:val="es-ES_tradnl"/>
        </w:rPr>
      </w:pPr>
      <w:r w:rsidRPr="00BB3D75">
        <w:rPr>
          <w:lang w:val="es-ES_tradnl"/>
        </w:rPr>
        <w:t>Revisión de la Norma ST.26 de la OMP</w:t>
      </w:r>
      <w:r w:rsidR="00383852">
        <w:rPr>
          <w:lang w:val="es-ES_tradnl"/>
        </w:rPr>
        <w:t>I</w:t>
      </w:r>
    </w:p>
    <w:p w:rsidR="00FF389A" w:rsidRPr="00BB3D75" w:rsidRDefault="00FF389A" w:rsidP="00302FDD">
      <w:pPr>
        <w:pStyle w:val="ONUME"/>
        <w:numPr>
          <w:ilvl w:val="0"/>
          <w:numId w:val="0"/>
        </w:numPr>
        <w:tabs>
          <w:tab w:val="left" w:pos="1134"/>
        </w:tabs>
        <w:rPr>
          <w:lang w:val="es-ES_tradnl"/>
        </w:rPr>
      </w:pPr>
      <w:r w:rsidRPr="00BB3D75">
        <w:rPr>
          <w:lang w:val="es-ES_tradnl"/>
        </w:rPr>
        <w:tab/>
        <w:t>Véase el documento CWS/5/6.</w:t>
      </w:r>
    </w:p>
    <w:p w:rsidR="00FF389A" w:rsidRPr="00BB3D75" w:rsidRDefault="00FF389A" w:rsidP="00302FDD">
      <w:pPr>
        <w:pStyle w:val="ONUME"/>
        <w:spacing w:after="0"/>
        <w:ind w:left="567" w:hanging="567"/>
        <w:rPr>
          <w:lang w:val="es-ES_tradnl"/>
        </w:rPr>
      </w:pPr>
      <w:r w:rsidRPr="00BB3D75">
        <w:rPr>
          <w:lang w:val="es-ES_tradnl"/>
        </w:rPr>
        <w:t>Recomendaciones sobre las disposiciones relativas a la transición de la Norma ST.25 a la Norma ST.26 de la OMPI.</w:t>
      </w:r>
    </w:p>
    <w:p w:rsidR="00FF389A" w:rsidRPr="00BB3D75" w:rsidRDefault="00FF389A" w:rsidP="00302FDD">
      <w:pPr>
        <w:pStyle w:val="ONUME"/>
        <w:numPr>
          <w:ilvl w:val="0"/>
          <w:numId w:val="0"/>
        </w:numPr>
        <w:tabs>
          <w:tab w:val="left" w:pos="1134"/>
        </w:tabs>
        <w:rPr>
          <w:lang w:val="es-ES_tradnl"/>
        </w:rPr>
      </w:pPr>
      <w:r w:rsidRPr="00BB3D75">
        <w:rPr>
          <w:lang w:val="es-ES_tradnl"/>
        </w:rPr>
        <w:tab/>
        <w:t>Véanse los documentos CWS/5/7 Rev.1 y CWS/5/7 Rev.1 Add.</w:t>
      </w:r>
    </w:p>
    <w:p w:rsidR="00FF389A" w:rsidRPr="00BB3D75" w:rsidRDefault="00FF389A" w:rsidP="00302FDD">
      <w:pPr>
        <w:pStyle w:val="ONUME"/>
        <w:tabs>
          <w:tab w:val="clear" w:pos="567"/>
        </w:tabs>
        <w:ind w:left="567" w:hanging="567"/>
        <w:rPr>
          <w:lang w:val="es-ES_tradnl"/>
        </w:rPr>
      </w:pPr>
      <w:r w:rsidRPr="00BB3D75">
        <w:rPr>
          <w:lang w:val="es-ES_tradnl"/>
        </w:rPr>
        <w:t>Ponencia sobre la elaboración de la herramienta informática en relación con la Norma ST.26 de la OMPI</w:t>
      </w:r>
    </w:p>
    <w:p w:rsidR="00FF389A" w:rsidRPr="00BB3D75" w:rsidRDefault="00FF389A" w:rsidP="00302FDD">
      <w:pPr>
        <w:pStyle w:val="ONUME"/>
        <w:spacing w:after="0"/>
        <w:ind w:left="567" w:hanging="567"/>
        <w:rPr>
          <w:lang w:val="es-ES_tradnl"/>
        </w:rPr>
      </w:pPr>
      <w:r w:rsidRPr="00BB3D75">
        <w:rPr>
          <w:lang w:val="es-ES_tradnl"/>
        </w:rPr>
        <w:t>Nueva norma técnica de la OMPI para el intercambio de datos sobre la situación jurídica de las patentes por las oficinas de propiedad industrial</w:t>
      </w:r>
    </w:p>
    <w:p w:rsidR="00FF389A" w:rsidRPr="00BB3D75" w:rsidRDefault="00FF389A" w:rsidP="00302FDD">
      <w:pPr>
        <w:pStyle w:val="ONUME"/>
        <w:numPr>
          <w:ilvl w:val="0"/>
          <w:numId w:val="0"/>
        </w:numPr>
        <w:tabs>
          <w:tab w:val="left" w:pos="1134"/>
        </w:tabs>
        <w:rPr>
          <w:lang w:val="es-ES_tradnl"/>
        </w:rPr>
      </w:pPr>
      <w:r w:rsidRPr="00BB3D75">
        <w:rPr>
          <w:lang w:val="es-ES_tradnl"/>
        </w:rPr>
        <w:tab/>
        <w:t>Véase el documento CWS/5/8 Rev.1.</w:t>
      </w:r>
    </w:p>
    <w:p w:rsidR="00FF389A" w:rsidRPr="00BB3D75" w:rsidRDefault="00FF389A" w:rsidP="00302FDD">
      <w:pPr>
        <w:pStyle w:val="ONUME"/>
        <w:spacing w:after="0"/>
        <w:ind w:left="567" w:hanging="567"/>
        <w:rPr>
          <w:lang w:val="es-ES_tradnl"/>
        </w:rPr>
      </w:pPr>
      <w:r w:rsidRPr="00BB3D75">
        <w:rPr>
          <w:lang w:val="es-ES_tradnl"/>
        </w:rPr>
        <w:t>Nueva norma técnica de la OMPI relativa a un fichero de referencia sobre documentos de patente publicados por una oficina de patentes</w:t>
      </w:r>
    </w:p>
    <w:p w:rsidR="00FF389A" w:rsidRPr="00BB3D75" w:rsidRDefault="00FF389A" w:rsidP="00302FDD">
      <w:pPr>
        <w:pStyle w:val="ONUME"/>
        <w:numPr>
          <w:ilvl w:val="0"/>
          <w:numId w:val="0"/>
        </w:numPr>
        <w:tabs>
          <w:tab w:val="left" w:pos="1134"/>
        </w:tabs>
        <w:rPr>
          <w:lang w:val="es-ES_tradnl"/>
        </w:rPr>
      </w:pPr>
      <w:r w:rsidRPr="00BB3D75">
        <w:rPr>
          <w:lang w:val="es-ES_tradnl"/>
        </w:rPr>
        <w:tab/>
        <w:t>Véase el documento CWS/5/9.</w:t>
      </w:r>
    </w:p>
    <w:p w:rsidR="00FF389A" w:rsidRPr="00BB3D75" w:rsidRDefault="00FF389A" w:rsidP="00302FDD">
      <w:pPr>
        <w:pStyle w:val="ONUME"/>
        <w:spacing w:after="0"/>
        <w:ind w:left="567" w:hanging="567"/>
        <w:rPr>
          <w:lang w:val="es-ES_tradnl"/>
        </w:rPr>
      </w:pPr>
      <w:r w:rsidRPr="00BB3D75">
        <w:rPr>
          <w:lang w:val="es-ES_tradnl"/>
        </w:rPr>
        <w:t>Informe sobre la preparación de una nueva norma técnica de la OMPI relativa a la gestión electrónica de las marcas animadas o multimedia</w:t>
      </w:r>
    </w:p>
    <w:p w:rsidR="00FF389A" w:rsidRPr="00BB3D75" w:rsidRDefault="00FF389A" w:rsidP="00302FDD">
      <w:pPr>
        <w:pStyle w:val="ONUME"/>
        <w:numPr>
          <w:ilvl w:val="0"/>
          <w:numId w:val="0"/>
        </w:numPr>
        <w:tabs>
          <w:tab w:val="left" w:pos="1134"/>
        </w:tabs>
        <w:rPr>
          <w:lang w:val="es-ES_tradnl"/>
        </w:rPr>
      </w:pPr>
      <w:r w:rsidRPr="00BB3D75">
        <w:rPr>
          <w:lang w:val="es-ES_tradnl"/>
        </w:rPr>
        <w:tab/>
        <w:t>Véase el documento CWS/5/10.</w:t>
      </w:r>
    </w:p>
    <w:p w:rsidR="00FF389A" w:rsidRPr="00BB3D75" w:rsidRDefault="00FF389A" w:rsidP="00302FDD">
      <w:pPr>
        <w:pStyle w:val="ONUME"/>
        <w:spacing w:after="0"/>
        <w:ind w:left="567" w:hanging="567"/>
        <w:rPr>
          <w:lang w:val="es-ES_tradnl"/>
        </w:rPr>
      </w:pPr>
      <w:r w:rsidRPr="00BB3D75">
        <w:rPr>
          <w:lang w:val="es-ES_tradnl"/>
        </w:rPr>
        <w:t>Informe del Equipo Técnico de la Parte 7 sobre la Tarea Nº 50</w:t>
      </w:r>
    </w:p>
    <w:p w:rsidR="00FF389A" w:rsidRPr="00BB3D75" w:rsidRDefault="00FF389A" w:rsidP="00302FDD">
      <w:pPr>
        <w:pStyle w:val="ONUME"/>
        <w:numPr>
          <w:ilvl w:val="0"/>
          <w:numId w:val="0"/>
        </w:numPr>
        <w:tabs>
          <w:tab w:val="left" w:pos="1134"/>
        </w:tabs>
        <w:rPr>
          <w:lang w:val="es-ES_tradnl"/>
        </w:rPr>
      </w:pPr>
      <w:r w:rsidRPr="00BB3D75">
        <w:rPr>
          <w:lang w:val="es-ES_tradnl"/>
        </w:rPr>
        <w:tab/>
        <w:t>Véase el documento CWS/5/11.</w:t>
      </w:r>
    </w:p>
    <w:p w:rsidR="00FF389A" w:rsidRPr="00BB3D75" w:rsidRDefault="00FF389A" w:rsidP="00302FDD">
      <w:pPr>
        <w:pStyle w:val="ONUME"/>
        <w:keepNext/>
        <w:keepLines/>
        <w:spacing w:after="0"/>
        <w:ind w:left="567" w:hanging="567"/>
        <w:rPr>
          <w:lang w:val="es-ES_tradnl"/>
        </w:rPr>
      </w:pPr>
      <w:r w:rsidRPr="00BB3D75">
        <w:rPr>
          <w:lang w:val="es-ES_tradnl"/>
        </w:rPr>
        <w:lastRenderedPageBreak/>
        <w:t>Informe de la encuesta sobre los sistemas de numeración de las solicitudes y solicitudes de prioridad utilizados en el pasado por las oficinas de propiedad industrial</w:t>
      </w:r>
    </w:p>
    <w:p w:rsidR="00FF389A" w:rsidRPr="00BB3D75" w:rsidRDefault="00FF389A" w:rsidP="00302FDD">
      <w:pPr>
        <w:pStyle w:val="ONUME"/>
        <w:numPr>
          <w:ilvl w:val="0"/>
          <w:numId w:val="0"/>
        </w:numPr>
        <w:tabs>
          <w:tab w:val="left" w:pos="1134"/>
        </w:tabs>
        <w:rPr>
          <w:lang w:val="es-ES_tradnl"/>
        </w:rPr>
      </w:pPr>
      <w:r w:rsidRPr="00BB3D75">
        <w:rPr>
          <w:lang w:val="es-ES_tradnl"/>
        </w:rPr>
        <w:tab/>
        <w:t>Véase el documento CWS/5/12.</w:t>
      </w:r>
    </w:p>
    <w:p w:rsidR="00FF389A" w:rsidRPr="00BB3D75" w:rsidRDefault="00FF389A" w:rsidP="00302FDD">
      <w:pPr>
        <w:pStyle w:val="ONUME"/>
        <w:spacing w:after="0"/>
        <w:ind w:left="567" w:hanging="567"/>
        <w:rPr>
          <w:lang w:val="es-ES_tradnl"/>
        </w:rPr>
      </w:pPr>
      <w:r w:rsidRPr="00BB3D75">
        <w:rPr>
          <w:lang w:val="es-ES_tradnl"/>
        </w:rPr>
        <w:t>Cuestionario sobre la ampliación de la duración de la protección de la propiedad industrial</w:t>
      </w:r>
    </w:p>
    <w:p w:rsidR="00FF389A" w:rsidRPr="00BB3D75" w:rsidRDefault="00FF389A" w:rsidP="00302FDD">
      <w:pPr>
        <w:pStyle w:val="ONUME"/>
        <w:numPr>
          <w:ilvl w:val="0"/>
          <w:numId w:val="0"/>
        </w:numPr>
        <w:tabs>
          <w:tab w:val="left" w:pos="1134"/>
        </w:tabs>
        <w:rPr>
          <w:lang w:val="es-ES_tradnl"/>
        </w:rPr>
      </w:pPr>
      <w:r w:rsidRPr="00BB3D75">
        <w:rPr>
          <w:lang w:val="es-ES_tradnl"/>
        </w:rPr>
        <w:tab/>
        <w:t>Véase el documento CWS/5/13.</w:t>
      </w:r>
    </w:p>
    <w:p w:rsidR="00FF389A" w:rsidRPr="00BB3D75" w:rsidRDefault="00FF389A" w:rsidP="00302FDD">
      <w:pPr>
        <w:pStyle w:val="ONUME"/>
        <w:spacing w:after="0"/>
        <w:ind w:left="567" w:hanging="567"/>
        <w:rPr>
          <w:lang w:val="es-ES_tradnl"/>
        </w:rPr>
      </w:pPr>
      <w:r w:rsidRPr="00BB3D75">
        <w:rPr>
          <w:lang w:val="es-ES_tradnl"/>
        </w:rPr>
        <w:t>Normalización de los nombres de solicitantes</w:t>
      </w:r>
    </w:p>
    <w:p w:rsidR="00FF389A" w:rsidRPr="00BB3D75" w:rsidRDefault="00FF389A" w:rsidP="00302FDD">
      <w:pPr>
        <w:pStyle w:val="ONUME"/>
        <w:numPr>
          <w:ilvl w:val="0"/>
          <w:numId w:val="0"/>
        </w:numPr>
        <w:tabs>
          <w:tab w:val="left" w:pos="1134"/>
        </w:tabs>
        <w:rPr>
          <w:lang w:val="es-ES_tradnl"/>
        </w:rPr>
      </w:pPr>
      <w:r w:rsidRPr="00BB3D75">
        <w:rPr>
          <w:lang w:val="es-ES_tradnl"/>
        </w:rPr>
        <w:tab/>
        <w:t>Véanse los documentos CWS/5/14 y CWS/5/14 Add.</w:t>
      </w:r>
    </w:p>
    <w:p w:rsidR="00FF389A" w:rsidRPr="00BB3D75" w:rsidRDefault="00FF389A" w:rsidP="00302FDD">
      <w:pPr>
        <w:pStyle w:val="ONUME"/>
        <w:spacing w:after="0"/>
        <w:ind w:left="567" w:hanging="567"/>
        <w:rPr>
          <w:lang w:val="es-ES_tradnl"/>
        </w:rPr>
      </w:pPr>
      <w:r w:rsidRPr="00BB3D75">
        <w:rPr>
          <w:lang w:val="es-ES_tradnl"/>
        </w:rPr>
        <w:t>Creación de una tarea para elaborar recomendaciones relativas a servicios de Internet sobre información y documentos de P.I.</w:t>
      </w:r>
    </w:p>
    <w:p w:rsidR="00FF389A" w:rsidRPr="00BB3D75" w:rsidRDefault="00FF389A" w:rsidP="00302FDD">
      <w:pPr>
        <w:pStyle w:val="ONUME"/>
        <w:numPr>
          <w:ilvl w:val="0"/>
          <w:numId w:val="0"/>
        </w:numPr>
        <w:tabs>
          <w:tab w:val="left" w:pos="1134"/>
        </w:tabs>
        <w:rPr>
          <w:lang w:val="es-ES_tradnl"/>
        </w:rPr>
      </w:pPr>
      <w:r w:rsidRPr="00BB3D75">
        <w:rPr>
          <w:lang w:val="es-ES_tradnl"/>
        </w:rPr>
        <w:tab/>
        <w:t>Véase el documento CWS/5/15.</w:t>
      </w:r>
    </w:p>
    <w:p w:rsidR="00FF389A" w:rsidRPr="00BB3D75" w:rsidRDefault="00FF389A" w:rsidP="00302FDD">
      <w:pPr>
        <w:pStyle w:val="ONUME"/>
        <w:spacing w:after="0"/>
        <w:ind w:left="567" w:hanging="567"/>
        <w:rPr>
          <w:lang w:val="es-ES_tradnl"/>
        </w:rPr>
      </w:pPr>
      <w:r w:rsidRPr="00BB3D75">
        <w:rPr>
          <w:lang w:val="es-ES_tradnl"/>
        </w:rPr>
        <w:t>Creación de una tarea para elaborar recomendaciones relativas a registros nacionales y regionales de patentes</w:t>
      </w:r>
    </w:p>
    <w:p w:rsidR="00FF389A" w:rsidRPr="00BB3D75" w:rsidRDefault="00FF389A" w:rsidP="00302FDD">
      <w:pPr>
        <w:pStyle w:val="ONUME"/>
        <w:numPr>
          <w:ilvl w:val="0"/>
          <w:numId w:val="0"/>
        </w:numPr>
        <w:tabs>
          <w:tab w:val="left" w:pos="1134"/>
        </w:tabs>
        <w:rPr>
          <w:lang w:val="es-ES_tradnl"/>
        </w:rPr>
      </w:pPr>
      <w:r w:rsidRPr="00BB3D75">
        <w:rPr>
          <w:lang w:val="es-ES_tradnl"/>
        </w:rPr>
        <w:tab/>
        <w:t>Véase el documento CWS/5/16.</w:t>
      </w:r>
    </w:p>
    <w:p w:rsidR="00FF389A" w:rsidRPr="00BB3D75" w:rsidRDefault="00FF389A" w:rsidP="00302FDD">
      <w:pPr>
        <w:pStyle w:val="ONUME"/>
        <w:spacing w:after="0"/>
        <w:ind w:left="567" w:hanging="567"/>
        <w:rPr>
          <w:lang w:val="es-ES_tradnl"/>
        </w:rPr>
      </w:pPr>
      <w:r w:rsidRPr="00BB3D75">
        <w:rPr>
          <w:lang w:val="es-ES_tradnl"/>
        </w:rPr>
        <w:t>Creación de una tarea para establecer los requisitos relativos a las representaciones visuales de dibujos y modelos industriales presentadas en formato electrónico</w:t>
      </w:r>
    </w:p>
    <w:p w:rsidR="00FF389A" w:rsidRPr="00BB3D75" w:rsidRDefault="00FF389A" w:rsidP="00302FDD">
      <w:pPr>
        <w:pStyle w:val="ONUME"/>
        <w:numPr>
          <w:ilvl w:val="0"/>
          <w:numId w:val="0"/>
        </w:numPr>
        <w:tabs>
          <w:tab w:val="left" w:pos="1134"/>
        </w:tabs>
        <w:rPr>
          <w:lang w:val="es-ES_tradnl"/>
        </w:rPr>
      </w:pPr>
      <w:r w:rsidRPr="00BB3D75">
        <w:rPr>
          <w:lang w:val="es-ES_tradnl"/>
        </w:rPr>
        <w:tab/>
        <w:t>Véase el documento CWS/5/17.</w:t>
      </w:r>
    </w:p>
    <w:p w:rsidR="00FF389A" w:rsidRPr="00BB3D75" w:rsidRDefault="00FF389A" w:rsidP="00302FDD">
      <w:pPr>
        <w:pStyle w:val="ONUME"/>
        <w:spacing w:after="0"/>
        <w:ind w:left="567" w:hanging="567"/>
        <w:rPr>
          <w:lang w:val="es-ES_tradnl"/>
        </w:rPr>
      </w:pPr>
      <w:r w:rsidRPr="00BB3D75">
        <w:rPr>
          <w:lang w:val="es-ES_tradnl"/>
        </w:rPr>
        <w:t>Informe sobre los informes técnicos anuales (ATR)</w:t>
      </w:r>
    </w:p>
    <w:p w:rsidR="00FF389A" w:rsidRPr="00BB3D75" w:rsidRDefault="00FF389A" w:rsidP="00302FDD">
      <w:pPr>
        <w:pStyle w:val="ONUME"/>
        <w:numPr>
          <w:ilvl w:val="0"/>
          <w:numId w:val="0"/>
        </w:numPr>
        <w:tabs>
          <w:tab w:val="left" w:pos="1134"/>
        </w:tabs>
        <w:rPr>
          <w:lang w:val="es-ES_tradnl"/>
        </w:rPr>
      </w:pPr>
      <w:r w:rsidRPr="00BB3D75">
        <w:rPr>
          <w:lang w:val="es-ES_tradnl"/>
        </w:rPr>
        <w:tab/>
        <w:t>Véase el documento CWS/5/18.</w:t>
      </w:r>
    </w:p>
    <w:p w:rsidR="00FF389A" w:rsidRPr="00BB3D75" w:rsidRDefault="00FF389A" w:rsidP="00302FDD">
      <w:pPr>
        <w:pStyle w:val="ONUME"/>
        <w:spacing w:after="0"/>
        <w:ind w:left="567" w:hanging="567"/>
        <w:rPr>
          <w:lang w:val="es-ES_tradnl"/>
        </w:rPr>
      </w:pPr>
      <w:r w:rsidRPr="00BB3D75">
        <w:rPr>
          <w:lang w:val="es-ES_tradnl"/>
        </w:rPr>
        <w:t>Informe de la Oficina Internacional sobre la prestación de asesoramiento y asistencia técnica para el fortalecimiento de capacidades a las oficinas de propiedad industrial, con arreglo al mandato del CWS</w:t>
      </w:r>
    </w:p>
    <w:p w:rsidR="00FF389A" w:rsidRPr="00BB3D75" w:rsidRDefault="00FF389A" w:rsidP="00302FDD">
      <w:pPr>
        <w:pStyle w:val="ONUME"/>
        <w:numPr>
          <w:ilvl w:val="0"/>
          <w:numId w:val="0"/>
        </w:numPr>
        <w:tabs>
          <w:tab w:val="left" w:pos="1134"/>
        </w:tabs>
        <w:rPr>
          <w:lang w:val="es-ES_tradnl"/>
        </w:rPr>
      </w:pPr>
      <w:r w:rsidRPr="00BB3D75">
        <w:rPr>
          <w:lang w:val="es-ES_tradnl"/>
        </w:rPr>
        <w:tab/>
        <w:t>Véase el documento CWS/5/19</w:t>
      </w:r>
      <w:r w:rsidRPr="00BB3D75">
        <w:rPr>
          <w:szCs w:val="22"/>
          <w:lang w:val="es-ES_tradnl"/>
        </w:rPr>
        <w:t>.</w:t>
      </w:r>
    </w:p>
    <w:p w:rsidR="00FF389A" w:rsidRPr="00BB3D75" w:rsidRDefault="00FF389A" w:rsidP="00302FDD">
      <w:pPr>
        <w:pStyle w:val="ONUME"/>
        <w:spacing w:after="0"/>
        <w:ind w:left="567" w:hanging="567"/>
        <w:rPr>
          <w:lang w:val="es-ES_tradnl"/>
        </w:rPr>
      </w:pPr>
      <w:r w:rsidRPr="00BB3D75">
        <w:rPr>
          <w:lang w:val="es-ES_tradnl"/>
        </w:rPr>
        <w:t>Examen del programa de trabajo y de la lista de tareas del CWS</w:t>
      </w:r>
    </w:p>
    <w:p w:rsidR="00FF389A" w:rsidRPr="00BB3D75" w:rsidRDefault="00FF389A" w:rsidP="00302FDD">
      <w:pPr>
        <w:pStyle w:val="ONUME"/>
        <w:numPr>
          <w:ilvl w:val="0"/>
          <w:numId w:val="0"/>
        </w:numPr>
        <w:tabs>
          <w:tab w:val="left" w:pos="1134"/>
        </w:tabs>
        <w:rPr>
          <w:lang w:val="es-ES_tradnl"/>
        </w:rPr>
      </w:pPr>
      <w:r w:rsidRPr="00BB3D75">
        <w:rPr>
          <w:lang w:val="es-ES_tradnl"/>
        </w:rPr>
        <w:tab/>
        <w:t>Véase el documento CWS/5/20.</w:t>
      </w:r>
    </w:p>
    <w:p w:rsidR="00FF389A" w:rsidRPr="00BB3D75" w:rsidRDefault="00FF389A" w:rsidP="00302FDD">
      <w:pPr>
        <w:pStyle w:val="ONUME"/>
        <w:ind w:left="567" w:hanging="567"/>
        <w:rPr>
          <w:lang w:val="es-ES_tradnl"/>
        </w:rPr>
      </w:pPr>
      <w:r w:rsidRPr="00BB3D75">
        <w:rPr>
          <w:lang w:val="es-ES_tradnl"/>
        </w:rPr>
        <w:t>Resumen de la presidencia</w:t>
      </w:r>
    </w:p>
    <w:p w:rsidR="00FF389A" w:rsidRPr="00BB3D75" w:rsidRDefault="00FF389A" w:rsidP="00E92A9F">
      <w:pPr>
        <w:pStyle w:val="ONUME"/>
        <w:spacing w:after="0"/>
        <w:ind w:left="567" w:hanging="567"/>
        <w:rPr>
          <w:lang w:val="es-ES_tradnl"/>
        </w:rPr>
      </w:pPr>
      <w:r w:rsidRPr="00BB3D75">
        <w:rPr>
          <w:lang w:val="es-ES_tradnl"/>
        </w:rPr>
        <w:t>Clausura de la sesión</w:t>
      </w:r>
    </w:p>
    <w:p w:rsidR="00FA2A71" w:rsidRPr="00BB3D75" w:rsidRDefault="00FA2A71" w:rsidP="00E92A9F">
      <w:pPr>
        <w:pStyle w:val="ONUME"/>
        <w:numPr>
          <w:ilvl w:val="0"/>
          <w:numId w:val="0"/>
        </w:numPr>
        <w:spacing w:after="0"/>
        <w:ind w:left="5529"/>
        <w:rPr>
          <w:lang w:val="es-ES_tradnl"/>
        </w:rPr>
      </w:pPr>
    </w:p>
    <w:p w:rsidR="00FA2A71" w:rsidRPr="00BB3D75" w:rsidRDefault="00FA2A71" w:rsidP="00E92A9F">
      <w:pPr>
        <w:pStyle w:val="ONUME"/>
        <w:numPr>
          <w:ilvl w:val="0"/>
          <w:numId w:val="0"/>
        </w:numPr>
        <w:spacing w:after="0"/>
        <w:ind w:left="5529"/>
        <w:rPr>
          <w:lang w:val="es-ES_tradnl"/>
        </w:rPr>
      </w:pPr>
    </w:p>
    <w:p w:rsidR="00152CEA" w:rsidRPr="00BB3D75" w:rsidRDefault="00FA2A71" w:rsidP="00E92A9F">
      <w:pPr>
        <w:pStyle w:val="Endofdocument-Annex"/>
        <w:tabs>
          <w:tab w:val="num" w:pos="567"/>
        </w:tabs>
        <w:ind w:left="5529"/>
        <w:rPr>
          <w:lang w:val="es-ES_tradnl"/>
        </w:rPr>
      </w:pPr>
      <w:r w:rsidRPr="00BB3D75">
        <w:rPr>
          <w:lang w:val="es-ES_tradnl"/>
        </w:rPr>
        <w:t>[</w:t>
      </w:r>
      <w:r w:rsidR="00FF389A" w:rsidRPr="00BB3D75">
        <w:rPr>
          <w:lang w:val="es-ES_tradnl"/>
        </w:rPr>
        <w:t>Fin del Anexo II y del documento</w:t>
      </w:r>
      <w:r w:rsidRPr="00BB3D75">
        <w:rPr>
          <w:lang w:val="es-ES_tradnl"/>
        </w:rPr>
        <w:t>]</w:t>
      </w:r>
    </w:p>
    <w:sectPr w:rsidR="00152CEA" w:rsidRPr="00BB3D75" w:rsidSect="00FF389A">
      <w:headerReference w:type="default" r:id="rId9"/>
      <w:headerReference w:type="first" r:id="rId10"/>
      <w:footnotePr>
        <w:numRestart w:val="eachSect"/>
      </w:foot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212" w:rsidRDefault="009C5212">
      <w:r>
        <w:separator/>
      </w:r>
    </w:p>
  </w:endnote>
  <w:endnote w:type="continuationSeparator" w:id="0">
    <w:p w:rsidR="009C5212" w:rsidRPr="009D30E6" w:rsidRDefault="009C5212" w:rsidP="007E663E">
      <w:pPr>
        <w:rPr>
          <w:sz w:val="17"/>
          <w:szCs w:val="17"/>
        </w:rPr>
      </w:pPr>
      <w:r w:rsidRPr="009D30E6">
        <w:rPr>
          <w:sz w:val="17"/>
          <w:szCs w:val="17"/>
        </w:rPr>
        <w:separator/>
      </w:r>
    </w:p>
    <w:p w:rsidR="009C5212" w:rsidRPr="007E663E" w:rsidRDefault="009C5212" w:rsidP="007E663E">
      <w:pPr>
        <w:spacing w:after="60"/>
        <w:rPr>
          <w:sz w:val="17"/>
          <w:szCs w:val="17"/>
        </w:rPr>
      </w:pPr>
      <w:r>
        <w:rPr>
          <w:sz w:val="17"/>
        </w:rPr>
        <w:t>[Continuación de la nota de la página anterior]</w:t>
      </w:r>
    </w:p>
  </w:endnote>
  <w:endnote w:type="continuationNotice" w:id="1">
    <w:p w:rsidR="009C5212" w:rsidRPr="007E663E" w:rsidRDefault="009C521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212" w:rsidRDefault="009C5212">
      <w:r>
        <w:separator/>
      </w:r>
    </w:p>
  </w:footnote>
  <w:footnote w:type="continuationSeparator" w:id="0">
    <w:p w:rsidR="009C5212" w:rsidRPr="009D30E6" w:rsidRDefault="009C5212" w:rsidP="007E663E">
      <w:pPr>
        <w:rPr>
          <w:sz w:val="17"/>
          <w:szCs w:val="17"/>
        </w:rPr>
      </w:pPr>
      <w:r w:rsidRPr="009D30E6">
        <w:rPr>
          <w:sz w:val="17"/>
          <w:szCs w:val="17"/>
        </w:rPr>
        <w:separator/>
      </w:r>
    </w:p>
    <w:p w:rsidR="009C5212" w:rsidRPr="007E663E" w:rsidRDefault="009C5212" w:rsidP="007E663E">
      <w:pPr>
        <w:spacing w:after="60"/>
        <w:rPr>
          <w:sz w:val="17"/>
          <w:szCs w:val="17"/>
        </w:rPr>
      </w:pPr>
      <w:r>
        <w:rPr>
          <w:sz w:val="17"/>
        </w:rPr>
        <w:t>[Continuación de la nota de la página anterior]</w:t>
      </w:r>
    </w:p>
  </w:footnote>
  <w:footnote w:type="continuationNotice" w:id="1">
    <w:p w:rsidR="009C5212" w:rsidRPr="007E663E" w:rsidRDefault="009C5212" w:rsidP="007E663E">
      <w:pPr>
        <w:spacing w:before="60"/>
        <w:jc w:val="right"/>
        <w:rPr>
          <w:sz w:val="17"/>
          <w:szCs w:val="17"/>
        </w:rPr>
      </w:pPr>
      <w:r w:rsidRPr="007E663E">
        <w:rPr>
          <w:sz w:val="17"/>
          <w:szCs w:val="17"/>
        </w:rPr>
        <w:t>[Sigue la nota en la página siguiente]</w:t>
      </w:r>
    </w:p>
  </w:footnote>
  <w:footnote w:id="2">
    <w:p w:rsidR="009C5212" w:rsidRPr="00067D85" w:rsidRDefault="009C5212" w:rsidP="00FF389A">
      <w:pPr>
        <w:pStyle w:val="FootnoteText"/>
      </w:pPr>
      <w:r w:rsidRPr="00067D85">
        <w:rPr>
          <w:rStyle w:val="FootnoteReference"/>
        </w:rPr>
        <w:footnoteRef/>
      </w:r>
      <w:r w:rsidRPr="00067D85">
        <w:t xml:space="preserve"> Este punto del orden del día se entiende sin perjuicio de las posturas de los Estados miembros sobre la cuestión de si el CWS es pertinente para el mecanismo de coordinación de la Agenda para el Desarrollo.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5D0" w:rsidRDefault="001035D0" w:rsidP="00477D6B">
    <w:pPr>
      <w:jc w:val="right"/>
    </w:pPr>
    <w:r>
      <w:t>CWS/5/22</w:t>
    </w:r>
  </w:p>
  <w:p w:rsidR="009C5212" w:rsidRDefault="00E92A9F" w:rsidP="00477D6B">
    <w:pPr>
      <w:jc w:val="right"/>
    </w:pPr>
    <w:r>
      <w:t xml:space="preserve">Anexo II, </w:t>
    </w:r>
    <w:r w:rsidR="009C5212">
      <w:t xml:space="preserve">página </w:t>
    </w:r>
    <w:r w:rsidR="009C5212">
      <w:fldChar w:fldCharType="begin"/>
    </w:r>
    <w:r w:rsidR="009C5212">
      <w:instrText xml:space="preserve"> PAGE  \* MERGEFORMAT </w:instrText>
    </w:r>
    <w:r w:rsidR="009C5212">
      <w:fldChar w:fldCharType="separate"/>
    </w:r>
    <w:r w:rsidR="001035D0">
      <w:rPr>
        <w:noProof/>
      </w:rPr>
      <w:t>2</w:t>
    </w:r>
    <w:r w:rsidR="009C5212">
      <w:fldChar w:fldCharType="end"/>
    </w:r>
  </w:p>
  <w:p w:rsidR="009C5212" w:rsidRDefault="009C5212" w:rsidP="00477D6B">
    <w:pPr>
      <w:jc w:val="right"/>
    </w:pPr>
  </w:p>
  <w:p w:rsidR="00E92A9F" w:rsidRDefault="00E92A9F"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5D0" w:rsidRDefault="009C5212" w:rsidP="00FF389A">
    <w:pPr>
      <w:jc w:val="right"/>
    </w:pPr>
    <w:r>
      <w:t>CWS/5/22</w:t>
    </w:r>
  </w:p>
  <w:p w:rsidR="009C5212" w:rsidRDefault="009C5212" w:rsidP="00FF389A">
    <w:pPr>
      <w:jc w:val="right"/>
    </w:pPr>
    <w:r>
      <w:t>ANEXO II</w:t>
    </w:r>
  </w:p>
  <w:p w:rsidR="009C5212" w:rsidRDefault="009C5212" w:rsidP="00FF389A">
    <w:pPr>
      <w:jc w:val="right"/>
    </w:pPr>
  </w:p>
  <w:p w:rsidR="00E92A9F" w:rsidRDefault="00E92A9F" w:rsidP="00FF389A">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40743"/>
    <w:multiLevelType w:val="hybridMultilevel"/>
    <w:tmpl w:val="A242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344C4"/>
    <w:multiLevelType w:val="hybridMultilevel"/>
    <w:tmpl w:val="5E4AABEC"/>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DC8516E"/>
    <w:multiLevelType w:val="hybridMultilevel"/>
    <w:tmpl w:val="5924337C"/>
    <w:lvl w:ilvl="0" w:tplc="3ACE79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3314B72"/>
    <w:multiLevelType w:val="hybridMultilevel"/>
    <w:tmpl w:val="C58053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FB2E7D"/>
    <w:multiLevelType w:val="hybridMultilevel"/>
    <w:tmpl w:val="8F3A4B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D4019C"/>
    <w:multiLevelType w:val="hybridMultilevel"/>
    <w:tmpl w:val="976460D8"/>
    <w:lvl w:ilvl="0" w:tplc="04090017">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56A25E86"/>
    <w:multiLevelType w:val="hybridMultilevel"/>
    <w:tmpl w:val="73D4F878"/>
    <w:lvl w:ilvl="0" w:tplc="3ACE79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491249"/>
    <w:multiLevelType w:val="hybridMultilevel"/>
    <w:tmpl w:val="341A487A"/>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FD54AFA"/>
    <w:multiLevelType w:val="hybridMultilevel"/>
    <w:tmpl w:val="A6EC30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921090"/>
    <w:multiLevelType w:val="hybridMultilevel"/>
    <w:tmpl w:val="CA524D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B85244"/>
    <w:multiLevelType w:val="hybridMultilevel"/>
    <w:tmpl w:val="8D8812F0"/>
    <w:lvl w:ilvl="0" w:tplc="04090017">
      <w:start w:val="1"/>
      <w:numFmt w:val="lowerLetter"/>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4">
    <w:nsid w:val="6F95669C"/>
    <w:multiLevelType w:val="multilevel"/>
    <w:tmpl w:val="B6FC4F68"/>
    <w:lvl w:ilvl="0">
      <w:start w:val="1"/>
      <w:numFmt w:val="lowerLetter"/>
      <w:lvlText w:val="%1)"/>
      <w:lvlJc w:val="left"/>
      <w:pPr>
        <w:tabs>
          <w:tab w:val="num" w:pos="1134"/>
        </w:tabs>
        <w:ind w:left="567" w:firstLine="0"/>
      </w:pPr>
      <w:rPr>
        <w:rFonts w:hint="default"/>
        <w:color w:val="auto"/>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num w:numId="1">
    <w:abstractNumId w:val="7"/>
  </w:num>
  <w:num w:numId="2">
    <w:abstractNumId w:val="2"/>
  </w:num>
  <w:num w:numId="3">
    <w:abstractNumId w:val="4"/>
  </w:num>
  <w:num w:numId="4">
    <w:abstractNumId w:val="1"/>
  </w:num>
  <w:num w:numId="5">
    <w:abstractNumId w:val="11"/>
  </w:num>
  <w:num w:numId="6">
    <w:abstractNumId w:val="8"/>
  </w:num>
  <w:num w:numId="7">
    <w:abstractNumId w:val="3"/>
  </w:num>
  <w:num w:numId="8">
    <w:abstractNumId w:val="5"/>
  </w:num>
  <w:num w:numId="9">
    <w:abstractNumId w:val="12"/>
  </w:num>
  <w:num w:numId="10">
    <w:abstractNumId w:val="6"/>
  </w:num>
  <w:num w:numId="11">
    <w:abstractNumId w:val="13"/>
  </w:num>
  <w:num w:numId="12">
    <w:abstractNumId w:val="9"/>
  </w:num>
  <w:num w:numId="13">
    <w:abstractNumId w:val="14"/>
  </w:num>
  <w:num w:numId="14">
    <w:abstractNumId w:val="0"/>
  </w:num>
  <w:num w:numId="15">
    <w:abstractNumId w:val="10"/>
  </w:num>
  <w:num w:numId="16">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0721"/>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A71"/>
    <w:rsid w:val="00010686"/>
    <w:rsid w:val="00052915"/>
    <w:rsid w:val="00067D85"/>
    <w:rsid w:val="000711A1"/>
    <w:rsid w:val="00090F31"/>
    <w:rsid w:val="000A3B52"/>
    <w:rsid w:val="000E1248"/>
    <w:rsid w:val="000E3BB3"/>
    <w:rsid w:val="000E5A25"/>
    <w:rsid w:val="000F5E56"/>
    <w:rsid w:val="001001B9"/>
    <w:rsid w:val="001035D0"/>
    <w:rsid w:val="001050F8"/>
    <w:rsid w:val="00126CDE"/>
    <w:rsid w:val="001362EE"/>
    <w:rsid w:val="00152CEA"/>
    <w:rsid w:val="001666B8"/>
    <w:rsid w:val="001832A6"/>
    <w:rsid w:val="001A104F"/>
    <w:rsid w:val="001A2AD7"/>
    <w:rsid w:val="001C0F15"/>
    <w:rsid w:val="001C2D38"/>
    <w:rsid w:val="001D2EE3"/>
    <w:rsid w:val="001D54A0"/>
    <w:rsid w:val="001E120E"/>
    <w:rsid w:val="001E52C2"/>
    <w:rsid w:val="001E7127"/>
    <w:rsid w:val="001F7FFB"/>
    <w:rsid w:val="00206580"/>
    <w:rsid w:val="002177D3"/>
    <w:rsid w:val="00230E56"/>
    <w:rsid w:val="002610DE"/>
    <w:rsid w:val="002634C4"/>
    <w:rsid w:val="0026540E"/>
    <w:rsid w:val="0026545A"/>
    <w:rsid w:val="002A0B7B"/>
    <w:rsid w:val="002B71B6"/>
    <w:rsid w:val="002C7A22"/>
    <w:rsid w:val="002D46AB"/>
    <w:rsid w:val="002E097F"/>
    <w:rsid w:val="002E0F47"/>
    <w:rsid w:val="002F4E68"/>
    <w:rsid w:val="002F7B76"/>
    <w:rsid w:val="00302FDD"/>
    <w:rsid w:val="00314D57"/>
    <w:rsid w:val="00354647"/>
    <w:rsid w:val="00366A72"/>
    <w:rsid w:val="003705D8"/>
    <w:rsid w:val="00377273"/>
    <w:rsid w:val="00383852"/>
    <w:rsid w:val="003845C1"/>
    <w:rsid w:val="00387287"/>
    <w:rsid w:val="00390BCD"/>
    <w:rsid w:val="003E48F1"/>
    <w:rsid w:val="003F347A"/>
    <w:rsid w:val="003F4D1F"/>
    <w:rsid w:val="00402F98"/>
    <w:rsid w:val="0040350E"/>
    <w:rsid w:val="00406486"/>
    <w:rsid w:val="00423E3E"/>
    <w:rsid w:val="00427AF4"/>
    <w:rsid w:val="0045231F"/>
    <w:rsid w:val="004647DA"/>
    <w:rsid w:val="00465C6A"/>
    <w:rsid w:val="0046793F"/>
    <w:rsid w:val="00477808"/>
    <w:rsid w:val="00477D6B"/>
    <w:rsid w:val="004A63DE"/>
    <w:rsid w:val="004A6C37"/>
    <w:rsid w:val="004B1120"/>
    <w:rsid w:val="004E279F"/>
    <w:rsid w:val="004E297D"/>
    <w:rsid w:val="004E54B3"/>
    <w:rsid w:val="005101C3"/>
    <w:rsid w:val="00530BA4"/>
    <w:rsid w:val="00531B02"/>
    <w:rsid w:val="005332F0"/>
    <w:rsid w:val="00546B05"/>
    <w:rsid w:val="0055013B"/>
    <w:rsid w:val="00555B0C"/>
    <w:rsid w:val="00556C1C"/>
    <w:rsid w:val="00571B99"/>
    <w:rsid w:val="0058153E"/>
    <w:rsid w:val="005924A1"/>
    <w:rsid w:val="005A49D8"/>
    <w:rsid w:val="005B12CB"/>
    <w:rsid w:val="005B6D1E"/>
    <w:rsid w:val="005C7461"/>
    <w:rsid w:val="005C7E62"/>
    <w:rsid w:val="005E67D7"/>
    <w:rsid w:val="005F61D0"/>
    <w:rsid w:val="00605827"/>
    <w:rsid w:val="00613D0D"/>
    <w:rsid w:val="00642829"/>
    <w:rsid w:val="00642A19"/>
    <w:rsid w:val="00653B3D"/>
    <w:rsid w:val="00653D5F"/>
    <w:rsid w:val="006639EA"/>
    <w:rsid w:val="00675021"/>
    <w:rsid w:val="006A06C6"/>
    <w:rsid w:val="006A3C2D"/>
    <w:rsid w:val="006B7EB6"/>
    <w:rsid w:val="006C27FA"/>
    <w:rsid w:val="00700466"/>
    <w:rsid w:val="00712312"/>
    <w:rsid w:val="00716DB4"/>
    <w:rsid w:val="007207FA"/>
    <w:rsid w:val="007224C8"/>
    <w:rsid w:val="00723B1D"/>
    <w:rsid w:val="0074347A"/>
    <w:rsid w:val="00760768"/>
    <w:rsid w:val="00794BE2"/>
    <w:rsid w:val="007A5581"/>
    <w:rsid w:val="007B71FE"/>
    <w:rsid w:val="007C7B08"/>
    <w:rsid w:val="007D781E"/>
    <w:rsid w:val="007E663E"/>
    <w:rsid w:val="007F42F7"/>
    <w:rsid w:val="00814F51"/>
    <w:rsid w:val="00815082"/>
    <w:rsid w:val="0083365C"/>
    <w:rsid w:val="00871528"/>
    <w:rsid w:val="0088395E"/>
    <w:rsid w:val="008956EA"/>
    <w:rsid w:val="008B2CC1"/>
    <w:rsid w:val="008B5D0E"/>
    <w:rsid w:val="008E41F0"/>
    <w:rsid w:val="008E6BD6"/>
    <w:rsid w:val="009048E0"/>
    <w:rsid w:val="0090731E"/>
    <w:rsid w:val="00941D91"/>
    <w:rsid w:val="00966A22"/>
    <w:rsid w:val="00972F03"/>
    <w:rsid w:val="00976B81"/>
    <w:rsid w:val="009A0C8B"/>
    <w:rsid w:val="009A20CD"/>
    <w:rsid w:val="009A7383"/>
    <w:rsid w:val="009A73EA"/>
    <w:rsid w:val="009B6241"/>
    <w:rsid w:val="009B78C8"/>
    <w:rsid w:val="009C5212"/>
    <w:rsid w:val="009D1D9A"/>
    <w:rsid w:val="009E058A"/>
    <w:rsid w:val="009F633A"/>
    <w:rsid w:val="00A05D82"/>
    <w:rsid w:val="00A16FC0"/>
    <w:rsid w:val="00A32C9E"/>
    <w:rsid w:val="00A467A0"/>
    <w:rsid w:val="00AB613D"/>
    <w:rsid w:val="00AC5E9E"/>
    <w:rsid w:val="00AE48D6"/>
    <w:rsid w:val="00AE7F20"/>
    <w:rsid w:val="00AF1C87"/>
    <w:rsid w:val="00AF6097"/>
    <w:rsid w:val="00B31B34"/>
    <w:rsid w:val="00B31D21"/>
    <w:rsid w:val="00B534D5"/>
    <w:rsid w:val="00B65A0A"/>
    <w:rsid w:val="00B6621A"/>
    <w:rsid w:val="00B67792"/>
    <w:rsid w:val="00B67CDC"/>
    <w:rsid w:val="00B72D36"/>
    <w:rsid w:val="00B96362"/>
    <w:rsid w:val="00BA4FEB"/>
    <w:rsid w:val="00BB3D75"/>
    <w:rsid w:val="00BB405A"/>
    <w:rsid w:val="00BC03DC"/>
    <w:rsid w:val="00BC4164"/>
    <w:rsid w:val="00BD2DCC"/>
    <w:rsid w:val="00BE63F2"/>
    <w:rsid w:val="00BE662B"/>
    <w:rsid w:val="00BF0A0E"/>
    <w:rsid w:val="00C04D9F"/>
    <w:rsid w:val="00C13057"/>
    <w:rsid w:val="00C17313"/>
    <w:rsid w:val="00C24E20"/>
    <w:rsid w:val="00C367EC"/>
    <w:rsid w:val="00C4390F"/>
    <w:rsid w:val="00C546E3"/>
    <w:rsid w:val="00C741AD"/>
    <w:rsid w:val="00C875AE"/>
    <w:rsid w:val="00C90559"/>
    <w:rsid w:val="00CA2251"/>
    <w:rsid w:val="00CA55FC"/>
    <w:rsid w:val="00CD70A5"/>
    <w:rsid w:val="00CF3E49"/>
    <w:rsid w:val="00D14173"/>
    <w:rsid w:val="00D31D97"/>
    <w:rsid w:val="00D37976"/>
    <w:rsid w:val="00D53B07"/>
    <w:rsid w:val="00D56C7C"/>
    <w:rsid w:val="00D71B4D"/>
    <w:rsid w:val="00D74D53"/>
    <w:rsid w:val="00D90196"/>
    <w:rsid w:val="00D90289"/>
    <w:rsid w:val="00D93D55"/>
    <w:rsid w:val="00DA1D47"/>
    <w:rsid w:val="00DA6E97"/>
    <w:rsid w:val="00DC4C60"/>
    <w:rsid w:val="00DC5E5F"/>
    <w:rsid w:val="00DC793D"/>
    <w:rsid w:val="00E0079A"/>
    <w:rsid w:val="00E1162B"/>
    <w:rsid w:val="00E33F20"/>
    <w:rsid w:val="00E40D02"/>
    <w:rsid w:val="00E42FD6"/>
    <w:rsid w:val="00E444DA"/>
    <w:rsid w:val="00E45C84"/>
    <w:rsid w:val="00E504E5"/>
    <w:rsid w:val="00E571EC"/>
    <w:rsid w:val="00E91901"/>
    <w:rsid w:val="00E92A9F"/>
    <w:rsid w:val="00EA1C3E"/>
    <w:rsid w:val="00EB7A3E"/>
    <w:rsid w:val="00EC2F5A"/>
    <w:rsid w:val="00EC401A"/>
    <w:rsid w:val="00EF00B8"/>
    <w:rsid w:val="00EF431E"/>
    <w:rsid w:val="00EF530A"/>
    <w:rsid w:val="00EF6152"/>
    <w:rsid w:val="00EF6622"/>
    <w:rsid w:val="00EF78A9"/>
    <w:rsid w:val="00EF7933"/>
    <w:rsid w:val="00F26107"/>
    <w:rsid w:val="00F43A3F"/>
    <w:rsid w:val="00F55408"/>
    <w:rsid w:val="00F66152"/>
    <w:rsid w:val="00F80845"/>
    <w:rsid w:val="00F84474"/>
    <w:rsid w:val="00F85C95"/>
    <w:rsid w:val="00F972BF"/>
    <w:rsid w:val="00FA0F0D"/>
    <w:rsid w:val="00FA2A71"/>
    <w:rsid w:val="00FA753E"/>
    <w:rsid w:val="00FD59D1"/>
    <w:rsid w:val="00FE10DE"/>
    <w:rsid w:val="00FE3E9C"/>
    <w:rsid w:val="00FE59B7"/>
    <w:rsid w:val="00FF389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716DB4"/>
    <w:rPr>
      <w:rFonts w:ascii="Tahoma" w:hAnsi="Tahoma" w:cs="Tahoma"/>
      <w:sz w:val="16"/>
      <w:szCs w:val="16"/>
    </w:rPr>
  </w:style>
  <w:style w:type="character" w:customStyle="1" w:styleId="BalloonTextChar">
    <w:name w:val="Balloon Text Char"/>
    <w:basedOn w:val="DefaultParagraphFont"/>
    <w:link w:val="BalloonText"/>
    <w:rsid w:val="00716DB4"/>
    <w:rPr>
      <w:rFonts w:ascii="Tahoma" w:eastAsia="SimSun" w:hAnsi="Tahoma" w:cs="Tahoma"/>
      <w:sz w:val="16"/>
      <w:szCs w:val="16"/>
      <w:lang w:val="es-ES" w:eastAsia="zh-CN"/>
    </w:rPr>
  </w:style>
  <w:style w:type="character" w:customStyle="1" w:styleId="Heading2Char">
    <w:name w:val="Heading 2 Char"/>
    <w:basedOn w:val="DefaultParagraphFont"/>
    <w:link w:val="Heading2"/>
    <w:rsid w:val="00FA2A71"/>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FA2A71"/>
    <w:rPr>
      <w:rFonts w:ascii="Arial" w:eastAsia="SimSun" w:hAnsi="Arial" w:cs="Arial"/>
      <w:bCs/>
      <w:sz w:val="22"/>
      <w:szCs w:val="26"/>
      <w:u w:val="single"/>
      <w:lang w:val="es-ES" w:eastAsia="zh-CN"/>
    </w:rPr>
  </w:style>
  <w:style w:type="paragraph" w:customStyle="1" w:styleId="Endofdocument">
    <w:name w:val="End of document"/>
    <w:basedOn w:val="Normal"/>
    <w:rsid w:val="00FA2A71"/>
    <w:pPr>
      <w:spacing w:line="260" w:lineRule="atLeast"/>
      <w:ind w:left="5534"/>
    </w:pPr>
    <w:rPr>
      <w:rFonts w:eastAsia="Times New Roman" w:cs="Times New Roman"/>
      <w:sz w:val="20"/>
      <w:lang w:val="en-US" w:eastAsia="en-US"/>
    </w:rPr>
  </w:style>
  <w:style w:type="character" w:customStyle="1" w:styleId="FootnoteTextChar">
    <w:name w:val="Footnote Text Char"/>
    <w:basedOn w:val="DefaultParagraphFont"/>
    <w:link w:val="FootnoteText"/>
    <w:semiHidden/>
    <w:rsid w:val="00FA2A71"/>
    <w:rPr>
      <w:rFonts w:ascii="Arial" w:eastAsia="SimSun" w:hAnsi="Arial" w:cs="Arial"/>
      <w:sz w:val="18"/>
      <w:lang w:val="es-ES" w:eastAsia="zh-CN"/>
    </w:rPr>
  </w:style>
  <w:style w:type="character" w:customStyle="1" w:styleId="ONUMEChar">
    <w:name w:val="ONUM E Char"/>
    <w:link w:val="ONUME"/>
    <w:rsid w:val="00FA2A71"/>
    <w:rPr>
      <w:rFonts w:ascii="Arial" w:eastAsia="SimSun" w:hAnsi="Arial" w:cs="Arial"/>
      <w:sz w:val="22"/>
      <w:lang w:val="es-ES" w:eastAsia="zh-CN"/>
    </w:rPr>
  </w:style>
  <w:style w:type="character" w:styleId="FootnoteReference">
    <w:name w:val="footnote reference"/>
    <w:rsid w:val="00FA2A71"/>
    <w:rPr>
      <w:vertAlign w:val="superscript"/>
    </w:rPr>
  </w:style>
  <w:style w:type="character" w:styleId="CommentReference">
    <w:name w:val="annotation reference"/>
    <w:basedOn w:val="DefaultParagraphFont"/>
    <w:rsid w:val="00FA2A71"/>
    <w:rPr>
      <w:sz w:val="16"/>
      <w:szCs w:val="16"/>
    </w:rPr>
  </w:style>
  <w:style w:type="paragraph" w:styleId="CommentSubject">
    <w:name w:val="annotation subject"/>
    <w:basedOn w:val="CommentText"/>
    <w:next w:val="CommentText"/>
    <w:link w:val="CommentSubjectChar"/>
    <w:rsid w:val="00FA2A71"/>
    <w:rPr>
      <w:b/>
      <w:bCs/>
      <w:sz w:val="20"/>
      <w:lang w:val="en-US"/>
    </w:rPr>
  </w:style>
  <w:style w:type="character" w:customStyle="1" w:styleId="CommentTextChar">
    <w:name w:val="Comment Text Char"/>
    <w:basedOn w:val="DefaultParagraphFont"/>
    <w:link w:val="CommentText"/>
    <w:semiHidden/>
    <w:rsid w:val="00FA2A71"/>
    <w:rPr>
      <w:rFonts w:ascii="Arial" w:eastAsia="SimSun" w:hAnsi="Arial" w:cs="Arial"/>
      <w:sz w:val="18"/>
      <w:lang w:val="es-ES" w:eastAsia="zh-CN"/>
    </w:rPr>
  </w:style>
  <w:style w:type="character" w:customStyle="1" w:styleId="CommentSubjectChar">
    <w:name w:val="Comment Subject Char"/>
    <w:basedOn w:val="CommentTextChar"/>
    <w:link w:val="CommentSubject"/>
    <w:rsid w:val="00FA2A71"/>
    <w:rPr>
      <w:rFonts w:ascii="Arial" w:eastAsia="SimSun" w:hAnsi="Arial" w:cs="Arial"/>
      <w:b/>
      <w:bCs/>
      <w:sz w:val="18"/>
      <w:lang w:val="es-ES" w:eastAsia="zh-CN"/>
    </w:rPr>
  </w:style>
  <w:style w:type="character" w:customStyle="1" w:styleId="apple-converted-space">
    <w:name w:val="apple-converted-space"/>
    <w:basedOn w:val="DefaultParagraphFont"/>
    <w:rsid w:val="00FA2A71"/>
  </w:style>
  <w:style w:type="character" w:styleId="Emphasis">
    <w:name w:val="Emphasis"/>
    <w:basedOn w:val="DefaultParagraphFont"/>
    <w:uiPriority w:val="20"/>
    <w:qFormat/>
    <w:rsid w:val="00FA2A71"/>
    <w:rPr>
      <w:i/>
      <w:iCs/>
    </w:rPr>
  </w:style>
  <w:style w:type="paragraph" w:styleId="Revision">
    <w:name w:val="Revision"/>
    <w:hidden/>
    <w:uiPriority w:val="99"/>
    <w:semiHidden/>
    <w:rsid w:val="00FA2A71"/>
    <w:rPr>
      <w:rFonts w:ascii="Arial" w:eastAsia="SimSun" w:hAnsi="Arial" w:cs="Arial"/>
      <w:sz w:val="22"/>
      <w:lang w:eastAsia="zh-CN"/>
    </w:rPr>
  </w:style>
  <w:style w:type="character" w:styleId="Hyperlink">
    <w:name w:val="Hyperlink"/>
    <w:basedOn w:val="DefaultParagraphFont"/>
    <w:rsid w:val="00FA2A71"/>
    <w:rPr>
      <w:color w:val="0000FF" w:themeColor="hyperlink"/>
      <w:u w:val="single"/>
    </w:rPr>
  </w:style>
  <w:style w:type="paragraph" w:styleId="ListParagraph">
    <w:name w:val="List Paragraph"/>
    <w:basedOn w:val="Normal"/>
    <w:uiPriority w:val="34"/>
    <w:qFormat/>
    <w:rsid w:val="00FA2A71"/>
    <w:pPr>
      <w:ind w:left="720"/>
      <w:contextualSpacing/>
    </w:pPr>
    <w:rPr>
      <w:lang w:val="en-US"/>
    </w:rPr>
  </w:style>
  <w:style w:type="table" w:styleId="TableGrid">
    <w:name w:val="Table Grid"/>
    <w:basedOn w:val="TableNormal"/>
    <w:rsid w:val="00FA2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2A71"/>
    <w:pPr>
      <w:autoSpaceDE w:val="0"/>
      <w:autoSpaceDN w:val="0"/>
      <w:adjustRightInd w:val="0"/>
    </w:pPr>
    <w:rPr>
      <w:rFonts w:ascii="Arial" w:hAnsi="Arial" w:cs="Arial"/>
      <w:color w:val="000000"/>
      <w:sz w:val="24"/>
      <w:szCs w:val="24"/>
    </w:rPr>
  </w:style>
  <w:style w:type="character" w:customStyle="1" w:styleId="BodyTextChar">
    <w:name w:val="Body Text Char"/>
    <w:link w:val="BodyText"/>
    <w:rsid w:val="00FA2A71"/>
    <w:rPr>
      <w:rFonts w:ascii="Arial" w:eastAsia="SimSun" w:hAnsi="Arial" w:cs="Arial"/>
      <w:sz w:val="22"/>
      <w:lang w:val="es-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716DB4"/>
    <w:rPr>
      <w:rFonts w:ascii="Tahoma" w:hAnsi="Tahoma" w:cs="Tahoma"/>
      <w:sz w:val="16"/>
      <w:szCs w:val="16"/>
    </w:rPr>
  </w:style>
  <w:style w:type="character" w:customStyle="1" w:styleId="BalloonTextChar">
    <w:name w:val="Balloon Text Char"/>
    <w:basedOn w:val="DefaultParagraphFont"/>
    <w:link w:val="BalloonText"/>
    <w:rsid w:val="00716DB4"/>
    <w:rPr>
      <w:rFonts w:ascii="Tahoma" w:eastAsia="SimSun" w:hAnsi="Tahoma" w:cs="Tahoma"/>
      <w:sz w:val="16"/>
      <w:szCs w:val="16"/>
      <w:lang w:val="es-ES" w:eastAsia="zh-CN"/>
    </w:rPr>
  </w:style>
  <w:style w:type="character" w:customStyle="1" w:styleId="Heading2Char">
    <w:name w:val="Heading 2 Char"/>
    <w:basedOn w:val="DefaultParagraphFont"/>
    <w:link w:val="Heading2"/>
    <w:rsid w:val="00FA2A71"/>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FA2A71"/>
    <w:rPr>
      <w:rFonts w:ascii="Arial" w:eastAsia="SimSun" w:hAnsi="Arial" w:cs="Arial"/>
      <w:bCs/>
      <w:sz w:val="22"/>
      <w:szCs w:val="26"/>
      <w:u w:val="single"/>
      <w:lang w:val="es-ES" w:eastAsia="zh-CN"/>
    </w:rPr>
  </w:style>
  <w:style w:type="paragraph" w:customStyle="1" w:styleId="Endofdocument">
    <w:name w:val="End of document"/>
    <w:basedOn w:val="Normal"/>
    <w:rsid w:val="00FA2A71"/>
    <w:pPr>
      <w:spacing w:line="260" w:lineRule="atLeast"/>
      <w:ind w:left="5534"/>
    </w:pPr>
    <w:rPr>
      <w:rFonts w:eastAsia="Times New Roman" w:cs="Times New Roman"/>
      <w:sz w:val="20"/>
      <w:lang w:val="en-US" w:eastAsia="en-US"/>
    </w:rPr>
  </w:style>
  <w:style w:type="character" w:customStyle="1" w:styleId="FootnoteTextChar">
    <w:name w:val="Footnote Text Char"/>
    <w:basedOn w:val="DefaultParagraphFont"/>
    <w:link w:val="FootnoteText"/>
    <w:semiHidden/>
    <w:rsid w:val="00FA2A71"/>
    <w:rPr>
      <w:rFonts w:ascii="Arial" w:eastAsia="SimSun" w:hAnsi="Arial" w:cs="Arial"/>
      <w:sz w:val="18"/>
      <w:lang w:val="es-ES" w:eastAsia="zh-CN"/>
    </w:rPr>
  </w:style>
  <w:style w:type="character" w:customStyle="1" w:styleId="ONUMEChar">
    <w:name w:val="ONUM E Char"/>
    <w:link w:val="ONUME"/>
    <w:rsid w:val="00FA2A71"/>
    <w:rPr>
      <w:rFonts w:ascii="Arial" w:eastAsia="SimSun" w:hAnsi="Arial" w:cs="Arial"/>
      <w:sz w:val="22"/>
      <w:lang w:val="es-ES" w:eastAsia="zh-CN"/>
    </w:rPr>
  </w:style>
  <w:style w:type="character" w:styleId="FootnoteReference">
    <w:name w:val="footnote reference"/>
    <w:rsid w:val="00FA2A71"/>
    <w:rPr>
      <w:vertAlign w:val="superscript"/>
    </w:rPr>
  </w:style>
  <w:style w:type="character" w:styleId="CommentReference">
    <w:name w:val="annotation reference"/>
    <w:basedOn w:val="DefaultParagraphFont"/>
    <w:rsid w:val="00FA2A71"/>
    <w:rPr>
      <w:sz w:val="16"/>
      <w:szCs w:val="16"/>
    </w:rPr>
  </w:style>
  <w:style w:type="paragraph" w:styleId="CommentSubject">
    <w:name w:val="annotation subject"/>
    <w:basedOn w:val="CommentText"/>
    <w:next w:val="CommentText"/>
    <w:link w:val="CommentSubjectChar"/>
    <w:rsid w:val="00FA2A71"/>
    <w:rPr>
      <w:b/>
      <w:bCs/>
      <w:sz w:val="20"/>
      <w:lang w:val="en-US"/>
    </w:rPr>
  </w:style>
  <w:style w:type="character" w:customStyle="1" w:styleId="CommentTextChar">
    <w:name w:val="Comment Text Char"/>
    <w:basedOn w:val="DefaultParagraphFont"/>
    <w:link w:val="CommentText"/>
    <w:semiHidden/>
    <w:rsid w:val="00FA2A71"/>
    <w:rPr>
      <w:rFonts w:ascii="Arial" w:eastAsia="SimSun" w:hAnsi="Arial" w:cs="Arial"/>
      <w:sz w:val="18"/>
      <w:lang w:val="es-ES" w:eastAsia="zh-CN"/>
    </w:rPr>
  </w:style>
  <w:style w:type="character" w:customStyle="1" w:styleId="CommentSubjectChar">
    <w:name w:val="Comment Subject Char"/>
    <w:basedOn w:val="CommentTextChar"/>
    <w:link w:val="CommentSubject"/>
    <w:rsid w:val="00FA2A71"/>
    <w:rPr>
      <w:rFonts w:ascii="Arial" w:eastAsia="SimSun" w:hAnsi="Arial" w:cs="Arial"/>
      <w:b/>
      <w:bCs/>
      <w:sz w:val="18"/>
      <w:lang w:val="es-ES" w:eastAsia="zh-CN"/>
    </w:rPr>
  </w:style>
  <w:style w:type="character" w:customStyle="1" w:styleId="apple-converted-space">
    <w:name w:val="apple-converted-space"/>
    <w:basedOn w:val="DefaultParagraphFont"/>
    <w:rsid w:val="00FA2A71"/>
  </w:style>
  <w:style w:type="character" w:styleId="Emphasis">
    <w:name w:val="Emphasis"/>
    <w:basedOn w:val="DefaultParagraphFont"/>
    <w:uiPriority w:val="20"/>
    <w:qFormat/>
    <w:rsid w:val="00FA2A71"/>
    <w:rPr>
      <w:i/>
      <w:iCs/>
    </w:rPr>
  </w:style>
  <w:style w:type="paragraph" w:styleId="Revision">
    <w:name w:val="Revision"/>
    <w:hidden/>
    <w:uiPriority w:val="99"/>
    <w:semiHidden/>
    <w:rsid w:val="00FA2A71"/>
    <w:rPr>
      <w:rFonts w:ascii="Arial" w:eastAsia="SimSun" w:hAnsi="Arial" w:cs="Arial"/>
      <w:sz w:val="22"/>
      <w:lang w:eastAsia="zh-CN"/>
    </w:rPr>
  </w:style>
  <w:style w:type="character" w:styleId="Hyperlink">
    <w:name w:val="Hyperlink"/>
    <w:basedOn w:val="DefaultParagraphFont"/>
    <w:rsid w:val="00FA2A71"/>
    <w:rPr>
      <w:color w:val="0000FF" w:themeColor="hyperlink"/>
      <w:u w:val="single"/>
    </w:rPr>
  </w:style>
  <w:style w:type="paragraph" w:styleId="ListParagraph">
    <w:name w:val="List Paragraph"/>
    <w:basedOn w:val="Normal"/>
    <w:uiPriority w:val="34"/>
    <w:qFormat/>
    <w:rsid w:val="00FA2A71"/>
    <w:pPr>
      <w:ind w:left="720"/>
      <w:contextualSpacing/>
    </w:pPr>
    <w:rPr>
      <w:lang w:val="en-US"/>
    </w:rPr>
  </w:style>
  <w:style w:type="table" w:styleId="TableGrid">
    <w:name w:val="Table Grid"/>
    <w:basedOn w:val="TableNormal"/>
    <w:rsid w:val="00FA2A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2A71"/>
    <w:pPr>
      <w:autoSpaceDE w:val="0"/>
      <w:autoSpaceDN w:val="0"/>
      <w:adjustRightInd w:val="0"/>
    </w:pPr>
    <w:rPr>
      <w:rFonts w:ascii="Arial" w:hAnsi="Arial" w:cs="Arial"/>
      <w:color w:val="000000"/>
      <w:sz w:val="24"/>
      <w:szCs w:val="24"/>
    </w:rPr>
  </w:style>
  <w:style w:type="character" w:customStyle="1" w:styleId="BodyTextChar">
    <w:name w:val="Body Text Char"/>
    <w:link w:val="BodyText"/>
    <w:rsid w:val="00FA2A71"/>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1083E-DB11-426F-9555-17C0EB331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367</Words>
  <Characters>2705</Characters>
  <Application>Microsoft Office Word</Application>
  <DocSecurity>0</DocSecurity>
  <Lines>58</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CWS/5/22 Prov. Annex II (in Spanish)</vt:lpstr>
      <vt:lpstr>CWS/5/</vt:lpstr>
    </vt:vector>
  </TitlesOfParts>
  <Company>WIPO</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CWS/5/22 Annex II (in Spanish)</dc:title>
  <dc:subject>Report</dc:subject>
  <dc:creator>WIPO</dc:creator>
  <cp:keywords>CWS</cp:keywords>
  <cp:lastModifiedBy>ZAGO Bétina</cp:lastModifiedBy>
  <cp:revision>2</cp:revision>
  <cp:lastPrinted>2017-07-08T19:00:00Z</cp:lastPrinted>
  <dcterms:created xsi:type="dcterms:W3CDTF">2017-07-31T14:43:00Z</dcterms:created>
  <dcterms:modified xsi:type="dcterms:W3CDTF">2017-07-31T14:43:00Z</dcterms:modified>
</cp:coreProperties>
</file>