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7C8" w:rsidRPr="00DC3FAC" w:rsidRDefault="00DC3FAC" w:rsidP="00DA0131">
      <w:pPr>
        <w:spacing w:after="220"/>
        <w:ind w:left="10" w:hanging="10"/>
        <w:rPr>
          <w:rFonts w:eastAsia="Arial"/>
          <w:b/>
          <w:color w:val="000000"/>
          <w:szCs w:val="22"/>
          <w:lang w:val="es-ES" w:eastAsia="en-GB"/>
        </w:rPr>
      </w:pPr>
      <w:r w:rsidRPr="00DC3FAC">
        <w:rPr>
          <w:rFonts w:eastAsia="Arial"/>
          <w:b/>
          <w:color w:val="000000"/>
          <w:szCs w:val="22"/>
          <w:lang w:val="es-ES" w:eastAsia="en-GB"/>
        </w:rPr>
        <w:t>INFORME SOBRE LA REVISIÓN DE LA NORMA</w:t>
      </w:r>
      <w:r w:rsidR="0060492E" w:rsidRPr="00DC3FAC">
        <w:rPr>
          <w:rFonts w:eastAsia="Arial"/>
          <w:b/>
          <w:color w:val="000000"/>
          <w:szCs w:val="22"/>
          <w:lang w:val="es-ES" w:eastAsia="en-GB"/>
        </w:rPr>
        <w:t xml:space="preserve"> ST.26 </w:t>
      </w:r>
      <w:r w:rsidRPr="00DC3FAC">
        <w:rPr>
          <w:rFonts w:eastAsia="Arial"/>
          <w:b/>
          <w:color w:val="000000"/>
          <w:szCs w:val="22"/>
          <w:lang w:val="es-ES" w:eastAsia="en-GB"/>
        </w:rPr>
        <w:t xml:space="preserve">DE LA OMPI POR EL EQUIPO TÉCNICO </w:t>
      </w:r>
      <w:r w:rsidR="0060492E" w:rsidRPr="00DC3FAC">
        <w:rPr>
          <w:rFonts w:eastAsia="Arial"/>
          <w:b/>
          <w:color w:val="000000"/>
          <w:szCs w:val="22"/>
          <w:lang w:val="es-ES" w:eastAsia="en-GB"/>
        </w:rPr>
        <w:t xml:space="preserve">SEQL </w:t>
      </w:r>
    </w:p>
    <w:p w:rsidR="00EA17C8" w:rsidRPr="00DC3FAC" w:rsidRDefault="00EA17C8" w:rsidP="00DA0131">
      <w:pPr>
        <w:spacing w:after="220"/>
        <w:rPr>
          <w:lang w:val="es-ES"/>
        </w:rPr>
      </w:pPr>
      <w:r w:rsidRPr="00DC3FAC">
        <w:rPr>
          <w:i/>
          <w:iCs/>
          <w:szCs w:val="22"/>
          <w:lang w:val="es-ES"/>
        </w:rPr>
        <w:t>Document</w:t>
      </w:r>
      <w:r w:rsidR="00DC3FAC" w:rsidRPr="00DC3FAC">
        <w:rPr>
          <w:i/>
          <w:iCs/>
          <w:szCs w:val="22"/>
          <w:lang w:val="es-ES"/>
        </w:rPr>
        <w:t>o preparado por la Oficina Europea de Patentes</w:t>
      </w:r>
      <w:r w:rsidRPr="00DC3FAC">
        <w:rPr>
          <w:i/>
          <w:iCs/>
          <w:szCs w:val="22"/>
          <w:lang w:val="es-ES"/>
        </w:rPr>
        <w:t xml:space="preserve"> (</w:t>
      </w:r>
      <w:r w:rsidR="00DC3FAC" w:rsidRPr="00DC3FAC">
        <w:rPr>
          <w:i/>
          <w:iCs/>
          <w:szCs w:val="22"/>
          <w:lang w:val="es-ES"/>
        </w:rPr>
        <w:t>OEP</w:t>
      </w:r>
      <w:r w:rsidRPr="00DC3FAC">
        <w:rPr>
          <w:i/>
          <w:iCs/>
          <w:szCs w:val="22"/>
          <w:lang w:val="es-ES"/>
        </w:rPr>
        <w:t>)</w:t>
      </w:r>
    </w:p>
    <w:p w:rsidR="00EA17C8" w:rsidRPr="00DC3FAC" w:rsidRDefault="00DC3FAC" w:rsidP="00DA0131">
      <w:pPr>
        <w:pStyle w:val="Heading2"/>
        <w:spacing w:before="0"/>
        <w:rPr>
          <w:lang w:val="es-ES"/>
        </w:rPr>
      </w:pPr>
      <w:r w:rsidRPr="00DC3FAC">
        <w:rPr>
          <w:lang w:val="es-ES"/>
        </w:rPr>
        <w:t>ANTECEDENTES</w:t>
      </w:r>
    </w:p>
    <w:p w:rsidR="00EA17C8" w:rsidRPr="00DC3FAC" w:rsidRDefault="00DC3FAC" w:rsidP="00DA0131">
      <w:pPr>
        <w:pStyle w:val="ONUMFS"/>
        <w:rPr>
          <w:lang w:val="es-ES"/>
        </w:rPr>
      </w:pPr>
      <w:r w:rsidRPr="00DC3FAC">
        <w:rPr>
          <w:lang w:val="es-ES"/>
        </w:rPr>
        <w:t xml:space="preserve">El Equipo Técnico </w:t>
      </w:r>
      <w:r>
        <w:rPr>
          <w:lang w:val="es-ES"/>
        </w:rPr>
        <w:t xml:space="preserve">sobre listas de secuencias fue creado por el Comité de Normas Técnicas de la OMPI (CWS), en su primera sesión (25 a 29 de octubre de 2010), para que se ocupara de la Tarea No. 44 (véase el párrafo 29 del documento </w:t>
      </w:r>
      <w:r w:rsidR="00EA17C8" w:rsidRPr="00DC3FAC">
        <w:rPr>
          <w:lang w:val="es-ES"/>
        </w:rPr>
        <w:t>CWS/1/10):</w:t>
      </w:r>
      <w:r w:rsidRPr="00DC3FAC">
        <w:rPr>
          <w:lang w:val="es-ES"/>
        </w:rPr>
        <w:t xml:space="preserve"> </w:t>
      </w:r>
    </w:p>
    <w:p w:rsidR="008702E1" w:rsidRPr="00DC3FAC" w:rsidRDefault="00EA17C8" w:rsidP="00DA0131">
      <w:pPr>
        <w:pStyle w:val="ONUMFS"/>
        <w:rPr>
          <w:lang w:val="es-ES"/>
        </w:rPr>
      </w:pPr>
      <w:r w:rsidRPr="00DC3FAC">
        <w:rPr>
          <w:lang w:val="es-ES"/>
        </w:rPr>
        <w:t>“</w:t>
      </w:r>
      <w:r w:rsidR="008702E1" w:rsidRPr="00DC3FAC">
        <w:rPr>
          <w:lang w:val="es-ES"/>
        </w:rPr>
        <w:t>Preparar una recomendación sobre la presentación de listas de secuencias de nucleótidos y aminoácidos en lenguaje extensible de marcado (XML) para su adopción como norma técnica de la OMPI.  La propuesta de una nueva norma técnica de la OMPI se presentará junto con un informe sobre la incidencia de dicha norma en la actual Norma ST.25 de la OMPI, incluyendo propuestas de los cambios que sea necesario introducir en la Norma ST.25”.</w:t>
      </w:r>
    </w:p>
    <w:p w:rsidR="00EA17C8" w:rsidRPr="00DC3FAC" w:rsidRDefault="00DC3FAC" w:rsidP="00DA0131">
      <w:pPr>
        <w:pStyle w:val="ONUMFS"/>
        <w:rPr>
          <w:lang w:val="es-ES"/>
        </w:rPr>
      </w:pPr>
      <w:r w:rsidRPr="00DC3FAC">
        <w:rPr>
          <w:lang w:val="es-ES"/>
        </w:rPr>
        <w:t>También se solicitó al Equipo Técnico que</w:t>
      </w:r>
      <w:r w:rsidR="00EA17C8" w:rsidRPr="00DC3FAC">
        <w:rPr>
          <w:lang w:val="es-ES"/>
        </w:rPr>
        <w:t>:</w:t>
      </w:r>
      <w:bookmarkStart w:id="0" w:name="_GoBack"/>
      <w:bookmarkEnd w:id="0"/>
    </w:p>
    <w:p w:rsidR="00DC3FAC" w:rsidRPr="00DC3FAC" w:rsidRDefault="00EA17C8" w:rsidP="00DA0131">
      <w:pPr>
        <w:pStyle w:val="ONUMFS"/>
        <w:numPr>
          <w:ilvl w:val="0"/>
          <w:numId w:val="0"/>
        </w:numPr>
        <w:ind w:left="567"/>
        <w:rPr>
          <w:lang w:val="es-ES"/>
        </w:rPr>
      </w:pPr>
      <w:r w:rsidRPr="00DC3FAC">
        <w:rPr>
          <w:lang w:val="es-ES"/>
        </w:rPr>
        <w:t>“</w:t>
      </w:r>
      <w:r w:rsidR="00DC3FAC" w:rsidRPr="00DC3FAC">
        <w:rPr>
          <w:lang w:val="es-ES"/>
        </w:rPr>
        <w:t>[estableciera] contacto con el órgano pertinente del PCT teniendo en cuenta la posible incidencia de la nueva norma en el Anexo C de las Instrucciones Administrativas del PCT.”</w:t>
      </w:r>
    </w:p>
    <w:p w:rsidR="00EA17C8" w:rsidRPr="00DC3FAC" w:rsidRDefault="00DC3FAC" w:rsidP="00DA0131">
      <w:pPr>
        <w:pStyle w:val="ONUMFS"/>
        <w:rPr>
          <w:lang w:val="es-ES"/>
        </w:rPr>
      </w:pPr>
      <w:r>
        <w:rPr>
          <w:lang w:val="es-ES"/>
        </w:rPr>
        <w:t xml:space="preserve">Se encargó a la Oficina Europea de Patentes (OEP) la función </w:t>
      </w:r>
      <w:r w:rsidR="006A3AD5">
        <w:rPr>
          <w:lang w:val="es-ES"/>
        </w:rPr>
        <w:t>de responsable del Equipo Técnico</w:t>
      </w:r>
      <w:r w:rsidR="004D451E">
        <w:rPr>
          <w:lang w:val="es-ES"/>
        </w:rPr>
        <w:t>,</w:t>
      </w:r>
      <w:r w:rsidR="006A3AD5">
        <w:rPr>
          <w:lang w:val="es-ES"/>
        </w:rPr>
        <w:t xml:space="preserve"> </w:t>
      </w:r>
      <w:r>
        <w:rPr>
          <w:lang w:val="es-ES"/>
        </w:rPr>
        <w:t>y la nueva norma técnica de la OMPI, titulada Norma ST.26, fue adoptada formalmente durante la reanudación de la cuarta sesión del CW</w:t>
      </w:r>
      <w:r w:rsidR="000C4A07">
        <w:rPr>
          <w:lang w:val="es-ES"/>
        </w:rPr>
        <w:t>S (CWS/4BIS) en marzo de 2016.</w:t>
      </w:r>
    </w:p>
    <w:p w:rsidR="00EA17C8" w:rsidRPr="00DC3FAC" w:rsidRDefault="00DC3FAC" w:rsidP="00DA0131">
      <w:pPr>
        <w:pStyle w:val="ONUMFS"/>
        <w:rPr>
          <w:lang w:val="es-ES"/>
        </w:rPr>
      </w:pPr>
      <w:r>
        <w:rPr>
          <w:lang w:val="es-ES"/>
        </w:rPr>
        <w:t>En la reanudación de su cuarta sesión (21 a 24 de marzo de 2016), el CWS aprobó la descripción modificada de la Tarea No. 44, que reza actualmente</w:t>
      </w:r>
      <w:r w:rsidR="00EA17C8" w:rsidRPr="00DC3FAC">
        <w:rPr>
          <w:lang w:val="es-ES"/>
        </w:rPr>
        <w:t>:</w:t>
      </w:r>
    </w:p>
    <w:p w:rsidR="00EA17C8" w:rsidRPr="00DC3FAC" w:rsidRDefault="00EA17C8" w:rsidP="00DA0131">
      <w:pPr>
        <w:pStyle w:val="ONUMFS"/>
        <w:numPr>
          <w:ilvl w:val="0"/>
          <w:numId w:val="0"/>
        </w:numPr>
        <w:ind w:left="567"/>
        <w:rPr>
          <w:lang w:val="es-ES"/>
        </w:rPr>
      </w:pPr>
      <w:r w:rsidRPr="00DC3FAC">
        <w:rPr>
          <w:lang w:val="es-ES"/>
        </w:rPr>
        <w:t>“</w:t>
      </w:r>
      <w:r w:rsidR="00C261DD" w:rsidRPr="00DC3FAC">
        <w:rPr>
          <w:lang w:val="es-ES"/>
        </w:rPr>
        <w:t>Preparar recomendaciones para las disposiciones relativas a la transición de la Norma ST.25 a la Norma ST.26 de la OMPI; y una propuesta para la revisión de la Norma ST.26 de la OMPI, de ser necesario.”</w:t>
      </w:r>
    </w:p>
    <w:p w:rsidR="00EA17C8" w:rsidRPr="00DC3FAC" w:rsidRDefault="00DC3FAC" w:rsidP="00DA0131">
      <w:pPr>
        <w:pStyle w:val="Heading2"/>
        <w:spacing w:before="0"/>
        <w:rPr>
          <w:lang w:val="es-ES"/>
        </w:rPr>
      </w:pPr>
      <w:r>
        <w:rPr>
          <w:lang w:val="es-ES"/>
        </w:rPr>
        <w:t>INFORME SOBRE LA MARCHA DE LA LABOR</w:t>
      </w:r>
    </w:p>
    <w:p w:rsidR="00EA17C8" w:rsidRPr="00DC3FAC" w:rsidRDefault="006A3AD5" w:rsidP="00DA0131">
      <w:pPr>
        <w:pStyle w:val="ONUMFS"/>
        <w:rPr>
          <w:lang w:val="es-ES"/>
        </w:rPr>
      </w:pPr>
      <w:r>
        <w:rPr>
          <w:lang w:val="es-ES"/>
        </w:rPr>
        <w:t>Tras la adopción de la Norma ST.26 en la reanudación de la cuarta sesión del CWS, el Equipo Técnico llevó a cabo dos rondas de deliberaciones, la ronda 8, centrada en la manera de seguir mejorando la norma adoptada a fin de velar por su eficacia una vez implementada, y la ronda 9,</w:t>
      </w:r>
      <w:r w:rsidR="00EB6F2D">
        <w:rPr>
          <w:lang w:val="es-ES"/>
        </w:rPr>
        <w:t xml:space="preserve"> sobre</w:t>
      </w:r>
      <w:r>
        <w:rPr>
          <w:lang w:val="es-ES"/>
        </w:rPr>
        <w:t xml:space="preserve"> cuestiones </w:t>
      </w:r>
      <w:r w:rsidR="00EB6F2D">
        <w:rPr>
          <w:lang w:val="es-ES"/>
        </w:rPr>
        <w:t xml:space="preserve">relativas la </w:t>
      </w:r>
      <w:r>
        <w:rPr>
          <w:lang w:val="es-ES"/>
        </w:rPr>
        <w:t xml:space="preserve">transición (de la Norma ST.25 a la Norma ST.26).  </w:t>
      </w:r>
      <w:r w:rsidR="00EB6F2D">
        <w:rPr>
          <w:lang w:val="es-ES"/>
        </w:rPr>
        <w:br/>
        <w:t>Durante ese período, e</w:t>
      </w:r>
      <w:r>
        <w:rPr>
          <w:lang w:val="es-ES"/>
        </w:rPr>
        <w:t>l Equipo Técnico celebró varias reuniones por videoconferencia (WebEx) y dos reuniones oficiosas en Ginebra (23 de marzo y 9 de septiembre de 2016).</w:t>
      </w:r>
    </w:p>
    <w:p w:rsidR="00EA17C8" w:rsidRPr="00DC3FAC" w:rsidRDefault="006A3AD5" w:rsidP="00DA0131">
      <w:pPr>
        <w:pStyle w:val="ONUMFS"/>
        <w:rPr>
          <w:lang w:val="es-ES"/>
        </w:rPr>
      </w:pPr>
      <w:r>
        <w:rPr>
          <w:lang w:val="es-ES"/>
        </w:rPr>
        <w:t>El Equipo Técnico se dedicó en concreto a la revisión de la Norma ST.26 adoptada</w:t>
      </w:r>
      <w:r w:rsidR="00EB6F2D">
        <w:rPr>
          <w:lang w:val="es-ES"/>
        </w:rPr>
        <w:t>,</w:t>
      </w:r>
      <w:r>
        <w:rPr>
          <w:lang w:val="es-ES"/>
        </w:rPr>
        <w:t xml:space="preserve"> con el fin de facilitar su aplicación por los solicitantes y las Oficinas.  La Norma ST.26 revisada, sometida a la quinta sesión del CWS para su aprobación, comprende los siguientes cambios principales</w:t>
      </w:r>
      <w:r w:rsidR="00EA17C8" w:rsidRPr="00DC3FAC">
        <w:rPr>
          <w:lang w:val="es-ES"/>
        </w:rPr>
        <w:t>:</w:t>
      </w:r>
    </w:p>
    <w:p w:rsidR="001345F9" w:rsidRPr="00D71B38" w:rsidRDefault="000C4A07" w:rsidP="00DA0131">
      <w:pPr>
        <w:pStyle w:val="ONUMFS"/>
        <w:numPr>
          <w:ilvl w:val="0"/>
          <w:numId w:val="0"/>
        </w:numPr>
        <w:ind w:left="567"/>
        <w:rPr>
          <w:lang w:val="es-ES_tradnl"/>
        </w:rPr>
      </w:pPr>
      <w:r>
        <w:rPr>
          <w:lang w:val="es-ES_tradnl"/>
        </w:rPr>
        <w:noBreakHyphen/>
      </w:r>
      <w:r w:rsidR="001345F9" w:rsidRPr="00D71B38">
        <w:rPr>
          <w:lang w:val="es-ES_tradnl"/>
        </w:rPr>
        <w:tab/>
        <w:t>aclaración de los ácidos nucleicos péptidos (PNA) y de las variantes de secuencias e</w:t>
      </w:r>
      <w:r w:rsidR="001345F9">
        <w:rPr>
          <w:lang w:val="es-ES_tradnl"/>
        </w:rPr>
        <w:t>n</w:t>
      </w:r>
      <w:r w:rsidR="001345F9" w:rsidRPr="00D71B38">
        <w:rPr>
          <w:lang w:val="es-ES_tradnl"/>
        </w:rPr>
        <w:t xml:space="preserve"> la Norma;</w:t>
      </w:r>
    </w:p>
    <w:p w:rsidR="001345F9" w:rsidRPr="00D71B38" w:rsidRDefault="000C4A07" w:rsidP="00DA0131">
      <w:pPr>
        <w:pStyle w:val="ONUMFS"/>
        <w:numPr>
          <w:ilvl w:val="0"/>
          <w:numId w:val="0"/>
        </w:numPr>
        <w:ind w:left="567"/>
        <w:rPr>
          <w:lang w:val="es-ES_tradnl"/>
        </w:rPr>
      </w:pPr>
      <w:r>
        <w:rPr>
          <w:lang w:val="es-ES_tradnl"/>
        </w:rPr>
        <w:noBreakHyphen/>
      </w:r>
      <w:r w:rsidR="001345F9" w:rsidRPr="00D71B38">
        <w:rPr>
          <w:lang w:val="es-ES_tradnl"/>
        </w:rPr>
        <w:tab/>
        <w:t xml:space="preserve">incorporación de un documento de orientación (Anexo VI) para facilitar la armonización de las prácticas y la interpretación entre las Oficinas y los solicitantes; </w:t>
      </w:r>
    </w:p>
    <w:p w:rsidR="001345F9" w:rsidRPr="00D71B38" w:rsidRDefault="000C4A07" w:rsidP="00DA0131">
      <w:pPr>
        <w:pStyle w:val="ONUMFS"/>
        <w:numPr>
          <w:ilvl w:val="0"/>
          <w:numId w:val="0"/>
        </w:numPr>
        <w:ind w:left="567"/>
        <w:rPr>
          <w:lang w:val="es-ES_tradnl"/>
        </w:rPr>
      </w:pPr>
      <w:r>
        <w:rPr>
          <w:lang w:val="es-ES_tradnl"/>
        </w:rPr>
        <w:lastRenderedPageBreak/>
        <w:noBreakHyphen/>
      </w:r>
      <w:r w:rsidR="001345F9" w:rsidRPr="00D71B38">
        <w:rPr>
          <w:lang w:val="es-ES_tradnl"/>
        </w:rPr>
        <w:tab/>
        <w:t xml:space="preserve">actualización del Anexo I (Vocabulario controlado) a efectos de su concordancia con la versión 10.6 del cuadro de características del INSDC, que fue publicado en noviembre de 2016; </w:t>
      </w:r>
    </w:p>
    <w:p w:rsidR="001345F9" w:rsidRPr="00D71B38" w:rsidRDefault="000C4A07" w:rsidP="00DA0131">
      <w:pPr>
        <w:pStyle w:val="ONUMFS"/>
        <w:numPr>
          <w:ilvl w:val="0"/>
          <w:numId w:val="0"/>
        </w:numPr>
        <w:ind w:left="567"/>
        <w:rPr>
          <w:lang w:val="es-ES_tradnl"/>
        </w:rPr>
      </w:pPr>
      <w:r>
        <w:rPr>
          <w:lang w:val="es-ES_tradnl"/>
        </w:rPr>
        <w:noBreakHyphen/>
      </w:r>
      <w:r w:rsidR="001345F9" w:rsidRPr="00D71B38">
        <w:rPr>
          <w:lang w:val="es-ES_tradnl"/>
        </w:rPr>
        <w:tab/>
        <w:t>añadido/nueva redacción de comentarios en el Anexo II (DTD) a efectos de aclaración y concordancia con la versión 1.5 de las definiciones de tipo de documento del INSDC.</w:t>
      </w:r>
    </w:p>
    <w:p w:rsidR="001345F9" w:rsidRPr="00D71B38" w:rsidRDefault="000C4A07" w:rsidP="00DA0131">
      <w:pPr>
        <w:pStyle w:val="ONUMFS"/>
        <w:numPr>
          <w:ilvl w:val="0"/>
          <w:numId w:val="0"/>
        </w:numPr>
        <w:ind w:left="567"/>
        <w:rPr>
          <w:lang w:val="es-ES_tradnl"/>
        </w:rPr>
      </w:pPr>
      <w:r>
        <w:rPr>
          <w:lang w:val="es-ES_tradnl"/>
        </w:rPr>
        <w:noBreakHyphen/>
      </w:r>
      <w:r w:rsidR="001345F9" w:rsidRPr="00D71B38">
        <w:rPr>
          <w:lang w:val="es-ES_tradnl"/>
        </w:rPr>
        <w:tab/>
        <w:t>mejora del texto general de la Norma con arreglo a las consultas públicas celebradas por la Oficina Europea de Patentes, la Oficina Japonesa de Patentes y la Oficina de Patentes y Marcas de los Estados Unidos en 2016/2017.</w:t>
      </w:r>
    </w:p>
    <w:p w:rsidR="00EA17C8" w:rsidRPr="00DC3FAC" w:rsidRDefault="00B01590" w:rsidP="00DA0131">
      <w:pPr>
        <w:pStyle w:val="Heading2"/>
        <w:spacing w:before="0"/>
        <w:rPr>
          <w:lang w:val="es-ES"/>
        </w:rPr>
      </w:pPr>
      <w:r>
        <w:rPr>
          <w:lang w:val="es-ES"/>
        </w:rPr>
        <w:t>hoja de ruta</w:t>
      </w:r>
    </w:p>
    <w:p w:rsidR="00EB6F2D" w:rsidRPr="00D71B38" w:rsidRDefault="00EB6F2D" w:rsidP="00DA0131">
      <w:pPr>
        <w:pStyle w:val="ONUMFS"/>
        <w:rPr>
          <w:lang w:val="es-ES_tradnl"/>
        </w:rPr>
      </w:pPr>
      <w:r>
        <w:rPr>
          <w:lang w:val="es-ES_tradnl"/>
        </w:rPr>
        <w:t>En la quinta sesión del CWS, o</w:t>
      </w:r>
      <w:r w:rsidRPr="00D71B38">
        <w:rPr>
          <w:lang w:val="es-ES_tradnl"/>
        </w:rPr>
        <w:t xml:space="preserve">btener la aprobación de la revisión/añadido de los textos de la Norma </w:t>
      </w:r>
      <w:r>
        <w:rPr>
          <w:lang w:val="es-ES_tradnl"/>
        </w:rPr>
        <w:t>ST.26</w:t>
      </w:r>
      <w:r w:rsidRPr="00D71B38">
        <w:rPr>
          <w:lang w:val="es-ES_tradnl"/>
        </w:rPr>
        <w:t>.</w:t>
      </w:r>
    </w:p>
    <w:p w:rsidR="00EB6F2D" w:rsidRPr="00D71B38" w:rsidRDefault="00EB6F2D" w:rsidP="00DA0131">
      <w:pPr>
        <w:pStyle w:val="ONUMFS"/>
        <w:rPr>
          <w:lang w:val="es-ES_tradnl"/>
        </w:rPr>
      </w:pPr>
      <w:r>
        <w:rPr>
          <w:lang w:val="es-ES_tradnl"/>
        </w:rPr>
        <w:t xml:space="preserve">En la </w:t>
      </w:r>
      <w:r w:rsidRPr="00EB6F2D">
        <w:rPr>
          <w:lang w:val="es-ES_tradnl"/>
        </w:rPr>
        <w:t>quinta sesión del CWS</w:t>
      </w:r>
      <w:r>
        <w:rPr>
          <w:lang w:val="es-ES_tradnl"/>
        </w:rPr>
        <w:t>, o</w:t>
      </w:r>
      <w:r w:rsidRPr="00D71B38">
        <w:rPr>
          <w:lang w:val="es-ES_tradnl"/>
        </w:rPr>
        <w:t>btener la aprobación de las “Recomendaciones para las disposiciones relativas a la transición de la Norma ST.25 a la Norma ST.26 de la OMPI</w:t>
      </w:r>
      <w:r>
        <w:rPr>
          <w:lang w:val="es-ES_tradnl"/>
        </w:rPr>
        <w:t>”</w:t>
      </w:r>
      <w:r w:rsidRPr="00D71B38">
        <w:rPr>
          <w:lang w:val="es-ES_tradnl"/>
        </w:rPr>
        <w:t>.</w:t>
      </w:r>
    </w:p>
    <w:p w:rsidR="00EB6F2D" w:rsidRPr="00D71B38" w:rsidRDefault="00EB6F2D" w:rsidP="00DA0131">
      <w:pPr>
        <w:pStyle w:val="ONUMFS"/>
        <w:rPr>
          <w:lang w:val="es-ES_tradnl"/>
        </w:rPr>
      </w:pPr>
      <w:r w:rsidRPr="00D71B38">
        <w:rPr>
          <w:lang w:val="es-ES_tradnl"/>
        </w:rPr>
        <w:t xml:space="preserve">Prestar apoyo a la </w:t>
      </w:r>
      <w:r>
        <w:rPr>
          <w:lang w:val="es-ES_tradnl"/>
        </w:rPr>
        <w:t>Oficina</w:t>
      </w:r>
      <w:r w:rsidRPr="00D71B38">
        <w:rPr>
          <w:lang w:val="es-ES_tradnl"/>
        </w:rPr>
        <w:t xml:space="preserve"> Internacional de la OMPI facilitando los requisitos de los usuarios y comentarios sobre la herramienta de autoría.</w:t>
      </w:r>
    </w:p>
    <w:p w:rsidR="00EB6F2D" w:rsidRPr="00D71B38" w:rsidRDefault="00EB6F2D" w:rsidP="00DA0131">
      <w:pPr>
        <w:pStyle w:val="ONUMFS"/>
        <w:rPr>
          <w:lang w:val="es-ES_tradnl"/>
        </w:rPr>
      </w:pPr>
      <w:r w:rsidRPr="00D71B38">
        <w:rPr>
          <w:lang w:val="es-ES_tradnl"/>
        </w:rPr>
        <w:t xml:space="preserve">Prestar apoyo a la </w:t>
      </w:r>
      <w:r>
        <w:rPr>
          <w:lang w:val="es-ES_tradnl"/>
        </w:rPr>
        <w:t>Oficina</w:t>
      </w:r>
      <w:r w:rsidRPr="00D71B38">
        <w:rPr>
          <w:lang w:val="es-ES_tradnl"/>
        </w:rPr>
        <w:t xml:space="preserve"> Internacional en la consiguiente revisión de las Instrucciones Administrativas del PCT.</w:t>
      </w:r>
    </w:p>
    <w:p w:rsidR="00EB6F2D" w:rsidRPr="00DC3FAC" w:rsidRDefault="0014476E" w:rsidP="00DA0131">
      <w:pPr>
        <w:pStyle w:val="ONUMFS"/>
        <w:spacing w:after="0"/>
        <w:rPr>
          <w:lang w:val="es-ES"/>
        </w:rPr>
      </w:pPr>
      <w:r>
        <w:rPr>
          <w:lang w:val="es-ES_tradnl"/>
        </w:rPr>
        <w:t>Dedicarse a</w:t>
      </w:r>
      <w:r w:rsidR="00EB6F2D" w:rsidRPr="00D71B38">
        <w:rPr>
          <w:lang w:val="es-ES_tradnl"/>
        </w:rPr>
        <w:t xml:space="preserve"> la revisión de la Norma ST.26 de la OMPI en el futuro.  Se sugiere que, en adelante, las revisiones de la norma sean propiciadas por miembros del CWS, en lugar de obedecer a un calendario predeterminado</w:t>
      </w:r>
      <w:r w:rsidR="000C4A07">
        <w:rPr>
          <w:lang w:val="es-ES_tradnl"/>
        </w:rPr>
        <w:t>.</w:t>
      </w:r>
    </w:p>
    <w:p w:rsidR="0060492E" w:rsidRDefault="0060492E" w:rsidP="00DA0131">
      <w:pPr>
        <w:pStyle w:val="ONUMFS"/>
        <w:numPr>
          <w:ilvl w:val="0"/>
          <w:numId w:val="0"/>
        </w:numPr>
        <w:spacing w:after="0"/>
        <w:ind w:left="5529"/>
        <w:rPr>
          <w:lang w:val="es-ES"/>
        </w:rPr>
      </w:pPr>
    </w:p>
    <w:p w:rsidR="00DA0131" w:rsidRPr="00DC3FAC" w:rsidRDefault="00DA0131" w:rsidP="00DA0131">
      <w:pPr>
        <w:pStyle w:val="ONUMFS"/>
        <w:numPr>
          <w:ilvl w:val="0"/>
          <w:numId w:val="0"/>
        </w:numPr>
        <w:spacing w:after="0"/>
        <w:ind w:left="5529"/>
        <w:rPr>
          <w:lang w:val="es-ES"/>
        </w:rPr>
      </w:pPr>
    </w:p>
    <w:p w:rsidR="00555E40" w:rsidRPr="00DC3FAC" w:rsidRDefault="00555E40" w:rsidP="00DA0131">
      <w:pPr>
        <w:pStyle w:val="Endofdocument-Annex"/>
        <w:ind w:left="5529"/>
        <w:rPr>
          <w:lang w:val="es-ES"/>
        </w:rPr>
      </w:pPr>
      <w:r w:rsidRPr="00DC3FAC">
        <w:rPr>
          <w:lang w:val="es-ES"/>
        </w:rPr>
        <w:t>[</w:t>
      </w:r>
      <w:r w:rsidR="00C261DD" w:rsidRPr="00DC3FAC">
        <w:rPr>
          <w:lang w:val="es-ES"/>
        </w:rPr>
        <w:t>Sigue el Anexo</w:t>
      </w:r>
      <w:r w:rsidRPr="00DC3FAC">
        <w:rPr>
          <w:lang w:val="es-ES"/>
        </w:rPr>
        <w:t xml:space="preserve"> </w:t>
      </w:r>
      <w:r w:rsidR="0063662A" w:rsidRPr="00DC3FAC">
        <w:rPr>
          <w:lang w:val="es-ES"/>
        </w:rPr>
        <w:t>I</w:t>
      </w:r>
      <w:r w:rsidRPr="00DC3FAC">
        <w:rPr>
          <w:lang w:val="es-ES"/>
        </w:rPr>
        <w:t>I]</w:t>
      </w:r>
    </w:p>
    <w:sectPr w:rsidR="00555E40" w:rsidRPr="00DC3FAC" w:rsidSect="00A03DF8">
      <w:headerReference w:type="default" r:id="rId9"/>
      <w:headerReference w:type="firs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EE5" w:rsidRDefault="00923EE5">
      <w:r>
        <w:separator/>
      </w:r>
    </w:p>
  </w:endnote>
  <w:endnote w:type="continuationSeparator" w:id="0">
    <w:p w:rsidR="00923EE5" w:rsidRDefault="00923EE5" w:rsidP="003B38C1">
      <w:r>
        <w:separator/>
      </w:r>
    </w:p>
    <w:p w:rsidR="00923EE5" w:rsidRPr="003B38C1" w:rsidRDefault="00923EE5" w:rsidP="003B38C1">
      <w:pPr>
        <w:spacing w:after="60"/>
        <w:rPr>
          <w:sz w:val="17"/>
        </w:rPr>
      </w:pPr>
      <w:r>
        <w:rPr>
          <w:sz w:val="17"/>
        </w:rPr>
        <w:t>[Endnote continued from previous page]</w:t>
      </w:r>
    </w:p>
  </w:endnote>
  <w:endnote w:type="continuationNotice" w:id="1">
    <w:p w:rsidR="00923EE5" w:rsidRPr="003B38C1" w:rsidRDefault="00923EE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EE5" w:rsidRDefault="00923EE5">
      <w:r>
        <w:separator/>
      </w:r>
    </w:p>
  </w:footnote>
  <w:footnote w:type="continuationSeparator" w:id="0">
    <w:p w:rsidR="00923EE5" w:rsidRDefault="00923EE5" w:rsidP="008B60B2">
      <w:r>
        <w:separator/>
      </w:r>
    </w:p>
    <w:p w:rsidR="00923EE5" w:rsidRPr="00ED77FB" w:rsidRDefault="00923EE5" w:rsidP="008B60B2">
      <w:pPr>
        <w:spacing w:after="60"/>
        <w:rPr>
          <w:sz w:val="17"/>
          <w:szCs w:val="17"/>
        </w:rPr>
      </w:pPr>
      <w:r w:rsidRPr="00ED77FB">
        <w:rPr>
          <w:sz w:val="17"/>
          <w:szCs w:val="17"/>
        </w:rPr>
        <w:t>[Footnote continued from previous page]</w:t>
      </w:r>
    </w:p>
  </w:footnote>
  <w:footnote w:type="continuationNotice" w:id="1">
    <w:p w:rsidR="00923EE5" w:rsidRPr="00ED77FB" w:rsidRDefault="00923EE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A03DF8" w:rsidP="00477D6B">
    <w:pPr>
      <w:jc w:val="right"/>
    </w:pPr>
    <w:r>
      <w:t>CWS/</w:t>
    </w:r>
    <w:r w:rsidR="00FE7245">
      <w:t>5</w:t>
    </w:r>
    <w:r>
      <w:t>/</w:t>
    </w:r>
    <w:r w:rsidR="00310EA9">
      <w:t>6</w:t>
    </w:r>
  </w:p>
  <w:p w:rsidR="00EC4E49" w:rsidRDefault="00C261DD" w:rsidP="00477D6B">
    <w:pPr>
      <w:jc w:val="right"/>
    </w:pPr>
    <w:r>
      <w:t>An</w:t>
    </w:r>
    <w:r w:rsidR="00762F78">
      <w:t>ex</w:t>
    </w:r>
    <w:r>
      <w:t>o</w:t>
    </w:r>
    <w:r w:rsidR="00762F78">
      <w:t xml:space="preserve"> I, </w:t>
    </w:r>
    <w:r w:rsidR="00EC4E49">
      <w:t>p</w:t>
    </w:r>
    <w:r>
      <w:t>ágina</w:t>
    </w:r>
    <w:r w:rsidR="00EC4E49">
      <w:t xml:space="preserve"> </w:t>
    </w:r>
    <w:r w:rsidR="00EC4E49">
      <w:fldChar w:fldCharType="begin"/>
    </w:r>
    <w:r w:rsidR="00EC4E49">
      <w:instrText xml:space="preserve"> PAGE  \* MERGEFORMAT </w:instrText>
    </w:r>
    <w:r w:rsidR="00EC4E49">
      <w:fldChar w:fldCharType="separate"/>
    </w:r>
    <w:r w:rsidR="00267B36">
      <w:rPr>
        <w:noProof/>
      </w:rPr>
      <w:t>2</w:t>
    </w:r>
    <w:r w:rsidR="00EC4E49">
      <w:fldChar w:fldCharType="end"/>
    </w:r>
  </w:p>
  <w:p w:rsidR="00EC4E49" w:rsidRDefault="00EC4E49" w:rsidP="00477D6B">
    <w:pPr>
      <w:jc w:val="right"/>
    </w:pPr>
  </w:p>
  <w:p w:rsidR="00762F78" w:rsidRDefault="00762F78"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F78" w:rsidRDefault="00762F78" w:rsidP="00762F78">
    <w:pPr>
      <w:jc w:val="right"/>
    </w:pPr>
    <w:r>
      <w:t>CWS/5/6</w:t>
    </w:r>
  </w:p>
  <w:p w:rsidR="00762F78" w:rsidRDefault="00C261DD" w:rsidP="00762F78">
    <w:pPr>
      <w:jc w:val="right"/>
    </w:pPr>
    <w:r>
      <w:t>AN</w:t>
    </w:r>
    <w:r w:rsidR="00762F78">
      <w:t>EX</w:t>
    </w:r>
    <w:r>
      <w:t>O</w:t>
    </w:r>
    <w:r w:rsidR="00762F78">
      <w:t xml:space="preserve"> I</w:t>
    </w:r>
  </w:p>
  <w:p w:rsidR="00762F78" w:rsidRDefault="00762F78" w:rsidP="00762F78">
    <w:pPr>
      <w:jc w:val="right"/>
    </w:pPr>
  </w:p>
  <w:p w:rsidR="00762F78" w:rsidRDefault="00762F78" w:rsidP="00762F78">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2FC06BF"/>
    <w:multiLevelType w:val="multilevel"/>
    <w:tmpl w:val="DA7EA7A2"/>
    <w:lvl w:ilvl="0">
      <w:start w:val="1"/>
      <w:numFmt w:val="decimal"/>
      <w:lvlRestart w:val="0"/>
      <w:pStyle w:val="EPODocHeading1"/>
      <w:lvlText w:val="%1."/>
      <w:lvlJc w:val="left"/>
      <w:pPr>
        <w:tabs>
          <w:tab w:val="num" w:pos="1134"/>
        </w:tabs>
        <w:ind w:left="1134" w:hanging="1134"/>
      </w:pPr>
      <w:rPr>
        <w:rFonts w:ascii="Arial" w:hAnsi="Arial" w:cs="Arial" w:hint="default"/>
      </w:rPr>
    </w:lvl>
    <w:lvl w:ilvl="1">
      <w:start w:val="1"/>
      <w:numFmt w:val="decimal"/>
      <w:pStyle w:val="EPODocHeading2"/>
      <w:lvlText w:val="%1.%2."/>
      <w:lvlJc w:val="left"/>
      <w:pPr>
        <w:tabs>
          <w:tab w:val="num" w:pos="1134"/>
        </w:tabs>
        <w:ind w:left="1134" w:hanging="1134"/>
      </w:pPr>
      <w:rPr>
        <w:rFonts w:ascii="Arial" w:hAnsi="Arial" w:cs="Arial" w:hint="default"/>
      </w:rPr>
    </w:lvl>
    <w:lvl w:ilvl="2">
      <w:start w:val="1"/>
      <w:numFmt w:val="decimal"/>
      <w:pStyle w:val="EPODocHeading3"/>
      <w:lvlText w:val="%1.%2.%3."/>
      <w:lvlJc w:val="left"/>
      <w:pPr>
        <w:tabs>
          <w:tab w:val="num" w:pos="1134"/>
        </w:tabs>
        <w:ind w:left="1134" w:hanging="1134"/>
      </w:pPr>
      <w:rPr>
        <w:rFonts w:ascii="Arial" w:hAnsi="Arial" w:cs="Arial" w:hint="default"/>
      </w:rPr>
    </w:lvl>
    <w:lvl w:ilvl="3">
      <w:start w:val="1"/>
      <w:numFmt w:val="decimal"/>
      <w:pStyle w:val="EPODocHeading4"/>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19A55B0"/>
    <w:multiLevelType w:val="hybridMultilevel"/>
    <w:tmpl w:val="1D466B0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nsid w:val="65640792"/>
    <w:multiLevelType w:val="hybridMultilevel"/>
    <w:tmpl w:val="B94AECE4"/>
    <w:lvl w:ilvl="0" w:tplc="04100011">
      <w:start w:val="1"/>
      <w:numFmt w:val="decimal"/>
      <w:lvlText w:val="%1)"/>
      <w:lvlJc w:val="left"/>
      <w:pPr>
        <w:ind w:left="36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nsid w:val="687D51A1"/>
    <w:multiLevelType w:val="hybridMultilevel"/>
    <w:tmpl w:val="ACFA9AAC"/>
    <w:lvl w:ilvl="0" w:tplc="EFEE3688">
      <w:start w:val="1"/>
      <w:numFmt w:val="lowerLetter"/>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9"/>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79B"/>
    <w:rsid w:val="000163E5"/>
    <w:rsid w:val="00043CAA"/>
    <w:rsid w:val="00075432"/>
    <w:rsid w:val="000968ED"/>
    <w:rsid w:val="000A6EFF"/>
    <w:rsid w:val="000C4A07"/>
    <w:rsid w:val="000D7DE5"/>
    <w:rsid w:val="000F2E8F"/>
    <w:rsid w:val="000F5E56"/>
    <w:rsid w:val="00103B9F"/>
    <w:rsid w:val="00112D22"/>
    <w:rsid w:val="00124258"/>
    <w:rsid w:val="001345F9"/>
    <w:rsid w:val="001362EE"/>
    <w:rsid w:val="00137B15"/>
    <w:rsid w:val="0014476E"/>
    <w:rsid w:val="00166058"/>
    <w:rsid w:val="001832A6"/>
    <w:rsid w:val="001A0084"/>
    <w:rsid w:val="001D3608"/>
    <w:rsid w:val="00256ABA"/>
    <w:rsid w:val="002634C4"/>
    <w:rsid w:val="00267B36"/>
    <w:rsid w:val="002928D3"/>
    <w:rsid w:val="002C6794"/>
    <w:rsid w:val="002D3A5D"/>
    <w:rsid w:val="002E4A96"/>
    <w:rsid w:val="002F1FE6"/>
    <w:rsid w:val="002F4E68"/>
    <w:rsid w:val="003079C1"/>
    <w:rsid w:val="00310EA9"/>
    <w:rsid w:val="00312F7F"/>
    <w:rsid w:val="00342A15"/>
    <w:rsid w:val="003539B1"/>
    <w:rsid w:val="00361450"/>
    <w:rsid w:val="003673CF"/>
    <w:rsid w:val="003845C1"/>
    <w:rsid w:val="003A6F89"/>
    <w:rsid w:val="003B0876"/>
    <w:rsid w:val="003B29CE"/>
    <w:rsid w:val="003B38C1"/>
    <w:rsid w:val="003B5AA3"/>
    <w:rsid w:val="003E02D3"/>
    <w:rsid w:val="004077B9"/>
    <w:rsid w:val="00423E3E"/>
    <w:rsid w:val="00427AF4"/>
    <w:rsid w:val="00435229"/>
    <w:rsid w:val="004477AA"/>
    <w:rsid w:val="0045108F"/>
    <w:rsid w:val="0045673A"/>
    <w:rsid w:val="004647DA"/>
    <w:rsid w:val="00470C5B"/>
    <w:rsid w:val="00474062"/>
    <w:rsid w:val="00477D6B"/>
    <w:rsid w:val="004906BA"/>
    <w:rsid w:val="00491766"/>
    <w:rsid w:val="004A266D"/>
    <w:rsid w:val="004A5299"/>
    <w:rsid w:val="004B3108"/>
    <w:rsid w:val="004C02E5"/>
    <w:rsid w:val="004C079B"/>
    <w:rsid w:val="004D15B1"/>
    <w:rsid w:val="004D451E"/>
    <w:rsid w:val="004E69D7"/>
    <w:rsid w:val="004F16B6"/>
    <w:rsid w:val="004F1CD1"/>
    <w:rsid w:val="005019FF"/>
    <w:rsid w:val="0053057A"/>
    <w:rsid w:val="005366F5"/>
    <w:rsid w:val="00555E40"/>
    <w:rsid w:val="00560A29"/>
    <w:rsid w:val="00562578"/>
    <w:rsid w:val="005C6649"/>
    <w:rsid w:val="005C7D9D"/>
    <w:rsid w:val="0060492E"/>
    <w:rsid w:val="00605827"/>
    <w:rsid w:val="00615CC7"/>
    <w:rsid w:val="00622A81"/>
    <w:rsid w:val="0063662A"/>
    <w:rsid w:val="00646050"/>
    <w:rsid w:val="00662341"/>
    <w:rsid w:val="006713CA"/>
    <w:rsid w:val="00676C5C"/>
    <w:rsid w:val="00683FD9"/>
    <w:rsid w:val="00695F55"/>
    <w:rsid w:val="006A3AD5"/>
    <w:rsid w:val="00715378"/>
    <w:rsid w:val="00722BE9"/>
    <w:rsid w:val="00735879"/>
    <w:rsid w:val="00741CF0"/>
    <w:rsid w:val="00747B2D"/>
    <w:rsid w:val="00762F78"/>
    <w:rsid w:val="007819D2"/>
    <w:rsid w:val="007C2240"/>
    <w:rsid w:val="007C79C9"/>
    <w:rsid w:val="007D0C7D"/>
    <w:rsid w:val="007D1613"/>
    <w:rsid w:val="007E045E"/>
    <w:rsid w:val="00810D6C"/>
    <w:rsid w:val="00816CFA"/>
    <w:rsid w:val="00850156"/>
    <w:rsid w:val="008702E1"/>
    <w:rsid w:val="008B2CC1"/>
    <w:rsid w:val="008B60B2"/>
    <w:rsid w:val="0090731E"/>
    <w:rsid w:val="0091339E"/>
    <w:rsid w:val="00913781"/>
    <w:rsid w:val="00916982"/>
    <w:rsid w:val="00916EE2"/>
    <w:rsid w:val="00923EE5"/>
    <w:rsid w:val="00925CAB"/>
    <w:rsid w:val="00945F19"/>
    <w:rsid w:val="0094686B"/>
    <w:rsid w:val="009551E4"/>
    <w:rsid w:val="00966A22"/>
    <w:rsid w:val="0096722F"/>
    <w:rsid w:val="00980843"/>
    <w:rsid w:val="009E2791"/>
    <w:rsid w:val="009E3F6F"/>
    <w:rsid w:val="009F499F"/>
    <w:rsid w:val="00A03DF8"/>
    <w:rsid w:val="00A33B66"/>
    <w:rsid w:val="00A42DAF"/>
    <w:rsid w:val="00A436B0"/>
    <w:rsid w:val="00A43FA4"/>
    <w:rsid w:val="00A45BD8"/>
    <w:rsid w:val="00A869B7"/>
    <w:rsid w:val="00A9671E"/>
    <w:rsid w:val="00AC205C"/>
    <w:rsid w:val="00AC3F4A"/>
    <w:rsid w:val="00AD7A06"/>
    <w:rsid w:val="00AF0A6B"/>
    <w:rsid w:val="00AF13B2"/>
    <w:rsid w:val="00B01590"/>
    <w:rsid w:val="00B01AB8"/>
    <w:rsid w:val="00B05A69"/>
    <w:rsid w:val="00B176CF"/>
    <w:rsid w:val="00B33D93"/>
    <w:rsid w:val="00B510E8"/>
    <w:rsid w:val="00B9734B"/>
    <w:rsid w:val="00BB0DCB"/>
    <w:rsid w:val="00C11BFE"/>
    <w:rsid w:val="00C2498D"/>
    <w:rsid w:val="00C261DD"/>
    <w:rsid w:val="00CA51A5"/>
    <w:rsid w:val="00CE33C3"/>
    <w:rsid w:val="00D441B9"/>
    <w:rsid w:val="00D45252"/>
    <w:rsid w:val="00D71B4D"/>
    <w:rsid w:val="00D93D55"/>
    <w:rsid w:val="00DA0131"/>
    <w:rsid w:val="00DA5413"/>
    <w:rsid w:val="00DB6F85"/>
    <w:rsid w:val="00DC3A11"/>
    <w:rsid w:val="00DC3FAC"/>
    <w:rsid w:val="00DC4DF7"/>
    <w:rsid w:val="00DD4617"/>
    <w:rsid w:val="00DF0955"/>
    <w:rsid w:val="00E335FE"/>
    <w:rsid w:val="00E84598"/>
    <w:rsid w:val="00EA17C8"/>
    <w:rsid w:val="00EB6F2D"/>
    <w:rsid w:val="00EC4E49"/>
    <w:rsid w:val="00ED77FB"/>
    <w:rsid w:val="00EE45FA"/>
    <w:rsid w:val="00EE7EA0"/>
    <w:rsid w:val="00F17016"/>
    <w:rsid w:val="00F66152"/>
    <w:rsid w:val="00F774E1"/>
    <w:rsid w:val="00F852B7"/>
    <w:rsid w:val="00FC12EF"/>
    <w:rsid w:val="00FD0FC1"/>
    <w:rsid w:val="00FE7245"/>
    <w:rsid w:val="00FF1A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styleId="Hyperlink">
    <w:name w:val="Hyperlink"/>
    <w:uiPriority w:val="99"/>
    <w:unhideWhenUsed/>
    <w:rsid w:val="004C079B"/>
    <w:rPr>
      <w:color w:val="0000FF"/>
      <w:u w:val="single"/>
    </w:rPr>
  </w:style>
  <w:style w:type="character" w:styleId="FootnoteReference">
    <w:name w:val="footnote reference"/>
    <w:rsid w:val="004C079B"/>
    <w:rPr>
      <w:vertAlign w:val="superscript"/>
    </w:rPr>
  </w:style>
  <w:style w:type="character" w:styleId="FollowedHyperlink">
    <w:name w:val="FollowedHyperlink"/>
    <w:basedOn w:val="DefaultParagraphFont"/>
    <w:rsid w:val="004C079B"/>
    <w:rPr>
      <w:color w:val="800080" w:themeColor="followedHyperlink"/>
      <w:u w:val="single"/>
    </w:rPr>
  </w:style>
  <w:style w:type="character" w:customStyle="1" w:styleId="ONUMEChar">
    <w:name w:val="ONUM E Char"/>
    <w:basedOn w:val="DefaultParagraphFont"/>
    <w:link w:val="ONUME"/>
    <w:uiPriority w:val="99"/>
    <w:rsid w:val="003E02D3"/>
    <w:rPr>
      <w:rFonts w:ascii="Arial" w:eastAsia="SimSun" w:hAnsi="Arial" w:cs="Arial"/>
      <w:sz w:val="22"/>
      <w:lang w:eastAsia="zh-CN"/>
    </w:rPr>
  </w:style>
  <w:style w:type="character" w:customStyle="1" w:styleId="BodyTextChar">
    <w:name w:val="Body Text Char"/>
    <w:link w:val="BodyText"/>
    <w:rsid w:val="003E02D3"/>
    <w:rPr>
      <w:rFonts w:ascii="Arial" w:eastAsia="SimSun" w:hAnsi="Arial" w:cs="Arial"/>
      <w:sz w:val="22"/>
      <w:lang w:eastAsia="zh-CN"/>
    </w:rPr>
  </w:style>
  <w:style w:type="character" w:customStyle="1" w:styleId="Heading1Char">
    <w:name w:val="Heading 1 Char"/>
    <w:basedOn w:val="DefaultParagraphFont"/>
    <w:link w:val="Heading1"/>
    <w:uiPriority w:val="99"/>
    <w:rsid w:val="00EA17C8"/>
    <w:rPr>
      <w:rFonts w:ascii="Arial" w:eastAsia="SimSun" w:hAnsi="Arial" w:cs="Arial"/>
      <w:b/>
      <w:bCs/>
      <w:caps/>
      <w:kern w:val="32"/>
      <w:sz w:val="22"/>
      <w:szCs w:val="32"/>
      <w:lang w:eastAsia="zh-CN"/>
    </w:rPr>
  </w:style>
  <w:style w:type="paragraph" w:customStyle="1" w:styleId="EPODocHeading1">
    <w:name w:val="EPODocHeading1"/>
    <w:basedOn w:val="Normal"/>
    <w:next w:val="Normal"/>
    <w:link w:val="EPODocHeading1Char"/>
    <w:qFormat/>
    <w:rsid w:val="00EA17C8"/>
    <w:pPr>
      <w:numPr>
        <w:numId w:val="12"/>
      </w:numPr>
      <w:spacing w:before="240" w:after="240"/>
      <w:outlineLvl w:val="0"/>
    </w:pPr>
    <w:rPr>
      <w:b/>
      <w:caps/>
      <w:sz w:val="28"/>
    </w:rPr>
  </w:style>
  <w:style w:type="character" w:customStyle="1" w:styleId="EPODocHeading1Char">
    <w:name w:val="EPODocHeading1 Char"/>
    <w:basedOn w:val="DefaultParagraphFont"/>
    <w:link w:val="EPODocHeading1"/>
    <w:rsid w:val="00EA17C8"/>
    <w:rPr>
      <w:rFonts w:ascii="Arial" w:eastAsia="SimSun" w:hAnsi="Arial" w:cs="Arial"/>
      <w:b/>
      <w:caps/>
      <w:sz w:val="28"/>
      <w:lang w:eastAsia="zh-CN"/>
    </w:rPr>
  </w:style>
  <w:style w:type="paragraph" w:customStyle="1" w:styleId="EPODocHeading2">
    <w:name w:val="EPODocHeading2"/>
    <w:basedOn w:val="Normal"/>
    <w:next w:val="Normal"/>
    <w:qFormat/>
    <w:rsid w:val="00EA17C8"/>
    <w:pPr>
      <w:numPr>
        <w:ilvl w:val="1"/>
        <w:numId w:val="12"/>
      </w:numPr>
      <w:spacing w:before="240" w:after="240"/>
      <w:outlineLvl w:val="1"/>
    </w:pPr>
    <w:rPr>
      <w:b/>
      <w:caps/>
      <w:sz w:val="24"/>
    </w:rPr>
  </w:style>
  <w:style w:type="paragraph" w:customStyle="1" w:styleId="EPODocHeading3">
    <w:name w:val="EPODocHeading3"/>
    <w:basedOn w:val="Normal"/>
    <w:next w:val="Normal"/>
    <w:qFormat/>
    <w:rsid w:val="00EA17C8"/>
    <w:pPr>
      <w:numPr>
        <w:ilvl w:val="2"/>
        <w:numId w:val="12"/>
      </w:numPr>
      <w:spacing w:before="240" w:after="240"/>
      <w:outlineLvl w:val="2"/>
    </w:pPr>
    <w:rPr>
      <w:b/>
      <w:sz w:val="24"/>
    </w:rPr>
  </w:style>
  <w:style w:type="paragraph" w:customStyle="1" w:styleId="EPODocHeading4">
    <w:name w:val="EPODocHeading4"/>
    <w:basedOn w:val="Normal"/>
    <w:next w:val="Normal"/>
    <w:qFormat/>
    <w:rsid w:val="00EA17C8"/>
    <w:pPr>
      <w:numPr>
        <w:ilvl w:val="3"/>
        <w:numId w:val="12"/>
      </w:numPr>
      <w:spacing w:before="240" w:after="240"/>
      <w:outlineLvl w:val="3"/>
    </w:pPr>
    <w:rPr>
      <w:b/>
      <w:sz w:val="24"/>
    </w:rPr>
  </w:style>
  <w:style w:type="character" w:styleId="Strong">
    <w:name w:val="Strong"/>
    <w:basedOn w:val="DefaultParagraphFont"/>
    <w:qFormat/>
    <w:rsid w:val="00EA17C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styleId="Hyperlink">
    <w:name w:val="Hyperlink"/>
    <w:uiPriority w:val="99"/>
    <w:unhideWhenUsed/>
    <w:rsid w:val="004C079B"/>
    <w:rPr>
      <w:color w:val="0000FF"/>
      <w:u w:val="single"/>
    </w:rPr>
  </w:style>
  <w:style w:type="character" w:styleId="FootnoteReference">
    <w:name w:val="footnote reference"/>
    <w:rsid w:val="004C079B"/>
    <w:rPr>
      <w:vertAlign w:val="superscript"/>
    </w:rPr>
  </w:style>
  <w:style w:type="character" w:styleId="FollowedHyperlink">
    <w:name w:val="FollowedHyperlink"/>
    <w:basedOn w:val="DefaultParagraphFont"/>
    <w:rsid w:val="004C079B"/>
    <w:rPr>
      <w:color w:val="800080" w:themeColor="followedHyperlink"/>
      <w:u w:val="single"/>
    </w:rPr>
  </w:style>
  <w:style w:type="character" w:customStyle="1" w:styleId="ONUMEChar">
    <w:name w:val="ONUM E Char"/>
    <w:basedOn w:val="DefaultParagraphFont"/>
    <w:link w:val="ONUME"/>
    <w:uiPriority w:val="99"/>
    <w:rsid w:val="003E02D3"/>
    <w:rPr>
      <w:rFonts w:ascii="Arial" w:eastAsia="SimSun" w:hAnsi="Arial" w:cs="Arial"/>
      <w:sz w:val="22"/>
      <w:lang w:eastAsia="zh-CN"/>
    </w:rPr>
  </w:style>
  <w:style w:type="character" w:customStyle="1" w:styleId="BodyTextChar">
    <w:name w:val="Body Text Char"/>
    <w:link w:val="BodyText"/>
    <w:rsid w:val="003E02D3"/>
    <w:rPr>
      <w:rFonts w:ascii="Arial" w:eastAsia="SimSun" w:hAnsi="Arial" w:cs="Arial"/>
      <w:sz w:val="22"/>
      <w:lang w:eastAsia="zh-CN"/>
    </w:rPr>
  </w:style>
  <w:style w:type="character" w:customStyle="1" w:styleId="Heading1Char">
    <w:name w:val="Heading 1 Char"/>
    <w:basedOn w:val="DefaultParagraphFont"/>
    <w:link w:val="Heading1"/>
    <w:uiPriority w:val="99"/>
    <w:rsid w:val="00EA17C8"/>
    <w:rPr>
      <w:rFonts w:ascii="Arial" w:eastAsia="SimSun" w:hAnsi="Arial" w:cs="Arial"/>
      <w:b/>
      <w:bCs/>
      <w:caps/>
      <w:kern w:val="32"/>
      <w:sz w:val="22"/>
      <w:szCs w:val="32"/>
      <w:lang w:eastAsia="zh-CN"/>
    </w:rPr>
  </w:style>
  <w:style w:type="paragraph" w:customStyle="1" w:styleId="EPODocHeading1">
    <w:name w:val="EPODocHeading1"/>
    <w:basedOn w:val="Normal"/>
    <w:next w:val="Normal"/>
    <w:link w:val="EPODocHeading1Char"/>
    <w:qFormat/>
    <w:rsid w:val="00EA17C8"/>
    <w:pPr>
      <w:numPr>
        <w:numId w:val="12"/>
      </w:numPr>
      <w:spacing w:before="240" w:after="240"/>
      <w:outlineLvl w:val="0"/>
    </w:pPr>
    <w:rPr>
      <w:b/>
      <w:caps/>
      <w:sz w:val="28"/>
    </w:rPr>
  </w:style>
  <w:style w:type="character" w:customStyle="1" w:styleId="EPODocHeading1Char">
    <w:name w:val="EPODocHeading1 Char"/>
    <w:basedOn w:val="DefaultParagraphFont"/>
    <w:link w:val="EPODocHeading1"/>
    <w:rsid w:val="00EA17C8"/>
    <w:rPr>
      <w:rFonts w:ascii="Arial" w:eastAsia="SimSun" w:hAnsi="Arial" w:cs="Arial"/>
      <w:b/>
      <w:caps/>
      <w:sz w:val="28"/>
      <w:lang w:eastAsia="zh-CN"/>
    </w:rPr>
  </w:style>
  <w:style w:type="paragraph" w:customStyle="1" w:styleId="EPODocHeading2">
    <w:name w:val="EPODocHeading2"/>
    <w:basedOn w:val="Normal"/>
    <w:next w:val="Normal"/>
    <w:qFormat/>
    <w:rsid w:val="00EA17C8"/>
    <w:pPr>
      <w:numPr>
        <w:ilvl w:val="1"/>
        <w:numId w:val="12"/>
      </w:numPr>
      <w:spacing w:before="240" w:after="240"/>
      <w:outlineLvl w:val="1"/>
    </w:pPr>
    <w:rPr>
      <w:b/>
      <w:caps/>
      <w:sz w:val="24"/>
    </w:rPr>
  </w:style>
  <w:style w:type="paragraph" w:customStyle="1" w:styleId="EPODocHeading3">
    <w:name w:val="EPODocHeading3"/>
    <w:basedOn w:val="Normal"/>
    <w:next w:val="Normal"/>
    <w:qFormat/>
    <w:rsid w:val="00EA17C8"/>
    <w:pPr>
      <w:numPr>
        <w:ilvl w:val="2"/>
        <w:numId w:val="12"/>
      </w:numPr>
      <w:spacing w:before="240" w:after="240"/>
      <w:outlineLvl w:val="2"/>
    </w:pPr>
    <w:rPr>
      <w:b/>
      <w:sz w:val="24"/>
    </w:rPr>
  </w:style>
  <w:style w:type="paragraph" w:customStyle="1" w:styleId="EPODocHeading4">
    <w:name w:val="EPODocHeading4"/>
    <w:basedOn w:val="Normal"/>
    <w:next w:val="Normal"/>
    <w:qFormat/>
    <w:rsid w:val="00EA17C8"/>
    <w:pPr>
      <w:numPr>
        <w:ilvl w:val="3"/>
        <w:numId w:val="12"/>
      </w:numPr>
      <w:spacing w:before="240" w:after="240"/>
      <w:outlineLvl w:val="3"/>
    </w:pPr>
    <w:rPr>
      <w:b/>
      <w:sz w:val="24"/>
    </w:rPr>
  </w:style>
  <w:style w:type="character" w:styleId="Strong">
    <w:name w:val="Strong"/>
    <w:basedOn w:val="DefaultParagraphFont"/>
    <w:qFormat/>
    <w:rsid w:val="00EA17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854710">
      <w:bodyDiv w:val="1"/>
      <w:marLeft w:val="0"/>
      <w:marRight w:val="0"/>
      <w:marTop w:val="0"/>
      <w:marBottom w:val="0"/>
      <w:divBdr>
        <w:top w:val="none" w:sz="0" w:space="0" w:color="auto"/>
        <w:left w:val="none" w:sz="0" w:space="0" w:color="auto"/>
        <w:bottom w:val="none" w:sz="0" w:space="0" w:color="auto"/>
        <w:right w:val="none" w:sz="0" w:space="0" w:color="auto"/>
      </w:divBdr>
      <w:divsChild>
        <w:div w:id="1567379409">
          <w:marLeft w:val="0"/>
          <w:marRight w:val="0"/>
          <w:marTop w:val="0"/>
          <w:marBottom w:val="0"/>
          <w:divBdr>
            <w:top w:val="none" w:sz="0" w:space="0" w:color="auto"/>
            <w:left w:val="none" w:sz="0" w:space="0" w:color="auto"/>
            <w:bottom w:val="none" w:sz="0" w:space="0" w:color="auto"/>
            <w:right w:val="none" w:sz="0" w:space="0" w:color="auto"/>
          </w:divBdr>
        </w:div>
        <w:div w:id="449935794">
          <w:marLeft w:val="0"/>
          <w:marRight w:val="0"/>
          <w:marTop w:val="0"/>
          <w:marBottom w:val="0"/>
          <w:divBdr>
            <w:top w:val="none" w:sz="0" w:space="0" w:color="auto"/>
            <w:left w:val="none" w:sz="0" w:space="0" w:color="auto"/>
            <w:bottom w:val="none" w:sz="0" w:space="0" w:color="auto"/>
            <w:right w:val="none" w:sz="0" w:space="0" w:color="auto"/>
          </w:divBdr>
        </w:div>
        <w:div w:id="1308582838">
          <w:marLeft w:val="0"/>
          <w:marRight w:val="0"/>
          <w:marTop w:val="0"/>
          <w:marBottom w:val="0"/>
          <w:divBdr>
            <w:top w:val="none" w:sz="0" w:space="0" w:color="auto"/>
            <w:left w:val="none" w:sz="0" w:space="0" w:color="auto"/>
            <w:bottom w:val="none" w:sz="0" w:space="0" w:color="auto"/>
            <w:right w:val="none" w:sz="0" w:space="0" w:color="auto"/>
          </w:divBdr>
        </w:div>
        <w:div w:id="1758479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4F4C1-72A9-4A7C-B7C6-1530BECD9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717</Words>
  <Characters>3440</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CWS/5/6 Annex I (in Spanish)</vt:lpstr>
    </vt:vector>
  </TitlesOfParts>
  <Company>WIPO</Company>
  <LinksUpToDate>false</LinksUpToDate>
  <CharactersWithSpaces>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CWS/5/6 Annex I (in Spanish)</dc:title>
  <dc:subject>Revision of WIPO Standard ST.26</dc:subject>
  <dc:creator>WIPO</dc:creator>
  <cp:keywords>CWS</cp:keywords>
  <dc:description/>
  <cp:lastModifiedBy>ZAGO Bétina</cp:lastModifiedBy>
  <cp:revision>4</cp:revision>
  <cp:lastPrinted>2017-04-26T09:52:00Z</cp:lastPrinted>
  <dcterms:created xsi:type="dcterms:W3CDTF">2017-05-09T12:18:00Z</dcterms:created>
  <dcterms:modified xsi:type="dcterms:W3CDTF">2017-05-09T12:29:00Z</dcterms:modified>
</cp:coreProperties>
</file>