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73" w:rsidRDefault="001A2873" w:rsidP="00C248D8">
      <w:pPr>
        <w:pStyle w:val="Heading1"/>
        <w:spacing w:before="0" w:after="220"/>
        <w:rPr>
          <w:lang w:val="es-ES"/>
        </w:rPr>
      </w:pPr>
      <w:bookmarkStart w:id="0" w:name="_GoBack"/>
      <w:bookmarkEnd w:id="0"/>
      <w:r>
        <w:rPr>
          <w:lang w:val="es-ES"/>
        </w:rPr>
        <w:t>RECOMENDACIONES PARA LAS DISPOSICIONES RELATIVAS A LA TRANSICIÓN DE LA NORMA ST.25 A LA NORMA ST.26 DE LA OMPI</w:t>
      </w:r>
    </w:p>
    <w:p w:rsidR="000F2E8F" w:rsidRPr="00BF50FF" w:rsidRDefault="00D9417C" w:rsidP="00C248D8">
      <w:pPr>
        <w:spacing w:after="220"/>
        <w:rPr>
          <w:lang w:val="es-ES"/>
        </w:rPr>
      </w:pPr>
      <w:proofErr w:type="gramStart"/>
      <w:r>
        <w:rPr>
          <w:i/>
          <w:iCs/>
          <w:szCs w:val="22"/>
          <w:lang w:val="es-ES"/>
        </w:rPr>
        <w:t>p</w:t>
      </w:r>
      <w:r w:rsidR="001A2873" w:rsidRPr="00BF50FF">
        <w:rPr>
          <w:i/>
          <w:iCs/>
          <w:szCs w:val="22"/>
          <w:lang w:val="es-ES"/>
        </w:rPr>
        <w:t>reparadas</w:t>
      </w:r>
      <w:proofErr w:type="gramEnd"/>
      <w:r w:rsidR="001A2873" w:rsidRPr="00BF50FF">
        <w:rPr>
          <w:i/>
          <w:iCs/>
          <w:szCs w:val="22"/>
          <w:lang w:val="es-ES"/>
        </w:rPr>
        <w:t xml:space="preserve"> por la Oficina Europea de Patentes</w:t>
      </w:r>
      <w:r w:rsidR="000F2E8F" w:rsidRPr="00BF50FF">
        <w:rPr>
          <w:i/>
          <w:iCs/>
          <w:szCs w:val="22"/>
          <w:lang w:val="es-ES"/>
        </w:rPr>
        <w:t xml:space="preserve"> (</w:t>
      </w:r>
      <w:r w:rsidR="001A2873" w:rsidRPr="00BF50FF">
        <w:rPr>
          <w:i/>
          <w:iCs/>
          <w:szCs w:val="22"/>
          <w:lang w:val="es-ES"/>
        </w:rPr>
        <w:t>OPE</w:t>
      </w:r>
      <w:r w:rsidR="000F2E8F" w:rsidRPr="00BF50FF">
        <w:rPr>
          <w:i/>
          <w:iCs/>
          <w:szCs w:val="22"/>
          <w:lang w:val="es-ES"/>
        </w:rPr>
        <w:t>)</w:t>
      </w:r>
    </w:p>
    <w:p w:rsidR="000F2E8F" w:rsidRPr="00975876" w:rsidRDefault="00BF50FF" w:rsidP="00C248D8">
      <w:pPr>
        <w:pStyle w:val="Heading2"/>
        <w:spacing w:before="0"/>
        <w:rPr>
          <w:lang w:val="es-ES"/>
        </w:rPr>
      </w:pPr>
      <w:r>
        <w:rPr>
          <w:lang w:val="es-ES"/>
        </w:rPr>
        <w:t>ANTECEDENTES</w:t>
      </w:r>
    </w:p>
    <w:p w:rsidR="00BF50FF" w:rsidRDefault="00BF50FF" w:rsidP="00C248D8">
      <w:pPr>
        <w:pStyle w:val="ONUME"/>
        <w:numPr>
          <w:ilvl w:val="0"/>
          <w:numId w:val="12"/>
        </w:numPr>
        <w:rPr>
          <w:lang w:val="es-ES"/>
        </w:rPr>
      </w:pPr>
      <w:r w:rsidRPr="00BF50FF">
        <w:rPr>
          <w:lang w:val="es-ES"/>
        </w:rPr>
        <w:t>El Comité de Normas Técnicas de la OMPI (CWS)</w:t>
      </w:r>
      <w:r>
        <w:rPr>
          <w:lang w:val="es-ES"/>
        </w:rPr>
        <w:t xml:space="preserve"> solicitó al Equipo Técnico de Listas de Secuencias</w:t>
      </w:r>
      <w:r w:rsidR="00F22DB0">
        <w:rPr>
          <w:lang w:val="es-ES"/>
        </w:rPr>
        <w:t xml:space="preserve"> (SQL)</w:t>
      </w:r>
      <w:r w:rsidR="00B6296E">
        <w:rPr>
          <w:lang w:val="es-ES"/>
        </w:rPr>
        <w:t xml:space="preserve"> que presentara</w:t>
      </w:r>
      <w:r>
        <w:rPr>
          <w:lang w:val="es-ES"/>
        </w:rPr>
        <w:t xml:space="preserve"> una propuesta de disposiciones r</w:t>
      </w:r>
      <w:r w:rsidR="00A05678">
        <w:rPr>
          <w:lang w:val="es-ES"/>
        </w:rPr>
        <w:t>elativas a la transición de la N</w:t>
      </w:r>
      <w:r>
        <w:rPr>
          <w:lang w:val="es-ES"/>
        </w:rPr>
        <w:t>orma ST.25</w:t>
      </w:r>
      <w:r w:rsidR="00A05678">
        <w:rPr>
          <w:lang w:val="es-ES"/>
        </w:rPr>
        <w:t xml:space="preserve"> a la Norma</w:t>
      </w:r>
      <w:r>
        <w:rPr>
          <w:lang w:val="es-ES"/>
        </w:rPr>
        <w:t xml:space="preserve"> ST.26 para examinarlas y aprobarlas en su reunión que se </w:t>
      </w:r>
      <w:r w:rsidR="00B6296E">
        <w:rPr>
          <w:lang w:val="es-ES"/>
        </w:rPr>
        <w:t>celebraría</w:t>
      </w:r>
      <w:r>
        <w:rPr>
          <w:lang w:val="es-ES"/>
        </w:rPr>
        <w:t xml:space="preserve"> en 2017. </w:t>
      </w:r>
      <w:r w:rsidR="008E6F17">
        <w:rPr>
          <w:lang w:val="es-ES"/>
        </w:rPr>
        <w:t xml:space="preserve"> </w:t>
      </w:r>
      <w:r w:rsidR="006D61E1">
        <w:rPr>
          <w:lang w:val="es-ES"/>
        </w:rPr>
        <w:t>Des</w:t>
      </w:r>
      <w:r w:rsidR="00EF2244">
        <w:rPr>
          <w:lang w:val="es-ES"/>
        </w:rPr>
        <w:t>pués de que el CWS adoptara la N</w:t>
      </w:r>
      <w:r w:rsidR="006D61E1">
        <w:rPr>
          <w:lang w:val="es-ES"/>
        </w:rPr>
        <w:t>orma</w:t>
      </w:r>
      <w:r w:rsidR="006D61E1" w:rsidRPr="006D61E1">
        <w:rPr>
          <w:lang w:val="es-ES"/>
        </w:rPr>
        <w:t xml:space="preserve"> ST.26 </w:t>
      </w:r>
      <w:r w:rsidR="006D61E1">
        <w:rPr>
          <w:lang w:val="es-ES"/>
        </w:rPr>
        <w:t>en 2016, el Equipo Técnico llevó a cabo una ronda de debates centrados en cuestiones relativas a la transición (ST.25 a ST.26).</w:t>
      </w:r>
    </w:p>
    <w:p w:rsidR="0069478B" w:rsidRPr="0069478B" w:rsidRDefault="0069478B" w:rsidP="00C248D8">
      <w:pPr>
        <w:pStyle w:val="ONUME"/>
        <w:numPr>
          <w:ilvl w:val="0"/>
          <w:numId w:val="12"/>
        </w:numPr>
        <w:rPr>
          <w:lang w:val="es-ES"/>
        </w:rPr>
      </w:pPr>
      <w:r w:rsidRPr="0069478B">
        <w:rPr>
          <w:lang w:val="es-ES"/>
        </w:rPr>
        <w:t xml:space="preserve">Habida cuenta de la importancia que reviste </w:t>
      </w:r>
      <w:r w:rsidR="00F22DB0" w:rsidRPr="0069478B">
        <w:rPr>
          <w:lang w:val="es-ES"/>
        </w:rPr>
        <w:t xml:space="preserve">para </w:t>
      </w:r>
      <w:r w:rsidR="00F22DB0" w:rsidRPr="00D9417C">
        <w:rPr>
          <w:lang w:val="es-ES"/>
        </w:rPr>
        <w:t>el Tratado de Cooperación en materia de Patentes (PCT)</w:t>
      </w:r>
      <w:r w:rsidR="00F22DB0">
        <w:rPr>
          <w:lang w:val="es-ES"/>
        </w:rPr>
        <w:t xml:space="preserve"> </w:t>
      </w:r>
      <w:r w:rsidR="00EF2244">
        <w:rPr>
          <w:lang w:val="es-ES"/>
        </w:rPr>
        <w:t>la transición de la N</w:t>
      </w:r>
      <w:r w:rsidRPr="0069478B">
        <w:rPr>
          <w:lang w:val="es-ES"/>
        </w:rPr>
        <w:t>orma ST.</w:t>
      </w:r>
      <w:r w:rsidR="00EF2244">
        <w:rPr>
          <w:lang w:val="es-ES"/>
        </w:rPr>
        <w:t>25 a la N</w:t>
      </w:r>
      <w:r w:rsidRPr="0069478B">
        <w:rPr>
          <w:lang w:val="es-ES"/>
        </w:rPr>
        <w:t>orma ST.26 de la OMPI</w:t>
      </w:r>
      <w:r w:rsidR="00B6296E">
        <w:rPr>
          <w:lang w:val="es-ES"/>
        </w:rPr>
        <w:t>, el Equipo Técnico invitó</w:t>
      </w:r>
      <w:r w:rsidRPr="00D9417C">
        <w:rPr>
          <w:lang w:val="es-ES"/>
        </w:rPr>
        <w:t xml:space="preserve"> a la Oficina Internacional a que </w:t>
      </w:r>
      <w:r w:rsidR="00D9417C" w:rsidRPr="00D9417C">
        <w:rPr>
          <w:lang w:val="es-ES"/>
        </w:rPr>
        <w:t>facilit</w:t>
      </w:r>
      <w:r w:rsidR="00B6296E">
        <w:rPr>
          <w:lang w:val="es-ES"/>
        </w:rPr>
        <w:t>ara</w:t>
      </w:r>
      <w:r w:rsidRPr="00D9417C">
        <w:rPr>
          <w:lang w:val="es-ES"/>
        </w:rPr>
        <w:t xml:space="preserve"> a los miembros del PCT información </w:t>
      </w:r>
      <w:r w:rsidR="00D9417C" w:rsidRPr="00D9417C">
        <w:rPr>
          <w:lang w:val="es-ES"/>
        </w:rPr>
        <w:t>que contribuy</w:t>
      </w:r>
      <w:r w:rsidR="00B6296E">
        <w:rPr>
          <w:lang w:val="es-ES"/>
        </w:rPr>
        <w:t>er</w:t>
      </w:r>
      <w:r w:rsidR="00D9417C" w:rsidRPr="00D9417C">
        <w:rPr>
          <w:lang w:val="es-ES"/>
        </w:rPr>
        <w:t>a a su</w:t>
      </w:r>
      <w:r w:rsidRPr="00D9417C">
        <w:rPr>
          <w:lang w:val="es-ES"/>
        </w:rPr>
        <w:t xml:space="preserve"> labor.  Por</w:t>
      </w:r>
      <w:r>
        <w:rPr>
          <w:lang w:val="es-ES"/>
        </w:rPr>
        <w:t xml:space="preserve"> consiguiente</w:t>
      </w:r>
      <w:r w:rsidRPr="0069478B">
        <w:rPr>
          <w:lang w:val="es-ES"/>
        </w:rPr>
        <w:t xml:space="preserve">, la Oficina Internacional publicó la Circular C.  PCT 1485/C. CWS 75.  La Oficina Internacional </w:t>
      </w:r>
      <w:r w:rsidR="00D9417C">
        <w:rPr>
          <w:lang w:val="es-ES"/>
        </w:rPr>
        <w:t>envió</w:t>
      </w:r>
      <w:r>
        <w:rPr>
          <w:lang w:val="es-ES"/>
        </w:rPr>
        <w:t xml:space="preserve"> </w:t>
      </w:r>
      <w:r w:rsidR="00D9417C">
        <w:rPr>
          <w:lang w:val="es-ES"/>
        </w:rPr>
        <w:t>a</w:t>
      </w:r>
      <w:r w:rsidRPr="0069478B">
        <w:rPr>
          <w:lang w:val="es-ES"/>
        </w:rPr>
        <w:t>l Equipo Técnico las respuestas individuales a la Circular</w:t>
      </w:r>
      <w:r>
        <w:rPr>
          <w:lang w:val="es-ES"/>
        </w:rPr>
        <w:t xml:space="preserve"> y</w:t>
      </w:r>
      <w:r w:rsidRPr="0069478B">
        <w:rPr>
          <w:lang w:val="es-ES"/>
        </w:rPr>
        <w:t xml:space="preserve"> presentó un análisis de las res</w:t>
      </w:r>
      <w:r w:rsidRPr="00D9417C">
        <w:rPr>
          <w:lang w:val="es-ES"/>
        </w:rPr>
        <w:t xml:space="preserve">puestas recibidas en la Reunión de Administraciones Internacionales en virtud del Tratado de Cooperación en materia de Patentes (PCT/MIA), </w:t>
      </w:r>
      <w:r w:rsidR="00434FF8" w:rsidRPr="00D9417C">
        <w:rPr>
          <w:lang w:val="es-ES"/>
        </w:rPr>
        <w:t xml:space="preserve">celebrada </w:t>
      </w:r>
      <w:r w:rsidRPr="00D9417C">
        <w:rPr>
          <w:lang w:val="es-ES"/>
        </w:rPr>
        <w:t xml:space="preserve">en febrero de 2017. </w:t>
      </w:r>
      <w:r w:rsidR="008E6F17">
        <w:rPr>
          <w:lang w:val="es-ES"/>
        </w:rPr>
        <w:t xml:space="preserve"> </w:t>
      </w:r>
      <w:r w:rsidRPr="00D9417C">
        <w:rPr>
          <w:lang w:val="es-ES"/>
        </w:rPr>
        <w:t>Los miembros del Equipo Técnico también</w:t>
      </w:r>
      <w:r w:rsidRPr="0069478B">
        <w:rPr>
          <w:lang w:val="es-ES"/>
        </w:rPr>
        <w:t xml:space="preserve"> debatieron la transición </w:t>
      </w:r>
      <w:r w:rsidR="00434FF8">
        <w:rPr>
          <w:lang w:val="es-ES"/>
        </w:rPr>
        <w:t>en varias</w:t>
      </w:r>
      <w:r w:rsidRPr="0069478B">
        <w:rPr>
          <w:lang w:val="es-ES"/>
        </w:rPr>
        <w:t xml:space="preserve"> reuniones por </w:t>
      </w:r>
      <w:r w:rsidR="00C248D8">
        <w:rPr>
          <w:lang w:val="es-ES"/>
        </w:rPr>
        <w:t>WebEx y en su foro electrónico.</w:t>
      </w:r>
    </w:p>
    <w:p w:rsidR="00451AD0" w:rsidRPr="00D9417C" w:rsidRDefault="00451AD0" w:rsidP="00C248D8">
      <w:pPr>
        <w:pStyle w:val="Heading2"/>
        <w:spacing w:before="0"/>
        <w:rPr>
          <w:lang w:val="es-ES"/>
        </w:rPr>
      </w:pPr>
      <w:r>
        <w:rPr>
          <w:lang w:val="es-ES"/>
        </w:rPr>
        <w:t xml:space="preserve">recomendaciones del </w:t>
      </w:r>
      <w:r w:rsidRPr="00D9417C">
        <w:rPr>
          <w:lang w:val="es-ES"/>
        </w:rPr>
        <w:t>equipo técnico</w:t>
      </w:r>
    </w:p>
    <w:p w:rsidR="00451AD0" w:rsidRPr="00D9417C" w:rsidRDefault="00451AD0" w:rsidP="00C248D8">
      <w:pPr>
        <w:pStyle w:val="ONUME"/>
        <w:rPr>
          <w:lang w:val="es-ES"/>
        </w:rPr>
      </w:pPr>
      <w:r w:rsidRPr="00D9417C">
        <w:rPr>
          <w:lang w:val="es-ES"/>
        </w:rPr>
        <w:t xml:space="preserve">A pedido del CWS y </w:t>
      </w:r>
      <w:r w:rsidR="000D17BD">
        <w:rPr>
          <w:lang w:val="es-ES"/>
        </w:rPr>
        <w:t>teniendo en</w:t>
      </w:r>
      <w:r w:rsidRPr="00D9417C">
        <w:rPr>
          <w:lang w:val="es-ES"/>
        </w:rPr>
        <w:t xml:space="preserve"> cuenta el resultado de la consulta </w:t>
      </w:r>
      <w:r w:rsidR="00803D23" w:rsidRPr="00D9417C">
        <w:rPr>
          <w:lang w:val="es-ES"/>
        </w:rPr>
        <w:t>que llevó a cabo</w:t>
      </w:r>
      <w:r w:rsidRPr="00D9417C">
        <w:rPr>
          <w:lang w:val="es-ES"/>
        </w:rPr>
        <w:t xml:space="preserve"> la Oficina Internacional </w:t>
      </w:r>
      <w:r w:rsidR="00B6296E">
        <w:rPr>
          <w:lang w:val="es-ES"/>
        </w:rPr>
        <w:t xml:space="preserve">por medio </w:t>
      </w:r>
      <w:r w:rsidRPr="00D9417C">
        <w:rPr>
          <w:lang w:val="es-ES"/>
        </w:rPr>
        <w:t xml:space="preserve">de la Circular, el Equipo Técnico </w:t>
      </w:r>
      <w:r w:rsidR="00212941">
        <w:rPr>
          <w:lang w:val="es-ES"/>
        </w:rPr>
        <w:t>de L</w:t>
      </w:r>
      <w:r w:rsidR="00803D23" w:rsidRPr="00D9417C">
        <w:rPr>
          <w:lang w:val="es-ES"/>
        </w:rPr>
        <w:t xml:space="preserve">istas de </w:t>
      </w:r>
      <w:r w:rsidR="00212941">
        <w:rPr>
          <w:lang w:val="es-ES"/>
        </w:rPr>
        <w:t>S</w:t>
      </w:r>
      <w:r w:rsidR="00803D23" w:rsidRPr="00D9417C">
        <w:rPr>
          <w:lang w:val="es-ES"/>
        </w:rPr>
        <w:t>ecuencias</w:t>
      </w:r>
      <w:r w:rsidR="00D9417C" w:rsidRPr="00D9417C">
        <w:rPr>
          <w:lang w:val="es-ES"/>
        </w:rPr>
        <w:t xml:space="preserve"> </w:t>
      </w:r>
      <w:r w:rsidR="00B6296E">
        <w:rPr>
          <w:lang w:val="es-ES"/>
        </w:rPr>
        <w:t>recomienda lo</w:t>
      </w:r>
      <w:r w:rsidRPr="00D9417C">
        <w:rPr>
          <w:lang w:val="es-ES"/>
        </w:rPr>
        <w:t xml:space="preserve"> siguiente:</w:t>
      </w:r>
    </w:p>
    <w:p w:rsidR="000F2E8F" w:rsidRPr="00975876" w:rsidRDefault="00451AD0" w:rsidP="00C248D8">
      <w:pPr>
        <w:pStyle w:val="Heading3"/>
        <w:spacing w:before="0"/>
        <w:rPr>
          <w:lang w:val="es-ES"/>
        </w:rPr>
      </w:pPr>
      <w:r>
        <w:rPr>
          <w:lang w:val="es-ES"/>
        </w:rPr>
        <w:t>Hipótesis de transición</w:t>
      </w:r>
      <w:r w:rsidR="00A24EEB" w:rsidRPr="00975876">
        <w:rPr>
          <w:lang w:val="es-ES"/>
        </w:rPr>
        <w:t>:</w:t>
      </w:r>
    </w:p>
    <w:p w:rsidR="00AC328C" w:rsidRPr="00D9417C" w:rsidRDefault="00AC328C" w:rsidP="00C248D8">
      <w:pPr>
        <w:pStyle w:val="ONUME"/>
        <w:rPr>
          <w:lang w:val="es-ES"/>
        </w:rPr>
      </w:pPr>
      <w:r w:rsidRPr="00AC328C">
        <w:rPr>
          <w:lang w:val="es-ES"/>
        </w:rPr>
        <w:t xml:space="preserve">De conformidad con la </w:t>
      </w:r>
      <w:r w:rsidRPr="00D9417C">
        <w:rPr>
          <w:lang w:val="es-ES"/>
        </w:rPr>
        <w:t xml:space="preserve">opinión expresada por todas las </w:t>
      </w:r>
      <w:r w:rsidR="00803D23" w:rsidRPr="00D9417C">
        <w:rPr>
          <w:lang w:val="es-ES"/>
        </w:rPr>
        <w:t>O</w:t>
      </w:r>
      <w:r w:rsidRPr="00D9417C">
        <w:rPr>
          <w:lang w:val="es-ES"/>
        </w:rPr>
        <w:t>ficinas en respuesta a la Circular, el Equipo Técnico considera que la hip</w:t>
      </w:r>
      <w:r w:rsidR="00EC662A" w:rsidRPr="00D9417C">
        <w:rPr>
          <w:lang w:val="es-ES"/>
        </w:rPr>
        <w:t>ótesis de cambio radical (</w:t>
      </w:r>
      <w:r w:rsidR="00D9417C" w:rsidRPr="00D9417C">
        <w:rPr>
          <w:lang w:val="es-ES"/>
        </w:rPr>
        <w:t>“</w:t>
      </w:r>
      <w:r w:rsidRPr="00D9417C">
        <w:rPr>
          <w:lang w:val="es-ES"/>
        </w:rPr>
        <w:t>big bang</w:t>
      </w:r>
      <w:r w:rsidR="00D9417C" w:rsidRPr="00D9417C">
        <w:rPr>
          <w:lang w:val="es-ES"/>
        </w:rPr>
        <w:t>”</w:t>
      </w:r>
      <w:r w:rsidR="00EC662A" w:rsidRPr="00D9417C">
        <w:rPr>
          <w:lang w:val="es-ES"/>
        </w:rPr>
        <w:t xml:space="preserve">) </w:t>
      </w:r>
      <w:r w:rsidRPr="00D9417C">
        <w:rPr>
          <w:lang w:val="es-ES"/>
        </w:rPr>
        <w:t xml:space="preserve">es la </w:t>
      </w:r>
      <w:r w:rsidR="0034100A" w:rsidRPr="00D9417C">
        <w:rPr>
          <w:lang w:val="es-ES"/>
        </w:rPr>
        <w:t xml:space="preserve">opción </w:t>
      </w:r>
      <w:r w:rsidR="00D9417C" w:rsidRPr="00D9417C">
        <w:rPr>
          <w:lang w:val="es-ES"/>
        </w:rPr>
        <w:t xml:space="preserve">preferible </w:t>
      </w:r>
      <w:r w:rsidR="0034100A" w:rsidRPr="00D9417C">
        <w:rPr>
          <w:lang w:val="es-ES"/>
        </w:rPr>
        <w:t>dado que, al parecer, es la que brinda</w:t>
      </w:r>
      <w:r w:rsidRPr="00D9417C">
        <w:rPr>
          <w:lang w:val="es-ES"/>
        </w:rPr>
        <w:t xml:space="preserve"> </w:t>
      </w:r>
      <w:r w:rsidR="0034100A" w:rsidRPr="00D9417C">
        <w:rPr>
          <w:lang w:val="es-ES"/>
        </w:rPr>
        <w:t>mayor</w:t>
      </w:r>
      <w:r w:rsidRPr="00D9417C">
        <w:rPr>
          <w:lang w:val="es-ES"/>
        </w:rPr>
        <w:t xml:space="preserve"> seguridad jurídica</w:t>
      </w:r>
      <w:r w:rsidR="0034100A" w:rsidRPr="00D9417C">
        <w:rPr>
          <w:lang w:val="es-ES"/>
        </w:rPr>
        <w:t xml:space="preserve"> </w:t>
      </w:r>
      <w:r w:rsidR="00EC662A" w:rsidRPr="00D9417C">
        <w:rPr>
          <w:lang w:val="es-ES"/>
        </w:rPr>
        <w:t xml:space="preserve">a los solicitantes y </w:t>
      </w:r>
      <w:r w:rsidR="00B6296E">
        <w:rPr>
          <w:lang w:val="es-ES"/>
        </w:rPr>
        <w:t xml:space="preserve">a </w:t>
      </w:r>
      <w:r w:rsidR="00EC662A" w:rsidRPr="00D9417C">
        <w:rPr>
          <w:lang w:val="es-ES"/>
        </w:rPr>
        <w:t xml:space="preserve">las Oficinas. </w:t>
      </w:r>
      <w:r w:rsidR="00C248D8">
        <w:rPr>
          <w:lang w:val="es-ES"/>
        </w:rPr>
        <w:t xml:space="preserve"> </w:t>
      </w:r>
      <w:r w:rsidR="00EC662A" w:rsidRPr="00D9417C">
        <w:rPr>
          <w:lang w:val="es-ES"/>
        </w:rPr>
        <w:t xml:space="preserve">Por consiguiente, todas las Oficinas deberían </w:t>
      </w:r>
      <w:r w:rsidR="00CB62C9" w:rsidRPr="00D9417C">
        <w:rPr>
          <w:lang w:val="es-ES"/>
        </w:rPr>
        <w:t>convenir</w:t>
      </w:r>
      <w:r w:rsidR="0034100A" w:rsidRPr="00D9417C">
        <w:rPr>
          <w:lang w:val="es-ES"/>
        </w:rPr>
        <w:t xml:space="preserve"> </w:t>
      </w:r>
      <w:r w:rsidR="00EC662A" w:rsidRPr="00D9417C">
        <w:rPr>
          <w:lang w:val="es-ES"/>
        </w:rPr>
        <w:t xml:space="preserve">una fecha para la transición de </w:t>
      </w:r>
      <w:r w:rsidR="00B6296E">
        <w:rPr>
          <w:lang w:val="es-ES"/>
        </w:rPr>
        <w:t xml:space="preserve">la Norma </w:t>
      </w:r>
      <w:r w:rsidR="00EC662A" w:rsidRPr="00D9417C">
        <w:rPr>
          <w:lang w:val="es-ES"/>
        </w:rPr>
        <w:t xml:space="preserve">ST.25 a </w:t>
      </w:r>
      <w:r w:rsidR="00B6296E">
        <w:rPr>
          <w:lang w:val="es-ES"/>
        </w:rPr>
        <w:t xml:space="preserve">la Norma </w:t>
      </w:r>
      <w:r w:rsidR="00EC662A" w:rsidRPr="00D9417C">
        <w:rPr>
          <w:lang w:val="es-ES"/>
        </w:rPr>
        <w:t xml:space="preserve">ST.26 </w:t>
      </w:r>
      <w:r w:rsidR="00CB62C9" w:rsidRPr="00D9417C">
        <w:rPr>
          <w:lang w:val="es-ES"/>
        </w:rPr>
        <w:t>a fin de presentar</w:t>
      </w:r>
      <w:r w:rsidR="00EC662A" w:rsidRPr="00D9417C">
        <w:rPr>
          <w:lang w:val="es-ES"/>
        </w:rPr>
        <w:t xml:space="preserve"> listas de secuencias en </w:t>
      </w:r>
      <w:r w:rsidR="00D9417C" w:rsidRPr="00D9417C">
        <w:rPr>
          <w:lang w:val="es-ES"/>
        </w:rPr>
        <w:t xml:space="preserve">relación con </w:t>
      </w:r>
      <w:r w:rsidR="00EC662A" w:rsidRPr="00D9417C">
        <w:rPr>
          <w:lang w:val="es-ES"/>
        </w:rPr>
        <w:t>nuevas solicitudes (“la fecha de transición”).</w:t>
      </w:r>
    </w:p>
    <w:p w:rsidR="00717F2B" w:rsidRPr="00717F2B" w:rsidRDefault="00717F2B" w:rsidP="00C248D8">
      <w:pPr>
        <w:pStyle w:val="Heading3"/>
        <w:spacing w:before="0"/>
        <w:rPr>
          <w:lang w:val="es-ES"/>
        </w:rPr>
      </w:pPr>
      <w:r w:rsidRPr="00717F2B">
        <w:rPr>
          <w:lang w:val="es-ES"/>
        </w:rPr>
        <w:t>Solicitudes internacionales presentadas despu</w:t>
      </w:r>
      <w:r>
        <w:rPr>
          <w:lang w:val="es-ES"/>
        </w:rPr>
        <w:t xml:space="preserve">és </w:t>
      </w:r>
      <w:r w:rsidRPr="00D9417C">
        <w:rPr>
          <w:lang w:val="es-ES"/>
        </w:rPr>
        <w:t xml:space="preserve">de la fecha de transición en las que se reivindica la prioridad de una solicitud </w:t>
      </w:r>
      <w:r w:rsidR="00D9417C" w:rsidRPr="00D9417C">
        <w:rPr>
          <w:lang w:val="es-ES"/>
        </w:rPr>
        <w:t>que contenga</w:t>
      </w:r>
      <w:r w:rsidR="00D24D00" w:rsidRPr="00D9417C">
        <w:rPr>
          <w:lang w:val="es-ES"/>
        </w:rPr>
        <w:t xml:space="preserve"> </w:t>
      </w:r>
      <w:r w:rsidRPr="00D9417C">
        <w:rPr>
          <w:lang w:val="es-ES"/>
        </w:rPr>
        <w:t>una lista de secuencia</w:t>
      </w:r>
      <w:r w:rsidR="0017580F">
        <w:rPr>
          <w:lang w:val="es-ES"/>
        </w:rPr>
        <w:t>s</w:t>
      </w:r>
      <w:r w:rsidRPr="00D9417C">
        <w:rPr>
          <w:lang w:val="es-ES"/>
        </w:rPr>
        <w:t xml:space="preserve"> presentada </w:t>
      </w:r>
      <w:r w:rsidR="00EF2244">
        <w:rPr>
          <w:lang w:val="es-ES"/>
        </w:rPr>
        <w:t>con arreglo a la N</w:t>
      </w:r>
      <w:r w:rsidR="00D9417C" w:rsidRPr="00D9417C">
        <w:rPr>
          <w:lang w:val="es-ES"/>
        </w:rPr>
        <w:t>orma</w:t>
      </w:r>
      <w:r w:rsidRPr="00D9417C">
        <w:rPr>
          <w:lang w:val="es-ES"/>
        </w:rPr>
        <w:t xml:space="preserve"> ST.25:</w:t>
      </w:r>
    </w:p>
    <w:p w:rsidR="00717F2B" w:rsidRPr="00D9417C" w:rsidRDefault="007C76BE" w:rsidP="00C248D8">
      <w:pPr>
        <w:pStyle w:val="ONUME"/>
        <w:rPr>
          <w:lang w:val="es-ES"/>
        </w:rPr>
      </w:pPr>
      <w:r>
        <w:rPr>
          <w:lang w:val="es-ES"/>
        </w:rPr>
        <w:t>En l</w:t>
      </w:r>
      <w:r w:rsidR="00AA0995" w:rsidRPr="00D9417C">
        <w:rPr>
          <w:lang w:val="es-ES"/>
        </w:rPr>
        <w:t>as respuestas a la Circular</w:t>
      </w:r>
      <w:r>
        <w:rPr>
          <w:lang w:val="es-ES"/>
        </w:rPr>
        <w:t xml:space="preserve"> se</w:t>
      </w:r>
      <w:r w:rsidR="00AA0995" w:rsidRPr="00D9417C">
        <w:rPr>
          <w:lang w:val="es-ES"/>
        </w:rPr>
        <w:t xml:space="preserve"> expresan opiniones divergentes con respecto a si la fecha de transición debería determinarse con referencia a la fecha de presentación de </w:t>
      </w:r>
      <w:r w:rsidR="0017580F">
        <w:rPr>
          <w:lang w:val="es-ES"/>
        </w:rPr>
        <w:t xml:space="preserve">las </w:t>
      </w:r>
      <w:r w:rsidR="00AA0995" w:rsidRPr="00D9417C">
        <w:rPr>
          <w:lang w:val="es-ES"/>
        </w:rPr>
        <w:t>solicitudes internacionales, a la fecha de prioridad</w:t>
      </w:r>
      <w:r w:rsidR="0017580F">
        <w:rPr>
          <w:lang w:val="es-ES"/>
        </w:rPr>
        <w:t>,</w:t>
      </w:r>
      <w:r w:rsidR="00AA0995" w:rsidRPr="00D9417C">
        <w:rPr>
          <w:lang w:val="es-ES"/>
        </w:rPr>
        <w:t xml:space="preserve"> o si </w:t>
      </w:r>
      <w:r w:rsidR="00D24D00" w:rsidRPr="00D9417C">
        <w:rPr>
          <w:lang w:val="es-ES"/>
        </w:rPr>
        <w:t>debería dejarse a discreción del solicitante.</w:t>
      </w:r>
    </w:p>
    <w:p w:rsidR="00D9417C" w:rsidRDefault="00D9417C" w:rsidP="00C248D8">
      <w:pPr>
        <w:pStyle w:val="ONUME"/>
        <w:rPr>
          <w:lang w:val="es-ES"/>
        </w:rPr>
      </w:pPr>
      <w:r w:rsidRPr="00AA5D22">
        <w:rPr>
          <w:lang w:val="es-ES"/>
        </w:rPr>
        <w:t xml:space="preserve">Tras un análisis en profundidad de las ventajas y desventajas de las tres opciones, </w:t>
      </w:r>
      <w:r w:rsidR="0017580F">
        <w:rPr>
          <w:lang w:val="es-ES"/>
        </w:rPr>
        <w:t xml:space="preserve">que incluye </w:t>
      </w:r>
      <w:r w:rsidRPr="00AA5D22">
        <w:rPr>
          <w:lang w:val="es-ES"/>
        </w:rPr>
        <w:t xml:space="preserve">los comentarios facilitados por </w:t>
      </w:r>
      <w:r w:rsidRPr="00D9417C">
        <w:rPr>
          <w:lang w:val="es-ES"/>
        </w:rPr>
        <w:t>la PCT/MIA celebrada en febrero (véanse los párrafos 65 a 67 del documento PCT/MIA/24/15), el Equipo Técnico decidió provisionalmente que la fecha de presentación internacional sería la más adecuada, a reserva de que se sig</w:t>
      </w:r>
      <w:r w:rsidR="00143A49">
        <w:rPr>
          <w:lang w:val="es-ES"/>
        </w:rPr>
        <w:t>uier</w:t>
      </w:r>
      <w:r w:rsidRPr="00D9417C">
        <w:rPr>
          <w:lang w:val="es-ES"/>
        </w:rPr>
        <w:t xml:space="preserve">an analizando los posibles problemas de las indicaciones adicionales o suprimidas debido a la transformación de la lista de secuencias de </w:t>
      </w:r>
      <w:r w:rsidR="00B6296E">
        <w:rPr>
          <w:lang w:val="es-ES"/>
        </w:rPr>
        <w:t xml:space="preserve">la Norma </w:t>
      </w:r>
      <w:r w:rsidRPr="00D9417C">
        <w:rPr>
          <w:lang w:val="es-ES"/>
        </w:rPr>
        <w:t>ST.25, y a reserva de que se di</w:t>
      </w:r>
      <w:r w:rsidR="00143A49">
        <w:rPr>
          <w:lang w:val="es-ES"/>
        </w:rPr>
        <w:t>spusiera</w:t>
      </w:r>
      <w:r w:rsidRPr="00D9417C">
        <w:rPr>
          <w:lang w:val="es-ES"/>
        </w:rPr>
        <w:t xml:space="preserve"> de una herramienta d</w:t>
      </w:r>
      <w:r w:rsidR="00143A49">
        <w:rPr>
          <w:lang w:val="es-ES"/>
        </w:rPr>
        <w:t>e autoría y validación que ayudara</w:t>
      </w:r>
      <w:r w:rsidRPr="00D9417C">
        <w:rPr>
          <w:lang w:val="es-ES"/>
        </w:rPr>
        <w:t xml:space="preserve"> a transformar la lista de secuencias de</w:t>
      </w:r>
      <w:r w:rsidR="00B6296E">
        <w:rPr>
          <w:lang w:val="es-ES"/>
        </w:rPr>
        <w:t xml:space="preserve"> la Norma </w:t>
      </w:r>
      <w:r w:rsidRPr="00D9417C">
        <w:rPr>
          <w:lang w:val="es-ES"/>
        </w:rPr>
        <w:t xml:space="preserve">ST.25 </w:t>
      </w:r>
      <w:r w:rsidR="00B6296E">
        <w:rPr>
          <w:lang w:val="es-ES"/>
        </w:rPr>
        <w:t xml:space="preserve">con arreglo </w:t>
      </w:r>
      <w:r w:rsidRPr="00D9417C">
        <w:rPr>
          <w:lang w:val="es-ES"/>
        </w:rPr>
        <w:t xml:space="preserve">a </w:t>
      </w:r>
      <w:r w:rsidR="00B6296E">
        <w:rPr>
          <w:lang w:val="es-ES"/>
        </w:rPr>
        <w:t xml:space="preserve">la Norma </w:t>
      </w:r>
      <w:r w:rsidRPr="00D9417C">
        <w:rPr>
          <w:lang w:val="es-ES"/>
        </w:rPr>
        <w:t>ST.26 sin añadir o suprimir indicaciones.</w:t>
      </w:r>
      <w:r w:rsidR="008E6F17">
        <w:rPr>
          <w:lang w:val="es-ES"/>
        </w:rPr>
        <w:t xml:space="preserve"> </w:t>
      </w:r>
      <w:r w:rsidRPr="00D9417C">
        <w:rPr>
          <w:lang w:val="es-ES"/>
        </w:rPr>
        <w:t xml:space="preserve"> Se está preparando un documento para efectuar este análisis y realizar recomendaciones adecuadas a los solicitantes</w:t>
      </w:r>
      <w:r>
        <w:rPr>
          <w:lang w:val="es-ES"/>
        </w:rPr>
        <w:t>.</w:t>
      </w:r>
    </w:p>
    <w:p w:rsidR="005C4A5B" w:rsidRPr="00AF28AC" w:rsidRDefault="00963D7B" w:rsidP="00C248D8">
      <w:pPr>
        <w:pStyle w:val="ONUME"/>
        <w:rPr>
          <w:lang w:val="es-ES"/>
        </w:rPr>
      </w:pPr>
      <w:r w:rsidRPr="00AF28AC">
        <w:rPr>
          <w:lang w:val="es-ES"/>
        </w:rPr>
        <w:lastRenderedPageBreak/>
        <w:t xml:space="preserve">Se debería dejar </w:t>
      </w:r>
      <w:r w:rsidR="005E46C6">
        <w:rPr>
          <w:lang w:val="es-ES"/>
        </w:rPr>
        <w:t>que</w:t>
      </w:r>
      <w:r w:rsidRPr="00AF28AC">
        <w:rPr>
          <w:lang w:val="es-ES"/>
        </w:rPr>
        <w:t xml:space="preserve"> las</w:t>
      </w:r>
      <w:r w:rsidR="005C4A5B" w:rsidRPr="00AF28AC">
        <w:rPr>
          <w:lang w:val="es-ES"/>
        </w:rPr>
        <w:t xml:space="preserve"> Oficinas nacionales o regionales </w:t>
      </w:r>
      <w:r w:rsidR="00AF28AC" w:rsidRPr="00AF28AC">
        <w:rPr>
          <w:lang w:val="es-ES"/>
        </w:rPr>
        <w:t>decidan el</w:t>
      </w:r>
      <w:r w:rsidR="005C4A5B" w:rsidRPr="00AF28AC">
        <w:rPr>
          <w:lang w:val="es-ES"/>
        </w:rPr>
        <w:t xml:space="preserve"> procedimiento </w:t>
      </w:r>
      <w:r w:rsidRPr="00AF28AC">
        <w:rPr>
          <w:lang w:val="es-ES"/>
        </w:rPr>
        <w:t xml:space="preserve">que </w:t>
      </w:r>
      <w:r w:rsidR="005C4A5B" w:rsidRPr="00AF28AC">
        <w:rPr>
          <w:lang w:val="es-ES"/>
        </w:rPr>
        <w:t>ha de seguir</w:t>
      </w:r>
      <w:r w:rsidR="00AF28AC" w:rsidRPr="00AF28AC">
        <w:rPr>
          <w:lang w:val="es-ES"/>
        </w:rPr>
        <w:t>se</w:t>
      </w:r>
      <w:r w:rsidR="005C4A5B" w:rsidRPr="00AF28AC">
        <w:rPr>
          <w:lang w:val="es-ES"/>
        </w:rPr>
        <w:t xml:space="preserve"> en la fase nacional o regional (por ejemplo</w:t>
      </w:r>
      <w:proofErr w:type="gramStart"/>
      <w:r w:rsidR="005C4A5B" w:rsidRPr="00AF28AC">
        <w:rPr>
          <w:lang w:val="es-ES"/>
        </w:rPr>
        <w:t xml:space="preserve">: </w:t>
      </w:r>
      <w:r w:rsidR="00C248D8">
        <w:rPr>
          <w:lang w:val="es-ES"/>
        </w:rPr>
        <w:t xml:space="preserve"> </w:t>
      </w:r>
      <w:r w:rsidR="005C4A5B" w:rsidRPr="00AF28AC">
        <w:rPr>
          <w:lang w:val="es-ES"/>
        </w:rPr>
        <w:t>para</w:t>
      </w:r>
      <w:proofErr w:type="gramEnd"/>
      <w:r w:rsidR="005C4A5B" w:rsidRPr="00AF28AC">
        <w:rPr>
          <w:lang w:val="es-ES"/>
        </w:rPr>
        <w:t xml:space="preserve"> </w:t>
      </w:r>
      <w:r w:rsidR="00AF28AC" w:rsidRPr="00AF28AC">
        <w:rPr>
          <w:lang w:val="es-ES"/>
        </w:rPr>
        <w:t xml:space="preserve">las </w:t>
      </w:r>
      <w:r w:rsidR="005C4A5B" w:rsidRPr="00AF28AC">
        <w:rPr>
          <w:lang w:val="es-ES"/>
        </w:rPr>
        <w:t>divisionales)</w:t>
      </w:r>
      <w:r w:rsidR="00F35B03" w:rsidRPr="00AF28AC">
        <w:rPr>
          <w:lang w:val="es-ES"/>
        </w:rPr>
        <w:t>.</w:t>
      </w:r>
    </w:p>
    <w:p w:rsidR="00F35B03" w:rsidRPr="00AF28AC" w:rsidRDefault="00F35B03" w:rsidP="00C248D8">
      <w:pPr>
        <w:pStyle w:val="Heading3"/>
        <w:spacing w:before="0"/>
        <w:rPr>
          <w:lang w:val="es-ES"/>
        </w:rPr>
      </w:pPr>
      <w:r w:rsidRPr="00AF28AC">
        <w:rPr>
          <w:lang w:val="es-ES"/>
        </w:rPr>
        <w:t xml:space="preserve">Fecha de la </w:t>
      </w:r>
      <w:r w:rsidR="00143A49">
        <w:rPr>
          <w:lang w:val="es-ES"/>
        </w:rPr>
        <w:t>t</w:t>
      </w:r>
      <w:r w:rsidRPr="00AF28AC">
        <w:rPr>
          <w:lang w:val="es-ES"/>
        </w:rPr>
        <w:t xml:space="preserve">ransición </w:t>
      </w:r>
      <w:r w:rsidR="00143A49">
        <w:rPr>
          <w:lang w:val="es-ES"/>
        </w:rPr>
        <w:t>p</w:t>
      </w:r>
      <w:r w:rsidRPr="00AF28AC">
        <w:rPr>
          <w:lang w:val="es-ES"/>
        </w:rPr>
        <w:t>rovisional:</w:t>
      </w:r>
    </w:p>
    <w:p w:rsidR="00F35B03" w:rsidRPr="00642E8E" w:rsidRDefault="00642E8E" w:rsidP="00C248D8">
      <w:pPr>
        <w:pStyle w:val="ONUME"/>
        <w:rPr>
          <w:lang w:val="es-ES"/>
        </w:rPr>
      </w:pPr>
      <w:r w:rsidRPr="00AF28AC">
        <w:rPr>
          <w:lang w:val="es-ES"/>
        </w:rPr>
        <w:t xml:space="preserve">El Equipo Técnico </w:t>
      </w:r>
      <w:r w:rsidR="00640996" w:rsidRPr="00AF28AC">
        <w:rPr>
          <w:lang w:val="es-ES"/>
        </w:rPr>
        <w:t xml:space="preserve">convino inicialmente </w:t>
      </w:r>
      <w:r w:rsidR="00443EB1">
        <w:rPr>
          <w:lang w:val="es-ES"/>
        </w:rPr>
        <w:t xml:space="preserve">en </w:t>
      </w:r>
      <w:r w:rsidRPr="00AF28AC">
        <w:rPr>
          <w:lang w:val="es-ES"/>
        </w:rPr>
        <w:t xml:space="preserve">que la fecha de </w:t>
      </w:r>
      <w:r w:rsidR="0017580F">
        <w:rPr>
          <w:lang w:val="es-ES"/>
        </w:rPr>
        <w:t>aplicación</w:t>
      </w:r>
      <w:r w:rsidRPr="00AF28AC">
        <w:rPr>
          <w:lang w:val="es-ES"/>
        </w:rPr>
        <w:t xml:space="preserve"> sería enero</w:t>
      </w:r>
      <w:r w:rsidR="00640996" w:rsidRPr="00AF28AC">
        <w:rPr>
          <w:lang w:val="es-ES"/>
        </w:rPr>
        <w:t xml:space="preserve"> de 2022</w:t>
      </w:r>
      <w:r w:rsidRPr="00AF28AC">
        <w:rPr>
          <w:lang w:val="es-ES"/>
        </w:rPr>
        <w:t xml:space="preserve">, </w:t>
      </w:r>
      <w:r w:rsidR="005E46C6">
        <w:rPr>
          <w:lang w:val="es-ES"/>
        </w:rPr>
        <w:t>a reserva de</w:t>
      </w:r>
      <w:r w:rsidRPr="00AF28AC">
        <w:rPr>
          <w:lang w:val="es-ES"/>
        </w:rPr>
        <w:t xml:space="preserve"> que una herramienta </w:t>
      </w:r>
      <w:r w:rsidR="00960A96">
        <w:rPr>
          <w:lang w:val="es-ES"/>
        </w:rPr>
        <w:t xml:space="preserve">informática </w:t>
      </w:r>
      <w:r w:rsidRPr="00AF28AC">
        <w:rPr>
          <w:lang w:val="es-ES"/>
        </w:rPr>
        <w:t xml:space="preserve">de autoría y validación </w:t>
      </w:r>
      <w:r w:rsidR="00143A49">
        <w:rPr>
          <w:lang w:val="es-ES"/>
        </w:rPr>
        <w:t>fuera</w:t>
      </w:r>
      <w:r w:rsidR="00CF2E70">
        <w:rPr>
          <w:lang w:val="es-ES"/>
        </w:rPr>
        <w:t xml:space="preserve"> capaz de</w:t>
      </w:r>
      <w:r>
        <w:rPr>
          <w:lang w:val="es-ES"/>
        </w:rPr>
        <w:t xml:space="preserve"> exhibir e imprimir listas de secuencias en un formato legible.</w:t>
      </w:r>
    </w:p>
    <w:p w:rsidR="00B50F91" w:rsidRPr="00B50F91" w:rsidRDefault="008D5EEA" w:rsidP="00C248D8">
      <w:pPr>
        <w:pStyle w:val="Heading2"/>
        <w:spacing w:before="0"/>
        <w:rPr>
          <w:lang w:val="es-ES"/>
        </w:rPr>
      </w:pPr>
      <w:r w:rsidRPr="00B50F91">
        <w:rPr>
          <w:lang w:val="es-ES"/>
        </w:rPr>
        <w:t xml:space="preserve">labor </w:t>
      </w:r>
      <w:r w:rsidR="00B50F91" w:rsidRPr="00B50F91">
        <w:rPr>
          <w:lang w:val="es-ES"/>
        </w:rPr>
        <w:t>futura del equipo t</w:t>
      </w:r>
      <w:r w:rsidR="009272BC">
        <w:rPr>
          <w:lang w:val="es-ES"/>
        </w:rPr>
        <w:t>écnico</w:t>
      </w:r>
    </w:p>
    <w:p w:rsidR="00B50F91" w:rsidRPr="00F8255D" w:rsidRDefault="00F8255D" w:rsidP="00C248D8">
      <w:pPr>
        <w:pStyle w:val="ONUME"/>
        <w:rPr>
          <w:lang w:val="es-ES"/>
        </w:rPr>
      </w:pPr>
      <w:r w:rsidRPr="00F8255D">
        <w:rPr>
          <w:lang w:val="es-ES"/>
        </w:rPr>
        <w:t xml:space="preserve">El Equipo Técnico SEQL </w:t>
      </w:r>
      <w:r w:rsidR="00CF2E70">
        <w:rPr>
          <w:lang w:val="es-ES"/>
        </w:rPr>
        <w:t>acordó</w:t>
      </w:r>
      <w:r>
        <w:rPr>
          <w:lang w:val="es-ES"/>
        </w:rPr>
        <w:t xml:space="preserve"> </w:t>
      </w:r>
      <w:r w:rsidR="00CF2E70">
        <w:rPr>
          <w:lang w:val="es-ES"/>
        </w:rPr>
        <w:t>asumir</w:t>
      </w:r>
      <w:r>
        <w:rPr>
          <w:lang w:val="es-ES"/>
        </w:rPr>
        <w:t xml:space="preserve"> las siguientes tareas:</w:t>
      </w:r>
    </w:p>
    <w:p w:rsidR="00F8255D" w:rsidRPr="00AF28AC" w:rsidRDefault="00F8255D" w:rsidP="00C248D8">
      <w:pPr>
        <w:pStyle w:val="ONUME"/>
        <w:numPr>
          <w:ilvl w:val="1"/>
          <w:numId w:val="5"/>
        </w:numPr>
        <w:rPr>
          <w:lang w:val="es-ES"/>
        </w:rPr>
      </w:pPr>
      <w:r w:rsidRPr="00F8255D">
        <w:rPr>
          <w:lang w:val="es-ES"/>
        </w:rPr>
        <w:t xml:space="preserve">El Equipo Técnico </w:t>
      </w:r>
      <w:r w:rsidR="005E46C6">
        <w:rPr>
          <w:lang w:val="es-ES"/>
        </w:rPr>
        <w:t>prestará apoyo</w:t>
      </w:r>
      <w:r w:rsidRPr="00F8255D">
        <w:rPr>
          <w:lang w:val="es-ES"/>
        </w:rPr>
        <w:t xml:space="preserve"> a la </w:t>
      </w:r>
      <w:r w:rsidRPr="00AF28AC">
        <w:rPr>
          <w:lang w:val="es-ES"/>
        </w:rPr>
        <w:t>Oficina Internacional</w:t>
      </w:r>
      <w:r w:rsidR="00CF2E70" w:rsidRPr="00AF28AC">
        <w:rPr>
          <w:lang w:val="es-ES"/>
        </w:rPr>
        <w:t xml:space="preserve"> de la OMPI al </w:t>
      </w:r>
      <w:r w:rsidR="00AF28AC" w:rsidRPr="00AF28AC">
        <w:rPr>
          <w:lang w:val="es-ES"/>
        </w:rPr>
        <w:t>facilitar</w:t>
      </w:r>
      <w:r w:rsidR="00CF2E70" w:rsidRPr="00AF28AC">
        <w:rPr>
          <w:lang w:val="es-ES"/>
        </w:rPr>
        <w:t xml:space="preserve"> </w:t>
      </w:r>
      <w:r w:rsidRPr="00AF28AC">
        <w:rPr>
          <w:lang w:val="es-ES"/>
        </w:rPr>
        <w:t xml:space="preserve">los requisitos </w:t>
      </w:r>
      <w:r w:rsidR="00AF28AC" w:rsidRPr="00AF28AC">
        <w:rPr>
          <w:lang w:val="es-ES"/>
        </w:rPr>
        <w:t xml:space="preserve">de los usuarios </w:t>
      </w:r>
      <w:r w:rsidRPr="00AF28AC">
        <w:rPr>
          <w:lang w:val="es-ES"/>
        </w:rPr>
        <w:t xml:space="preserve">y comentarios </w:t>
      </w:r>
      <w:r w:rsidR="00AF28AC" w:rsidRPr="00AF28AC">
        <w:rPr>
          <w:lang w:val="es-ES"/>
        </w:rPr>
        <w:t>sobre</w:t>
      </w:r>
      <w:r w:rsidRPr="00AF28AC">
        <w:rPr>
          <w:lang w:val="es-ES"/>
        </w:rPr>
        <w:t xml:space="preserve"> la herramienta de autoría.</w:t>
      </w:r>
    </w:p>
    <w:p w:rsidR="00062BEA" w:rsidRPr="00062BEA" w:rsidRDefault="00062BEA" w:rsidP="00C248D8">
      <w:pPr>
        <w:pStyle w:val="ONUME"/>
        <w:numPr>
          <w:ilvl w:val="1"/>
          <w:numId w:val="5"/>
        </w:numPr>
        <w:rPr>
          <w:lang w:val="es-ES"/>
        </w:rPr>
      </w:pPr>
      <w:r w:rsidRPr="00062BEA">
        <w:rPr>
          <w:lang w:val="es-ES"/>
        </w:rPr>
        <w:t xml:space="preserve">El Equipo Técnico </w:t>
      </w:r>
      <w:r w:rsidR="005E46C6">
        <w:rPr>
          <w:lang w:val="es-ES"/>
        </w:rPr>
        <w:t>prestará</w:t>
      </w:r>
      <w:r w:rsidRPr="00062BEA">
        <w:rPr>
          <w:lang w:val="es-ES"/>
        </w:rPr>
        <w:t xml:space="preserve"> apoyo a la Oficina Internac</w:t>
      </w:r>
      <w:r w:rsidR="00AF28AC">
        <w:rPr>
          <w:lang w:val="es-ES"/>
        </w:rPr>
        <w:t xml:space="preserve">ional de la OMPI en la </w:t>
      </w:r>
      <w:r w:rsidR="001B4987">
        <w:rPr>
          <w:lang w:val="es-ES"/>
        </w:rPr>
        <w:t xml:space="preserve">consiguiente </w:t>
      </w:r>
      <w:r w:rsidR="00AF28AC">
        <w:rPr>
          <w:lang w:val="es-ES"/>
        </w:rPr>
        <w:t xml:space="preserve">revisión </w:t>
      </w:r>
      <w:r w:rsidR="003F5069">
        <w:rPr>
          <w:lang w:val="es-ES"/>
        </w:rPr>
        <w:t>de</w:t>
      </w:r>
      <w:r>
        <w:rPr>
          <w:lang w:val="es-ES"/>
        </w:rPr>
        <w:t xml:space="preserve"> las Instrucciones Administrativas del PCT.</w:t>
      </w:r>
    </w:p>
    <w:p w:rsidR="00062BEA" w:rsidRDefault="00062BEA" w:rsidP="00C248D8">
      <w:pPr>
        <w:pStyle w:val="ONUME"/>
        <w:numPr>
          <w:ilvl w:val="1"/>
          <w:numId w:val="5"/>
        </w:numPr>
        <w:spacing w:after="0"/>
        <w:rPr>
          <w:lang w:val="es-ES"/>
        </w:rPr>
      </w:pPr>
      <w:r w:rsidRPr="00062BEA">
        <w:rPr>
          <w:lang w:val="es-ES"/>
        </w:rPr>
        <w:t>La labor del Equipo Técnico servir</w:t>
      </w:r>
      <w:r>
        <w:rPr>
          <w:lang w:val="es-ES"/>
        </w:rPr>
        <w:t xml:space="preserve">á en el futuro para revisar la </w:t>
      </w:r>
      <w:r w:rsidR="00EF2244">
        <w:rPr>
          <w:lang w:val="es-ES"/>
        </w:rPr>
        <w:t>N</w:t>
      </w:r>
      <w:r>
        <w:rPr>
          <w:lang w:val="es-ES"/>
        </w:rPr>
        <w:t xml:space="preserve">orma ST.26 de la OMPI. </w:t>
      </w:r>
      <w:r w:rsidR="00C248D8">
        <w:rPr>
          <w:lang w:val="es-ES"/>
        </w:rPr>
        <w:t xml:space="preserve"> </w:t>
      </w:r>
      <w:r>
        <w:rPr>
          <w:lang w:val="es-ES"/>
        </w:rPr>
        <w:t>Se sugiere que</w:t>
      </w:r>
      <w:r w:rsidR="003F5069">
        <w:rPr>
          <w:lang w:val="es-ES"/>
        </w:rPr>
        <w:t>, en adelante,</w:t>
      </w:r>
      <w:r>
        <w:rPr>
          <w:lang w:val="es-ES"/>
        </w:rPr>
        <w:t xml:space="preserve"> las revisiones </w:t>
      </w:r>
      <w:r w:rsidR="00F92D8D">
        <w:rPr>
          <w:lang w:val="es-ES"/>
        </w:rPr>
        <w:t xml:space="preserve">de </w:t>
      </w:r>
      <w:r w:rsidR="003F5069">
        <w:rPr>
          <w:lang w:val="es-ES"/>
        </w:rPr>
        <w:t xml:space="preserve">la </w:t>
      </w:r>
      <w:r w:rsidR="005E46C6">
        <w:rPr>
          <w:lang w:val="es-ES"/>
        </w:rPr>
        <w:t>n</w:t>
      </w:r>
      <w:r w:rsidR="003F5069">
        <w:rPr>
          <w:lang w:val="es-ES"/>
        </w:rPr>
        <w:t xml:space="preserve">orma </w:t>
      </w:r>
      <w:r w:rsidR="00603B0D">
        <w:rPr>
          <w:lang w:val="es-ES"/>
        </w:rPr>
        <w:t xml:space="preserve">sean </w:t>
      </w:r>
      <w:r w:rsidR="00586D35">
        <w:rPr>
          <w:lang w:val="es-ES"/>
        </w:rPr>
        <w:t>propiciadas</w:t>
      </w:r>
      <w:r w:rsidR="00603B0D">
        <w:rPr>
          <w:lang w:val="es-ES"/>
        </w:rPr>
        <w:t xml:space="preserve"> por miembros del CWS, en lugar de obedecer a un calendario </w:t>
      </w:r>
      <w:r w:rsidR="00586D35">
        <w:rPr>
          <w:lang w:val="es-ES"/>
        </w:rPr>
        <w:t>predeterminado</w:t>
      </w:r>
      <w:r w:rsidR="00603B0D">
        <w:rPr>
          <w:lang w:val="es-ES"/>
        </w:rPr>
        <w:t>.</w:t>
      </w:r>
    </w:p>
    <w:p w:rsidR="00603B0D" w:rsidRPr="00062BEA" w:rsidRDefault="00603B0D" w:rsidP="00C248D8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0F2E8F" w:rsidRPr="00586D35" w:rsidRDefault="000F2E8F" w:rsidP="00C248D8">
      <w:pPr>
        <w:ind w:left="5529"/>
        <w:rPr>
          <w:lang w:val="es-ES"/>
        </w:rPr>
      </w:pPr>
    </w:p>
    <w:p w:rsidR="000F2E8F" w:rsidRPr="00F8255D" w:rsidRDefault="000F2E8F" w:rsidP="00C248D8">
      <w:pPr>
        <w:ind w:left="5529"/>
        <w:rPr>
          <w:lang w:val="es-ES"/>
        </w:rPr>
      </w:pPr>
      <w:r w:rsidRPr="00F8255D">
        <w:rPr>
          <w:lang w:val="es-ES"/>
        </w:rPr>
        <w:t>[</w:t>
      </w:r>
      <w:r w:rsidR="00684B3B" w:rsidRPr="00F8255D">
        <w:rPr>
          <w:lang w:val="es-ES"/>
        </w:rPr>
        <w:t>Fin del Anexo y del documento</w:t>
      </w:r>
      <w:r w:rsidRPr="00F8255D">
        <w:rPr>
          <w:lang w:val="es-ES"/>
        </w:rPr>
        <w:t>]</w:t>
      </w:r>
    </w:p>
    <w:sectPr w:rsidR="000F2E8F" w:rsidRPr="00F8255D" w:rsidSect="00A03DF8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D7" w:rsidRDefault="004C5ED7">
      <w:r>
        <w:separator/>
      </w:r>
    </w:p>
  </w:endnote>
  <w:endnote w:type="continuationSeparator" w:id="0">
    <w:p w:rsidR="004C5ED7" w:rsidRDefault="004C5ED7" w:rsidP="003B38C1">
      <w:r>
        <w:separator/>
      </w:r>
    </w:p>
    <w:p w:rsidR="004C5ED7" w:rsidRPr="003B38C1" w:rsidRDefault="004C5E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5ED7" w:rsidRPr="003B38C1" w:rsidRDefault="004C5E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D7" w:rsidRDefault="004C5ED7">
      <w:r>
        <w:separator/>
      </w:r>
    </w:p>
  </w:footnote>
  <w:footnote w:type="continuationSeparator" w:id="0">
    <w:p w:rsidR="004C5ED7" w:rsidRDefault="004C5ED7" w:rsidP="008B60B2">
      <w:r>
        <w:separator/>
      </w:r>
    </w:p>
    <w:p w:rsidR="004C5ED7" w:rsidRPr="00ED77FB" w:rsidRDefault="004C5E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5ED7" w:rsidRPr="00ED77FB" w:rsidRDefault="004C5E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8D" w:rsidRDefault="00621D8D" w:rsidP="00621D8D">
    <w:pPr>
      <w:jc w:val="right"/>
    </w:pPr>
    <w:r>
      <w:t>CWS/5/7 Rev.1</w:t>
    </w:r>
  </w:p>
  <w:p w:rsidR="00EC4E49" w:rsidRDefault="00975876" w:rsidP="00477D6B">
    <w:pPr>
      <w:jc w:val="right"/>
    </w:pPr>
    <w:proofErr w:type="spellStart"/>
    <w:r>
      <w:t>An</w:t>
    </w:r>
    <w:r w:rsidR="00B246BC">
      <w:t>ex</w:t>
    </w:r>
    <w:r>
      <w:t>o</w:t>
    </w:r>
    <w:proofErr w:type="spellEnd"/>
    <w:r w:rsidR="001032C2">
      <w:t>,</w:t>
    </w:r>
    <w:r w:rsidR="00B246BC">
      <w:t xml:space="preserve"> </w:t>
    </w:r>
    <w:proofErr w:type="spellStart"/>
    <w:r w:rsidR="00EC4E49">
      <w:t>p</w:t>
    </w:r>
    <w:r>
      <w:t>ágina</w:t>
    </w:r>
    <w:proofErr w:type="spellEnd"/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21D8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C248D8" w:rsidRDefault="00C248D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D8" w:rsidRDefault="00C248D8" w:rsidP="00C248D8">
    <w:pPr>
      <w:jc w:val="right"/>
    </w:pPr>
    <w:bookmarkStart w:id="1" w:name="_Toc479151716"/>
    <w:r>
      <w:t>CWS/5/7 Rev.1</w:t>
    </w:r>
  </w:p>
  <w:p w:rsidR="00B246BC" w:rsidRPr="009A37D2" w:rsidRDefault="00B246BC" w:rsidP="00B246BC">
    <w:pPr>
      <w:jc w:val="right"/>
    </w:pPr>
    <w:r>
      <w:t>ANEX</w:t>
    </w:r>
    <w:r w:rsidR="00975876">
      <w:t>O</w:t>
    </w:r>
  </w:p>
  <w:p w:rsidR="00B246BC" w:rsidRDefault="00B246BC" w:rsidP="00B246BC">
    <w:pPr>
      <w:jc w:val="right"/>
    </w:pPr>
  </w:p>
  <w:bookmarkEnd w:id="1"/>
  <w:p w:rsidR="00B246BC" w:rsidRPr="009A37D2" w:rsidRDefault="00B246BC" w:rsidP="00B246B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5BAAE1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28477E"/>
    <w:multiLevelType w:val="multilevel"/>
    <w:tmpl w:val="CFAEF188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244"/>
    <w:rsid w:val="000163E5"/>
    <w:rsid w:val="00020E90"/>
    <w:rsid w:val="00043CAA"/>
    <w:rsid w:val="00053B31"/>
    <w:rsid w:val="00062BEA"/>
    <w:rsid w:val="00064180"/>
    <w:rsid w:val="00075432"/>
    <w:rsid w:val="000968ED"/>
    <w:rsid w:val="000A6EFF"/>
    <w:rsid w:val="000D17BD"/>
    <w:rsid w:val="000F2E8F"/>
    <w:rsid w:val="000F5E56"/>
    <w:rsid w:val="001032C2"/>
    <w:rsid w:val="00103B9F"/>
    <w:rsid w:val="00107728"/>
    <w:rsid w:val="00112D22"/>
    <w:rsid w:val="001362EE"/>
    <w:rsid w:val="00143A49"/>
    <w:rsid w:val="00145106"/>
    <w:rsid w:val="00166058"/>
    <w:rsid w:val="0017580F"/>
    <w:rsid w:val="001832A6"/>
    <w:rsid w:val="001A0084"/>
    <w:rsid w:val="001A2873"/>
    <w:rsid w:val="001B4987"/>
    <w:rsid w:val="001F2955"/>
    <w:rsid w:val="001F52CE"/>
    <w:rsid w:val="00212941"/>
    <w:rsid w:val="00244081"/>
    <w:rsid w:val="002634C4"/>
    <w:rsid w:val="002928D3"/>
    <w:rsid w:val="002A4F91"/>
    <w:rsid w:val="002A550D"/>
    <w:rsid w:val="002A5EA2"/>
    <w:rsid w:val="002C6794"/>
    <w:rsid w:val="002E4A96"/>
    <w:rsid w:val="002F1FE6"/>
    <w:rsid w:val="002F4E68"/>
    <w:rsid w:val="003033BA"/>
    <w:rsid w:val="003079C1"/>
    <w:rsid w:val="00312F7F"/>
    <w:rsid w:val="0034100A"/>
    <w:rsid w:val="0034188C"/>
    <w:rsid w:val="00342A15"/>
    <w:rsid w:val="00361450"/>
    <w:rsid w:val="003673CF"/>
    <w:rsid w:val="00380863"/>
    <w:rsid w:val="003845C1"/>
    <w:rsid w:val="003A30D8"/>
    <w:rsid w:val="003A6F89"/>
    <w:rsid w:val="003B0876"/>
    <w:rsid w:val="003B29CE"/>
    <w:rsid w:val="003B38C1"/>
    <w:rsid w:val="003B5AA3"/>
    <w:rsid w:val="003E02D3"/>
    <w:rsid w:val="003F5069"/>
    <w:rsid w:val="00400967"/>
    <w:rsid w:val="00423E3E"/>
    <w:rsid w:val="00427AF4"/>
    <w:rsid w:val="00434FF8"/>
    <w:rsid w:val="00443EB1"/>
    <w:rsid w:val="00451AD0"/>
    <w:rsid w:val="0045673A"/>
    <w:rsid w:val="004647DA"/>
    <w:rsid w:val="00470C5B"/>
    <w:rsid w:val="00471BA7"/>
    <w:rsid w:val="00474062"/>
    <w:rsid w:val="00477D6B"/>
    <w:rsid w:val="004906BA"/>
    <w:rsid w:val="004A266D"/>
    <w:rsid w:val="004A5299"/>
    <w:rsid w:val="004C079B"/>
    <w:rsid w:val="004C5ED7"/>
    <w:rsid w:val="004D15B1"/>
    <w:rsid w:val="004D415D"/>
    <w:rsid w:val="004E69D7"/>
    <w:rsid w:val="004F16B6"/>
    <w:rsid w:val="005019FF"/>
    <w:rsid w:val="00522C05"/>
    <w:rsid w:val="0053057A"/>
    <w:rsid w:val="00533BA4"/>
    <w:rsid w:val="005366F5"/>
    <w:rsid w:val="00556FA4"/>
    <w:rsid w:val="00560A29"/>
    <w:rsid w:val="00562578"/>
    <w:rsid w:val="00586D35"/>
    <w:rsid w:val="005C4A5B"/>
    <w:rsid w:val="005C6649"/>
    <w:rsid w:val="005C7D9D"/>
    <w:rsid w:val="005E46C6"/>
    <w:rsid w:val="005E6572"/>
    <w:rsid w:val="005F356C"/>
    <w:rsid w:val="00603B0D"/>
    <w:rsid w:val="00605827"/>
    <w:rsid w:val="00621D8D"/>
    <w:rsid w:val="00622A81"/>
    <w:rsid w:val="0063162B"/>
    <w:rsid w:val="00640996"/>
    <w:rsid w:val="00642E8E"/>
    <w:rsid w:val="00646050"/>
    <w:rsid w:val="00662341"/>
    <w:rsid w:val="0066351E"/>
    <w:rsid w:val="006713CA"/>
    <w:rsid w:val="00676C5C"/>
    <w:rsid w:val="00684B3B"/>
    <w:rsid w:val="0069478B"/>
    <w:rsid w:val="006C2FCD"/>
    <w:rsid w:val="006D61E1"/>
    <w:rsid w:val="006E29FC"/>
    <w:rsid w:val="00707859"/>
    <w:rsid w:val="00717F2B"/>
    <w:rsid w:val="00735879"/>
    <w:rsid w:val="007819D2"/>
    <w:rsid w:val="007840BF"/>
    <w:rsid w:val="007C2240"/>
    <w:rsid w:val="007C76BE"/>
    <w:rsid w:val="007D0C7D"/>
    <w:rsid w:val="007D1613"/>
    <w:rsid w:val="00803D23"/>
    <w:rsid w:val="00806456"/>
    <w:rsid w:val="00810D6C"/>
    <w:rsid w:val="00816CFA"/>
    <w:rsid w:val="00832EAC"/>
    <w:rsid w:val="00863809"/>
    <w:rsid w:val="00892810"/>
    <w:rsid w:val="008B1EFD"/>
    <w:rsid w:val="008B2CC1"/>
    <w:rsid w:val="008B60B2"/>
    <w:rsid w:val="008D04B8"/>
    <w:rsid w:val="008D5EEA"/>
    <w:rsid w:val="008E6F17"/>
    <w:rsid w:val="00902D24"/>
    <w:rsid w:val="0090731E"/>
    <w:rsid w:val="00907C27"/>
    <w:rsid w:val="00913781"/>
    <w:rsid w:val="00916EE2"/>
    <w:rsid w:val="00922CCF"/>
    <w:rsid w:val="00925CAB"/>
    <w:rsid w:val="009272BC"/>
    <w:rsid w:val="00945F19"/>
    <w:rsid w:val="009529BD"/>
    <w:rsid w:val="009551E4"/>
    <w:rsid w:val="00960A96"/>
    <w:rsid w:val="00963D7B"/>
    <w:rsid w:val="009650C6"/>
    <w:rsid w:val="00966A22"/>
    <w:rsid w:val="0096722F"/>
    <w:rsid w:val="00975876"/>
    <w:rsid w:val="00980843"/>
    <w:rsid w:val="0099235A"/>
    <w:rsid w:val="009C61E7"/>
    <w:rsid w:val="009D1E92"/>
    <w:rsid w:val="009E2791"/>
    <w:rsid w:val="009E3F6F"/>
    <w:rsid w:val="009F2C90"/>
    <w:rsid w:val="009F499F"/>
    <w:rsid w:val="00A03DF8"/>
    <w:rsid w:val="00A05678"/>
    <w:rsid w:val="00A24EEB"/>
    <w:rsid w:val="00A25BCC"/>
    <w:rsid w:val="00A33B66"/>
    <w:rsid w:val="00A42DAF"/>
    <w:rsid w:val="00A45BD8"/>
    <w:rsid w:val="00A869B7"/>
    <w:rsid w:val="00A9671E"/>
    <w:rsid w:val="00AA0995"/>
    <w:rsid w:val="00AA5D22"/>
    <w:rsid w:val="00AC205C"/>
    <w:rsid w:val="00AC328C"/>
    <w:rsid w:val="00AC3F4A"/>
    <w:rsid w:val="00AD7A06"/>
    <w:rsid w:val="00AF0A6B"/>
    <w:rsid w:val="00AF13B2"/>
    <w:rsid w:val="00AF28AC"/>
    <w:rsid w:val="00AF5F51"/>
    <w:rsid w:val="00B05A69"/>
    <w:rsid w:val="00B073A6"/>
    <w:rsid w:val="00B246BC"/>
    <w:rsid w:val="00B27207"/>
    <w:rsid w:val="00B33D93"/>
    <w:rsid w:val="00B50F91"/>
    <w:rsid w:val="00B510E8"/>
    <w:rsid w:val="00B6296E"/>
    <w:rsid w:val="00B9734B"/>
    <w:rsid w:val="00BB5668"/>
    <w:rsid w:val="00BC68BB"/>
    <w:rsid w:val="00BE4592"/>
    <w:rsid w:val="00BF50FF"/>
    <w:rsid w:val="00C11BFE"/>
    <w:rsid w:val="00C248D8"/>
    <w:rsid w:val="00C2498D"/>
    <w:rsid w:val="00CA2ECB"/>
    <w:rsid w:val="00CB62C9"/>
    <w:rsid w:val="00CE33C3"/>
    <w:rsid w:val="00CE535A"/>
    <w:rsid w:val="00CF2E70"/>
    <w:rsid w:val="00D04A48"/>
    <w:rsid w:val="00D04D63"/>
    <w:rsid w:val="00D24D00"/>
    <w:rsid w:val="00D441B9"/>
    <w:rsid w:val="00D45252"/>
    <w:rsid w:val="00D70031"/>
    <w:rsid w:val="00D71B4D"/>
    <w:rsid w:val="00D84528"/>
    <w:rsid w:val="00D93D55"/>
    <w:rsid w:val="00D9417C"/>
    <w:rsid w:val="00D969F9"/>
    <w:rsid w:val="00DA5413"/>
    <w:rsid w:val="00DB4A67"/>
    <w:rsid w:val="00DB6F85"/>
    <w:rsid w:val="00DC3A11"/>
    <w:rsid w:val="00DC4DF7"/>
    <w:rsid w:val="00DD306F"/>
    <w:rsid w:val="00DD4617"/>
    <w:rsid w:val="00DD625F"/>
    <w:rsid w:val="00DF0955"/>
    <w:rsid w:val="00E335FE"/>
    <w:rsid w:val="00E84598"/>
    <w:rsid w:val="00EC4E49"/>
    <w:rsid w:val="00EC662A"/>
    <w:rsid w:val="00ED276B"/>
    <w:rsid w:val="00ED77FB"/>
    <w:rsid w:val="00EE45FA"/>
    <w:rsid w:val="00EF2244"/>
    <w:rsid w:val="00F22DB0"/>
    <w:rsid w:val="00F35B03"/>
    <w:rsid w:val="00F50043"/>
    <w:rsid w:val="00F66152"/>
    <w:rsid w:val="00F774E1"/>
    <w:rsid w:val="00F8255D"/>
    <w:rsid w:val="00F852B7"/>
    <w:rsid w:val="00F92D8D"/>
    <w:rsid w:val="00FA54CC"/>
    <w:rsid w:val="00FC11EB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921C-35F6-4592-BF6A-F1F75F4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760</Words>
  <Characters>3890</Characters>
  <Application>Microsoft Office Word</Application>
  <DocSecurity>0</DocSecurity>
  <Lines>108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Anexo</vt:lpstr>
    </vt:vector>
  </TitlesOfParts>
  <Company>WIPO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Annex (in Spanish)</dc:title>
  <dc:subject>Recommendations for the Transition Provision from WIPO Standard ST.25 to ST.26</dc:subject>
  <dc:creator>WIPO</dc:creator>
  <cp:keywords>CWS</cp:keywords>
  <dc:description/>
  <cp:lastModifiedBy>ZAGO Bétina</cp:lastModifiedBy>
  <cp:revision>6</cp:revision>
  <cp:lastPrinted>2017-04-13T13:13:00Z</cp:lastPrinted>
  <dcterms:created xsi:type="dcterms:W3CDTF">2017-05-08T11:11:00Z</dcterms:created>
  <dcterms:modified xsi:type="dcterms:W3CDTF">2017-05-08T13:10:00Z</dcterms:modified>
</cp:coreProperties>
</file>