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6A6D8" w14:textId="77777777" w:rsidR="00225E72" w:rsidRPr="00343F66" w:rsidRDefault="00895E0A" w:rsidP="003C714E">
      <w:pPr>
        <w:pStyle w:val="TitleCAPS"/>
        <w:rPr>
          <w:b/>
          <w:sz w:val="20"/>
          <w:lang w:val="es-ES_tradnl"/>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GoBack"/>
      <w:bookmarkEnd w:id="11"/>
      <w:r w:rsidRPr="00343F66">
        <w:rPr>
          <w:b/>
          <w:sz w:val="20"/>
          <w:lang w:val="es-ES_tradnl"/>
        </w:rPr>
        <w:t>NORMA</w:t>
      </w:r>
      <w:r w:rsidR="003C714E" w:rsidRPr="00343F66">
        <w:rPr>
          <w:b/>
          <w:sz w:val="20"/>
          <w:lang w:val="es-ES_tradnl"/>
        </w:rPr>
        <w:t xml:space="preserve"> ST.</w:t>
      </w:r>
      <w:bookmarkEnd w:id="0"/>
      <w:bookmarkEnd w:id="1"/>
      <w:bookmarkEnd w:id="2"/>
      <w:bookmarkEnd w:id="3"/>
      <w:bookmarkEnd w:id="4"/>
      <w:bookmarkEnd w:id="5"/>
      <w:bookmarkEnd w:id="6"/>
      <w:bookmarkEnd w:id="7"/>
      <w:bookmarkEnd w:id="8"/>
      <w:bookmarkEnd w:id="9"/>
      <w:bookmarkEnd w:id="10"/>
      <w:r w:rsidR="00671BE3" w:rsidRPr="00343F66">
        <w:rPr>
          <w:b/>
          <w:sz w:val="20"/>
          <w:lang w:val="es-ES_tradnl"/>
        </w:rPr>
        <w:t>XX</w:t>
      </w:r>
    </w:p>
    <w:p w14:paraId="682546DA" w14:textId="77777777" w:rsidR="00225E72" w:rsidRPr="00343F66" w:rsidRDefault="00C20529" w:rsidP="00C20529">
      <w:pPr>
        <w:pStyle w:val="TitleCAPS"/>
        <w:rPr>
          <w:lang w:val="es-ES_tradnl"/>
        </w:rPr>
      </w:pPr>
      <w:r w:rsidRPr="00343F66">
        <w:rPr>
          <w:lang w:val="es-ES_tradnl"/>
        </w:rPr>
        <w:t>Recomendación relativa a la gestión electrónica de las marcas animadas y multimedia</w:t>
      </w:r>
    </w:p>
    <w:p w14:paraId="40DCEB37" w14:textId="77777777" w:rsidR="00225E72" w:rsidRPr="00343F66" w:rsidRDefault="00C20529" w:rsidP="00C20529">
      <w:pPr>
        <w:jc w:val="center"/>
        <w:rPr>
          <w:rFonts w:eastAsia="Batang" w:cs="Times New Roman"/>
          <w:sz w:val="17"/>
          <w:lang w:val="es-ES_tradnl"/>
        </w:rPr>
      </w:pPr>
      <w:r w:rsidRPr="00343F66">
        <w:rPr>
          <w:rFonts w:eastAsia="Batang" w:cs="Times New Roman"/>
          <w:sz w:val="17"/>
          <w:lang w:val="es-ES_tradnl"/>
        </w:rPr>
        <w:t>Proyecto final</w:t>
      </w:r>
    </w:p>
    <w:p w14:paraId="71890D0F" w14:textId="77777777" w:rsidR="00225E72" w:rsidRPr="00343F66" w:rsidRDefault="00225E72" w:rsidP="003C714E">
      <w:pPr>
        <w:jc w:val="center"/>
        <w:rPr>
          <w:rFonts w:eastAsia="Batang" w:cs="Times New Roman"/>
          <w:sz w:val="17"/>
          <w:lang w:val="es-ES_tradnl"/>
        </w:rPr>
      </w:pPr>
    </w:p>
    <w:p w14:paraId="373887B2" w14:textId="77777777" w:rsidR="00225E72" w:rsidRPr="00343F66" w:rsidRDefault="00C20529" w:rsidP="00C20529">
      <w:pPr>
        <w:jc w:val="center"/>
        <w:rPr>
          <w:rFonts w:eastAsia="Batang" w:cs="Times New Roman"/>
          <w:i/>
          <w:sz w:val="17"/>
          <w:lang w:val="es-ES_tradnl"/>
        </w:rPr>
      </w:pPr>
      <w:r w:rsidRPr="00343F66">
        <w:rPr>
          <w:rFonts w:eastAsia="Batang" w:cs="Times New Roman"/>
          <w:i/>
          <w:sz w:val="17"/>
          <w:lang w:val="es-ES_tradnl"/>
        </w:rPr>
        <w:t>Propuesta presentada por el Equipo Técnico sobre normas relativas a las marcas para su examen en la octava sesión del CWS</w:t>
      </w:r>
    </w:p>
    <w:p w14:paraId="23959442" w14:textId="77777777" w:rsidR="00225E72" w:rsidRPr="00343F66" w:rsidRDefault="00225E72" w:rsidP="003C714E">
      <w:pPr>
        <w:pStyle w:val="TitleCAPS"/>
        <w:jc w:val="left"/>
        <w:rPr>
          <w:caps w:val="0"/>
          <w:lang w:val="es-ES_tradnl"/>
        </w:rPr>
      </w:pPr>
    </w:p>
    <w:p w14:paraId="186697D3" w14:textId="77777777" w:rsidR="00225E72" w:rsidRPr="00343F66" w:rsidRDefault="00C20529" w:rsidP="00C20529">
      <w:pPr>
        <w:jc w:val="center"/>
        <w:rPr>
          <w:rFonts w:eastAsia="Batang" w:cs="Times New Roman"/>
          <w:sz w:val="17"/>
          <w:lang w:val="es-ES_tradnl"/>
        </w:rPr>
      </w:pPr>
      <w:r w:rsidRPr="00343F66">
        <w:rPr>
          <w:rFonts w:eastAsia="Batang" w:cs="Times New Roman"/>
          <w:sz w:val="17"/>
          <w:lang w:val="es-ES_tradnl"/>
        </w:rPr>
        <w:t>ÍNDICE</w:t>
      </w:r>
    </w:p>
    <w:p w14:paraId="32DB27A9" w14:textId="77777777" w:rsidR="00225E72" w:rsidRPr="00343F66" w:rsidRDefault="00225E72" w:rsidP="003C714E">
      <w:pPr>
        <w:tabs>
          <w:tab w:val="center" w:pos="4677"/>
          <w:tab w:val="left" w:pos="8397"/>
        </w:tabs>
        <w:rPr>
          <w:rFonts w:cs="Times New Roman"/>
          <w:sz w:val="17"/>
          <w:szCs w:val="17"/>
          <w:lang w:val="es-ES_tradnl"/>
        </w:rPr>
      </w:pPr>
    </w:p>
    <w:p w14:paraId="0D311EEE" w14:textId="5E2F2671" w:rsidR="00EF4CF4" w:rsidRPr="00343F66" w:rsidRDefault="00C41C01">
      <w:pPr>
        <w:pStyle w:val="TOC2"/>
        <w:tabs>
          <w:tab w:val="right" w:leader="dot" w:pos="9063"/>
        </w:tabs>
        <w:rPr>
          <w:rFonts w:asciiTheme="minorHAnsi" w:eastAsiaTheme="minorEastAsia" w:hAnsiTheme="minorHAnsi" w:cstheme="minorBidi"/>
          <w:sz w:val="17"/>
          <w:szCs w:val="17"/>
          <w:lang w:val="es-ES_tradnl"/>
        </w:rPr>
      </w:pPr>
      <w:r w:rsidRPr="00343F66">
        <w:rPr>
          <w:rFonts w:eastAsia="Batang" w:cs="Times New Roman"/>
          <w:caps/>
          <w:sz w:val="17"/>
          <w:szCs w:val="17"/>
          <w:lang w:val="es-ES_tradnl"/>
        </w:rPr>
        <w:fldChar w:fldCharType="begin"/>
      </w:r>
      <w:r w:rsidRPr="00343F66">
        <w:rPr>
          <w:rFonts w:eastAsia="Batang" w:cs="Times New Roman"/>
          <w:caps/>
          <w:sz w:val="17"/>
          <w:szCs w:val="17"/>
          <w:lang w:val="es-ES_tradnl"/>
        </w:rPr>
        <w:instrText xml:space="preserve"> TOC \o "1-3" \u </w:instrText>
      </w:r>
      <w:r w:rsidRPr="00343F66">
        <w:rPr>
          <w:rFonts w:eastAsia="Batang" w:cs="Times New Roman"/>
          <w:caps/>
          <w:sz w:val="17"/>
          <w:szCs w:val="17"/>
          <w:lang w:val="es-ES_tradnl"/>
        </w:rPr>
        <w:fldChar w:fldCharType="separate"/>
      </w:r>
      <w:r w:rsidR="00EF4CF4" w:rsidRPr="00343F66">
        <w:rPr>
          <w:rFonts w:eastAsia="Times New Roman" w:cs="Times New Roman"/>
          <w:sz w:val="17"/>
          <w:szCs w:val="17"/>
          <w:lang w:val="es-ES_tradnl"/>
        </w:rPr>
        <w:t>INTRODUCCIÓN</w:t>
      </w:r>
      <w:r w:rsidR="00EF4CF4" w:rsidRPr="00343F66">
        <w:rPr>
          <w:sz w:val="17"/>
          <w:szCs w:val="17"/>
          <w:lang w:val="es-ES_tradnl"/>
        </w:rPr>
        <w:tab/>
      </w:r>
      <w:r w:rsidR="00EF4CF4" w:rsidRPr="00343F66">
        <w:rPr>
          <w:sz w:val="17"/>
          <w:szCs w:val="17"/>
          <w:lang w:val="es-ES_tradnl"/>
        </w:rPr>
        <w:fldChar w:fldCharType="begin"/>
      </w:r>
      <w:r w:rsidR="00EF4CF4" w:rsidRPr="00343F66">
        <w:rPr>
          <w:sz w:val="17"/>
          <w:szCs w:val="17"/>
          <w:lang w:val="es-ES_tradnl"/>
        </w:rPr>
        <w:instrText xml:space="preserve"> PAGEREF _Toc49176373 \h </w:instrText>
      </w:r>
      <w:r w:rsidR="00EF4CF4" w:rsidRPr="00343F66">
        <w:rPr>
          <w:sz w:val="17"/>
          <w:szCs w:val="17"/>
          <w:lang w:val="es-ES_tradnl"/>
        </w:rPr>
      </w:r>
      <w:r w:rsidR="00EF4CF4" w:rsidRPr="00343F66">
        <w:rPr>
          <w:sz w:val="17"/>
          <w:szCs w:val="17"/>
          <w:lang w:val="es-ES_tradnl"/>
        </w:rPr>
        <w:fldChar w:fldCharType="separate"/>
      </w:r>
      <w:r w:rsidR="00EF4CF4" w:rsidRPr="00343F66">
        <w:rPr>
          <w:sz w:val="17"/>
          <w:szCs w:val="17"/>
          <w:lang w:val="es-ES_tradnl"/>
        </w:rPr>
        <w:t>2</w:t>
      </w:r>
      <w:r w:rsidR="00EF4CF4" w:rsidRPr="00343F66">
        <w:rPr>
          <w:sz w:val="17"/>
          <w:szCs w:val="17"/>
          <w:lang w:val="es-ES_tradnl"/>
        </w:rPr>
        <w:fldChar w:fldCharType="end"/>
      </w:r>
    </w:p>
    <w:p w14:paraId="307C3819" w14:textId="40C14295" w:rsidR="00EF4CF4" w:rsidRPr="00343F66" w:rsidRDefault="00EF4CF4">
      <w:pPr>
        <w:pStyle w:val="TOC2"/>
        <w:tabs>
          <w:tab w:val="right" w:leader="dot" w:pos="9063"/>
        </w:tabs>
        <w:rPr>
          <w:rFonts w:asciiTheme="minorHAnsi" w:eastAsiaTheme="minorEastAsia" w:hAnsiTheme="minorHAnsi" w:cstheme="minorBidi"/>
          <w:sz w:val="17"/>
          <w:szCs w:val="17"/>
          <w:lang w:val="es-ES_tradnl"/>
        </w:rPr>
      </w:pPr>
      <w:r w:rsidRPr="00343F66">
        <w:rPr>
          <w:rFonts w:eastAsia="Times New Roman" w:cs="Times New Roman"/>
          <w:sz w:val="17"/>
          <w:szCs w:val="17"/>
          <w:lang w:val="es-ES_tradnl"/>
        </w:rPr>
        <w:t>DEFINICIONES</w:t>
      </w:r>
      <w:r w:rsidRPr="00343F66">
        <w:rPr>
          <w:sz w:val="17"/>
          <w:szCs w:val="17"/>
          <w:lang w:val="es-ES_tradnl"/>
        </w:rPr>
        <w:tab/>
      </w:r>
      <w:r w:rsidRPr="00343F66">
        <w:rPr>
          <w:sz w:val="17"/>
          <w:szCs w:val="17"/>
          <w:lang w:val="es-ES_tradnl"/>
        </w:rPr>
        <w:fldChar w:fldCharType="begin"/>
      </w:r>
      <w:r w:rsidRPr="00343F66">
        <w:rPr>
          <w:sz w:val="17"/>
          <w:szCs w:val="17"/>
          <w:lang w:val="es-ES_tradnl"/>
        </w:rPr>
        <w:instrText xml:space="preserve"> PAGEREF _Toc49176374 \h </w:instrText>
      </w:r>
      <w:r w:rsidRPr="00343F66">
        <w:rPr>
          <w:sz w:val="17"/>
          <w:szCs w:val="17"/>
          <w:lang w:val="es-ES_tradnl"/>
        </w:rPr>
      </w:r>
      <w:r w:rsidRPr="00343F66">
        <w:rPr>
          <w:sz w:val="17"/>
          <w:szCs w:val="17"/>
          <w:lang w:val="es-ES_tradnl"/>
        </w:rPr>
        <w:fldChar w:fldCharType="separate"/>
      </w:r>
      <w:r w:rsidRPr="00343F66">
        <w:rPr>
          <w:sz w:val="17"/>
          <w:szCs w:val="17"/>
          <w:lang w:val="es-ES_tradnl"/>
        </w:rPr>
        <w:t>2</w:t>
      </w:r>
      <w:r w:rsidRPr="00343F66">
        <w:rPr>
          <w:sz w:val="17"/>
          <w:szCs w:val="17"/>
          <w:lang w:val="es-ES_tradnl"/>
        </w:rPr>
        <w:fldChar w:fldCharType="end"/>
      </w:r>
    </w:p>
    <w:p w14:paraId="2880F44B" w14:textId="436217A7" w:rsidR="00EF4CF4" w:rsidRPr="00343F66" w:rsidRDefault="000B7EE6">
      <w:pPr>
        <w:pStyle w:val="TOC2"/>
        <w:tabs>
          <w:tab w:val="right" w:leader="dot" w:pos="9063"/>
        </w:tabs>
        <w:rPr>
          <w:rFonts w:asciiTheme="minorHAnsi" w:eastAsiaTheme="minorEastAsia" w:hAnsiTheme="minorHAnsi" w:cstheme="minorBidi"/>
          <w:sz w:val="17"/>
          <w:szCs w:val="17"/>
          <w:lang w:val="es-ES_tradnl"/>
        </w:rPr>
      </w:pPr>
      <w:r w:rsidRPr="00343F66">
        <w:rPr>
          <w:rFonts w:eastAsia="Times New Roman" w:cs="Times New Roman"/>
          <w:sz w:val="17"/>
          <w:szCs w:val="17"/>
          <w:lang w:val="es-ES_tradnl"/>
        </w:rPr>
        <w:t>REFERENCIAS</w:t>
      </w:r>
      <w:r w:rsidR="00EF4CF4" w:rsidRPr="00343F66">
        <w:rPr>
          <w:sz w:val="17"/>
          <w:szCs w:val="17"/>
          <w:lang w:val="es-ES_tradnl"/>
        </w:rPr>
        <w:tab/>
      </w:r>
      <w:r w:rsidR="00EF4CF4" w:rsidRPr="00343F66">
        <w:rPr>
          <w:sz w:val="17"/>
          <w:szCs w:val="17"/>
          <w:lang w:val="es-ES_tradnl"/>
        </w:rPr>
        <w:fldChar w:fldCharType="begin"/>
      </w:r>
      <w:r w:rsidR="00EF4CF4" w:rsidRPr="00343F66">
        <w:rPr>
          <w:sz w:val="17"/>
          <w:szCs w:val="17"/>
          <w:lang w:val="es-ES_tradnl"/>
        </w:rPr>
        <w:instrText xml:space="preserve"> PAGEREF _Toc49176375 \h </w:instrText>
      </w:r>
      <w:r w:rsidR="00EF4CF4" w:rsidRPr="00343F66">
        <w:rPr>
          <w:sz w:val="17"/>
          <w:szCs w:val="17"/>
          <w:lang w:val="es-ES_tradnl"/>
        </w:rPr>
      </w:r>
      <w:r w:rsidR="00EF4CF4" w:rsidRPr="00343F66">
        <w:rPr>
          <w:sz w:val="17"/>
          <w:szCs w:val="17"/>
          <w:lang w:val="es-ES_tradnl"/>
        </w:rPr>
        <w:fldChar w:fldCharType="separate"/>
      </w:r>
      <w:r w:rsidR="00EF4CF4" w:rsidRPr="00343F66">
        <w:rPr>
          <w:sz w:val="17"/>
          <w:szCs w:val="17"/>
          <w:lang w:val="es-ES_tradnl"/>
        </w:rPr>
        <w:t>2</w:t>
      </w:r>
      <w:r w:rsidR="00EF4CF4" w:rsidRPr="00343F66">
        <w:rPr>
          <w:sz w:val="17"/>
          <w:szCs w:val="17"/>
          <w:lang w:val="es-ES_tradnl"/>
        </w:rPr>
        <w:fldChar w:fldCharType="end"/>
      </w:r>
    </w:p>
    <w:p w14:paraId="7628B995" w14:textId="2B6A126A" w:rsidR="00EF4CF4" w:rsidRPr="00343F66" w:rsidRDefault="000B7EE6">
      <w:pPr>
        <w:pStyle w:val="TOC2"/>
        <w:tabs>
          <w:tab w:val="right" w:leader="dot" w:pos="9063"/>
        </w:tabs>
        <w:rPr>
          <w:rFonts w:asciiTheme="minorHAnsi" w:eastAsiaTheme="minorEastAsia" w:hAnsiTheme="minorHAnsi" w:cstheme="minorBidi"/>
          <w:sz w:val="17"/>
          <w:szCs w:val="17"/>
          <w:lang w:val="es-ES_tradnl"/>
        </w:rPr>
      </w:pPr>
      <w:r w:rsidRPr="00343F66">
        <w:rPr>
          <w:rFonts w:eastAsia="Times New Roman" w:cs="Times New Roman"/>
          <w:sz w:val="17"/>
          <w:szCs w:val="17"/>
          <w:lang w:val="es-ES_tradnl"/>
        </w:rPr>
        <w:t>RECOMENDACIONES GENERALES</w:t>
      </w:r>
      <w:r w:rsidR="00EF4CF4" w:rsidRPr="00343F66">
        <w:rPr>
          <w:sz w:val="17"/>
          <w:szCs w:val="17"/>
          <w:lang w:val="es-ES_tradnl"/>
        </w:rPr>
        <w:tab/>
      </w:r>
      <w:r w:rsidR="00EF4CF4" w:rsidRPr="00343F66">
        <w:rPr>
          <w:sz w:val="17"/>
          <w:szCs w:val="17"/>
          <w:lang w:val="es-ES_tradnl"/>
        </w:rPr>
        <w:fldChar w:fldCharType="begin"/>
      </w:r>
      <w:r w:rsidR="00EF4CF4" w:rsidRPr="00343F66">
        <w:rPr>
          <w:sz w:val="17"/>
          <w:szCs w:val="17"/>
          <w:lang w:val="es-ES_tradnl"/>
        </w:rPr>
        <w:instrText xml:space="preserve"> PAGEREF _Toc49176376 \h </w:instrText>
      </w:r>
      <w:r w:rsidR="00EF4CF4" w:rsidRPr="00343F66">
        <w:rPr>
          <w:sz w:val="17"/>
          <w:szCs w:val="17"/>
          <w:lang w:val="es-ES_tradnl"/>
        </w:rPr>
      </w:r>
      <w:r w:rsidR="00EF4CF4" w:rsidRPr="00343F66">
        <w:rPr>
          <w:sz w:val="17"/>
          <w:szCs w:val="17"/>
          <w:lang w:val="es-ES_tradnl"/>
        </w:rPr>
        <w:fldChar w:fldCharType="separate"/>
      </w:r>
      <w:r w:rsidR="00EF4CF4" w:rsidRPr="00343F66">
        <w:rPr>
          <w:sz w:val="17"/>
          <w:szCs w:val="17"/>
          <w:lang w:val="es-ES_tradnl"/>
        </w:rPr>
        <w:t>3</w:t>
      </w:r>
      <w:r w:rsidR="00EF4CF4" w:rsidRPr="00343F66">
        <w:rPr>
          <w:sz w:val="17"/>
          <w:szCs w:val="17"/>
          <w:lang w:val="es-ES_tradnl"/>
        </w:rPr>
        <w:fldChar w:fldCharType="end"/>
      </w:r>
    </w:p>
    <w:p w14:paraId="13648F41" w14:textId="6975EF6C" w:rsidR="00EF4CF4" w:rsidRPr="00343F66" w:rsidRDefault="00EF4CF4">
      <w:pPr>
        <w:pStyle w:val="TOC2"/>
        <w:tabs>
          <w:tab w:val="right" w:leader="dot" w:pos="9063"/>
        </w:tabs>
        <w:rPr>
          <w:rFonts w:asciiTheme="minorHAnsi" w:eastAsiaTheme="minorEastAsia" w:hAnsiTheme="minorHAnsi" w:cstheme="minorBidi"/>
          <w:sz w:val="17"/>
          <w:szCs w:val="17"/>
          <w:lang w:val="es-ES_tradnl"/>
        </w:rPr>
      </w:pPr>
      <w:r w:rsidRPr="00343F66">
        <w:rPr>
          <w:rFonts w:eastAsia="Times New Roman" w:cs="Times New Roman"/>
          <w:sz w:val="17"/>
          <w:szCs w:val="17"/>
          <w:lang w:val="es-ES_tradnl"/>
        </w:rPr>
        <w:t>RECOMENDACIONES PARA LA REPRESENTACIÓN GRÁFICA DE LAS MARCAS ANIMADAS</w:t>
      </w:r>
      <w:r w:rsidRPr="00343F66">
        <w:rPr>
          <w:sz w:val="17"/>
          <w:szCs w:val="17"/>
          <w:lang w:val="es-ES_tradnl"/>
        </w:rPr>
        <w:tab/>
      </w:r>
      <w:r w:rsidRPr="00343F66">
        <w:rPr>
          <w:sz w:val="17"/>
          <w:szCs w:val="17"/>
          <w:lang w:val="es-ES_tradnl"/>
        </w:rPr>
        <w:fldChar w:fldCharType="begin"/>
      </w:r>
      <w:r w:rsidRPr="00343F66">
        <w:rPr>
          <w:sz w:val="17"/>
          <w:szCs w:val="17"/>
          <w:lang w:val="es-ES_tradnl"/>
        </w:rPr>
        <w:instrText xml:space="preserve"> PAGEREF _Toc49176377 \h </w:instrText>
      </w:r>
      <w:r w:rsidRPr="00343F66">
        <w:rPr>
          <w:sz w:val="17"/>
          <w:szCs w:val="17"/>
          <w:lang w:val="es-ES_tradnl"/>
        </w:rPr>
      </w:r>
      <w:r w:rsidRPr="00343F66">
        <w:rPr>
          <w:sz w:val="17"/>
          <w:szCs w:val="17"/>
          <w:lang w:val="es-ES_tradnl"/>
        </w:rPr>
        <w:fldChar w:fldCharType="separate"/>
      </w:r>
      <w:r w:rsidRPr="00343F66">
        <w:rPr>
          <w:sz w:val="17"/>
          <w:szCs w:val="17"/>
          <w:lang w:val="es-ES_tradnl"/>
        </w:rPr>
        <w:t>3</w:t>
      </w:r>
      <w:r w:rsidRPr="00343F66">
        <w:rPr>
          <w:sz w:val="17"/>
          <w:szCs w:val="17"/>
          <w:lang w:val="es-ES_tradnl"/>
        </w:rPr>
        <w:fldChar w:fldCharType="end"/>
      </w:r>
    </w:p>
    <w:p w14:paraId="13D8697D" w14:textId="2E66B4C8" w:rsidR="00EF4CF4" w:rsidRPr="00343F66" w:rsidRDefault="00EF4CF4">
      <w:pPr>
        <w:pStyle w:val="TOC2"/>
        <w:tabs>
          <w:tab w:val="right" w:leader="dot" w:pos="9063"/>
        </w:tabs>
        <w:rPr>
          <w:rFonts w:asciiTheme="minorHAnsi" w:eastAsiaTheme="minorEastAsia" w:hAnsiTheme="minorHAnsi" w:cstheme="minorBidi"/>
          <w:sz w:val="17"/>
          <w:szCs w:val="17"/>
          <w:lang w:val="es-ES_tradnl"/>
        </w:rPr>
      </w:pPr>
      <w:r w:rsidRPr="00343F66">
        <w:rPr>
          <w:rFonts w:eastAsia="Times New Roman" w:cs="Times New Roman"/>
          <w:sz w:val="17"/>
          <w:szCs w:val="17"/>
          <w:lang w:val="es-ES_tradnl"/>
        </w:rPr>
        <w:t>RECOMENDACIONES PARA LA REPRESENTACIÓN GRÁFICA DE LAS MARCAS MULTIMEDIA</w:t>
      </w:r>
      <w:r w:rsidRPr="00343F66">
        <w:rPr>
          <w:sz w:val="17"/>
          <w:szCs w:val="17"/>
          <w:lang w:val="es-ES_tradnl"/>
        </w:rPr>
        <w:tab/>
      </w:r>
      <w:r w:rsidRPr="00343F66">
        <w:rPr>
          <w:sz w:val="17"/>
          <w:szCs w:val="17"/>
          <w:lang w:val="es-ES_tradnl"/>
        </w:rPr>
        <w:fldChar w:fldCharType="begin"/>
      </w:r>
      <w:r w:rsidRPr="00343F66">
        <w:rPr>
          <w:sz w:val="17"/>
          <w:szCs w:val="17"/>
          <w:lang w:val="es-ES_tradnl"/>
        </w:rPr>
        <w:instrText xml:space="preserve"> PAGEREF _Toc49176378 \h </w:instrText>
      </w:r>
      <w:r w:rsidRPr="00343F66">
        <w:rPr>
          <w:sz w:val="17"/>
          <w:szCs w:val="17"/>
          <w:lang w:val="es-ES_tradnl"/>
        </w:rPr>
      </w:r>
      <w:r w:rsidRPr="00343F66">
        <w:rPr>
          <w:sz w:val="17"/>
          <w:szCs w:val="17"/>
          <w:lang w:val="es-ES_tradnl"/>
        </w:rPr>
        <w:fldChar w:fldCharType="separate"/>
      </w:r>
      <w:r w:rsidRPr="00343F66">
        <w:rPr>
          <w:sz w:val="17"/>
          <w:szCs w:val="17"/>
          <w:lang w:val="es-ES_tradnl"/>
        </w:rPr>
        <w:t>3</w:t>
      </w:r>
      <w:r w:rsidRPr="00343F66">
        <w:rPr>
          <w:sz w:val="17"/>
          <w:szCs w:val="17"/>
          <w:lang w:val="es-ES_tradnl"/>
        </w:rPr>
        <w:fldChar w:fldCharType="end"/>
      </w:r>
    </w:p>
    <w:p w14:paraId="70538EB7" w14:textId="35212C45" w:rsidR="00EF4CF4" w:rsidRPr="00343F66" w:rsidRDefault="00EF4CF4">
      <w:pPr>
        <w:pStyle w:val="TOC2"/>
        <w:tabs>
          <w:tab w:val="right" w:leader="dot" w:pos="9063"/>
        </w:tabs>
        <w:rPr>
          <w:rFonts w:asciiTheme="minorHAnsi" w:eastAsiaTheme="minorEastAsia" w:hAnsiTheme="minorHAnsi" w:cstheme="minorBidi"/>
          <w:sz w:val="17"/>
          <w:szCs w:val="17"/>
          <w:lang w:val="es-ES_tradnl"/>
        </w:rPr>
      </w:pPr>
      <w:r w:rsidRPr="00343F66">
        <w:rPr>
          <w:rFonts w:eastAsia="Times New Roman" w:cs="Times New Roman"/>
          <w:sz w:val="17"/>
          <w:szCs w:val="17"/>
          <w:lang w:val="es-ES_tradnl"/>
        </w:rPr>
        <w:t>RECOMENDACIONES PARA LA GRABACIÓN DE MARCAS ANIMADAS O MULTIMEDIA</w:t>
      </w:r>
      <w:r w:rsidRPr="00343F66">
        <w:rPr>
          <w:sz w:val="17"/>
          <w:szCs w:val="17"/>
          <w:lang w:val="es-ES_tradnl"/>
        </w:rPr>
        <w:tab/>
      </w:r>
      <w:r w:rsidRPr="00343F66">
        <w:rPr>
          <w:sz w:val="17"/>
          <w:szCs w:val="17"/>
          <w:lang w:val="es-ES_tradnl"/>
        </w:rPr>
        <w:fldChar w:fldCharType="begin"/>
      </w:r>
      <w:r w:rsidRPr="00343F66">
        <w:rPr>
          <w:sz w:val="17"/>
          <w:szCs w:val="17"/>
          <w:lang w:val="es-ES_tradnl"/>
        </w:rPr>
        <w:instrText xml:space="preserve"> PAGEREF _Toc49176379 \h </w:instrText>
      </w:r>
      <w:r w:rsidRPr="00343F66">
        <w:rPr>
          <w:sz w:val="17"/>
          <w:szCs w:val="17"/>
          <w:lang w:val="es-ES_tradnl"/>
        </w:rPr>
      </w:r>
      <w:r w:rsidRPr="00343F66">
        <w:rPr>
          <w:sz w:val="17"/>
          <w:szCs w:val="17"/>
          <w:lang w:val="es-ES_tradnl"/>
        </w:rPr>
        <w:fldChar w:fldCharType="separate"/>
      </w:r>
      <w:r w:rsidRPr="00343F66">
        <w:rPr>
          <w:sz w:val="17"/>
          <w:szCs w:val="17"/>
          <w:lang w:val="es-ES_tradnl"/>
        </w:rPr>
        <w:t>3</w:t>
      </w:r>
      <w:r w:rsidRPr="00343F66">
        <w:rPr>
          <w:sz w:val="17"/>
          <w:szCs w:val="17"/>
          <w:lang w:val="es-ES_tradnl"/>
        </w:rPr>
        <w:fldChar w:fldCharType="end"/>
      </w:r>
    </w:p>
    <w:p w14:paraId="5096E60F" w14:textId="44B7E768" w:rsidR="00EF4CF4" w:rsidRPr="00343F66" w:rsidRDefault="00EF4CF4">
      <w:pPr>
        <w:pStyle w:val="TOC2"/>
        <w:tabs>
          <w:tab w:val="right" w:leader="dot" w:pos="9063"/>
        </w:tabs>
        <w:rPr>
          <w:rFonts w:asciiTheme="minorHAnsi" w:eastAsiaTheme="minorEastAsia" w:hAnsiTheme="minorHAnsi" w:cstheme="minorBidi"/>
          <w:sz w:val="17"/>
          <w:szCs w:val="17"/>
          <w:lang w:val="es-ES_tradnl"/>
        </w:rPr>
      </w:pPr>
      <w:r w:rsidRPr="00343F66">
        <w:rPr>
          <w:rFonts w:eastAsia="Times New Roman" w:cs="Times New Roman"/>
          <w:sz w:val="17"/>
          <w:szCs w:val="17"/>
          <w:lang w:val="es-ES_tradnl"/>
        </w:rPr>
        <w:t>RECOMENDACIONES PARA LA DESCRIPCIÓN TEXTUAL DE LAS MARCAS ANIMADAS O MULTIMEDIA</w:t>
      </w:r>
      <w:r w:rsidRPr="00343F66">
        <w:rPr>
          <w:sz w:val="17"/>
          <w:szCs w:val="17"/>
          <w:lang w:val="es-ES_tradnl"/>
        </w:rPr>
        <w:tab/>
      </w:r>
      <w:r w:rsidRPr="00343F66">
        <w:rPr>
          <w:sz w:val="17"/>
          <w:szCs w:val="17"/>
          <w:lang w:val="es-ES_tradnl"/>
        </w:rPr>
        <w:fldChar w:fldCharType="begin"/>
      </w:r>
      <w:r w:rsidRPr="00343F66">
        <w:rPr>
          <w:sz w:val="17"/>
          <w:szCs w:val="17"/>
          <w:lang w:val="es-ES_tradnl"/>
        </w:rPr>
        <w:instrText xml:space="preserve"> PAGEREF _Toc49176380 \h </w:instrText>
      </w:r>
      <w:r w:rsidRPr="00343F66">
        <w:rPr>
          <w:sz w:val="17"/>
          <w:szCs w:val="17"/>
          <w:lang w:val="es-ES_tradnl"/>
        </w:rPr>
      </w:r>
      <w:r w:rsidRPr="00343F66">
        <w:rPr>
          <w:sz w:val="17"/>
          <w:szCs w:val="17"/>
          <w:lang w:val="es-ES_tradnl"/>
        </w:rPr>
        <w:fldChar w:fldCharType="separate"/>
      </w:r>
      <w:r w:rsidRPr="00343F66">
        <w:rPr>
          <w:sz w:val="17"/>
          <w:szCs w:val="17"/>
          <w:lang w:val="es-ES_tradnl"/>
        </w:rPr>
        <w:t>4</w:t>
      </w:r>
      <w:r w:rsidRPr="00343F66">
        <w:rPr>
          <w:sz w:val="17"/>
          <w:szCs w:val="17"/>
          <w:lang w:val="es-ES_tradnl"/>
        </w:rPr>
        <w:fldChar w:fldCharType="end"/>
      </w:r>
    </w:p>
    <w:p w14:paraId="4804B6B9" w14:textId="5B362BA0" w:rsidR="00EF4CF4" w:rsidRPr="00343F66" w:rsidRDefault="00EF4CF4">
      <w:pPr>
        <w:pStyle w:val="TOC2"/>
        <w:tabs>
          <w:tab w:val="right" w:leader="dot" w:pos="9063"/>
        </w:tabs>
        <w:rPr>
          <w:rFonts w:asciiTheme="minorHAnsi" w:eastAsiaTheme="minorEastAsia" w:hAnsiTheme="minorHAnsi" w:cstheme="minorBidi"/>
          <w:sz w:val="17"/>
          <w:szCs w:val="17"/>
          <w:lang w:val="es-ES_tradnl"/>
        </w:rPr>
      </w:pPr>
      <w:r w:rsidRPr="00343F66">
        <w:rPr>
          <w:rFonts w:eastAsia="Times New Roman" w:cs="Times New Roman"/>
          <w:sz w:val="17"/>
          <w:szCs w:val="17"/>
          <w:lang w:val="es-ES_tradnl"/>
        </w:rPr>
        <w:t>RECOMENDACIONES PARA LA PUBLICACIÓN DE MARCAS ANIMADAS O MULTIMEDIA</w:t>
      </w:r>
      <w:r w:rsidRPr="00343F66">
        <w:rPr>
          <w:sz w:val="17"/>
          <w:szCs w:val="17"/>
          <w:lang w:val="es-ES_tradnl"/>
        </w:rPr>
        <w:tab/>
      </w:r>
      <w:r w:rsidRPr="00343F66">
        <w:rPr>
          <w:sz w:val="17"/>
          <w:szCs w:val="17"/>
          <w:lang w:val="es-ES_tradnl"/>
        </w:rPr>
        <w:fldChar w:fldCharType="begin"/>
      </w:r>
      <w:r w:rsidRPr="00343F66">
        <w:rPr>
          <w:sz w:val="17"/>
          <w:szCs w:val="17"/>
          <w:lang w:val="es-ES_tradnl"/>
        </w:rPr>
        <w:instrText xml:space="preserve"> PAGEREF _Toc49176381 \h </w:instrText>
      </w:r>
      <w:r w:rsidRPr="00343F66">
        <w:rPr>
          <w:sz w:val="17"/>
          <w:szCs w:val="17"/>
          <w:lang w:val="es-ES_tradnl"/>
        </w:rPr>
      </w:r>
      <w:r w:rsidRPr="00343F66">
        <w:rPr>
          <w:sz w:val="17"/>
          <w:szCs w:val="17"/>
          <w:lang w:val="es-ES_tradnl"/>
        </w:rPr>
        <w:fldChar w:fldCharType="separate"/>
      </w:r>
      <w:r w:rsidRPr="00343F66">
        <w:rPr>
          <w:sz w:val="17"/>
          <w:szCs w:val="17"/>
          <w:lang w:val="es-ES_tradnl"/>
        </w:rPr>
        <w:t>4</w:t>
      </w:r>
      <w:r w:rsidRPr="00343F66">
        <w:rPr>
          <w:sz w:val="17"/>
          <w:szCs w:val="17"/>
          <w:lang w:val="es-ES_tradnl"/>
        </w:rPr>
        <w:fldChar w:fldCharType="end"/>
      </w:r>
    </w:p>
    <w:p w14:paraId="57411D6A" w14:textId="2BA8FE50" w:rsidR="00225E72" w:rsidRPr="00343F66" w:rsidRDefault="00C41C01" w:rsidP="003C714E">
      <w:pPr>
        <w:tabs>
          <w:tab w:val="center" w:pos="4677"/>
          <w:tab w:val="left" w:pos="8397"/>
        </w:tabs>
        <w:rPr>
          <w:sz w:val="17"/>
          <w:szCs w:val="17"/>
          <w:lang w:val="es-ES_tradnl"/>
        </w:rPr>
      </w:pPr>
      <w:r w:rsidRPr="00343F66">
        <w:rPr>
          <w:rFonts w:eastAsia="Batang" w:cs="Times New Roman"/>
          <w:caps/>
          <w:sz w:val="17"/>
          <w:szCs w:val="17"/>
          <w:lang w:val="es-ES_tradnl" w:eastAsia="zh-CN"/>
        </w:rPr>
        <w:fldChar w:fldCharType="end"/>
      </w:r>
    </w:p>
    <w:p w14:paraId="52052587" w14:textId="45590BAC" w:rsidR="00225E72" w:rsidRPr="00343F66" w:rsidRDefault="003C714E" w:rsidP="00343F66">
      <w:pPr>
        <w:pStyle w:val="Heading1"/>
        <w:keepNext w:val="0"/>
        <w:widowControl w:val="0"/>
        <w:tabs>
          <w:tab w:val="center" w:pos="4536"/>
          <w:tab w:val="left" w:pos="7770"/>
          <w:tab w:val="right" w:pos="9073"/>
        </w:tabs>
        <w:kinsoku w:val="0"/>
        <w:spacing w:before="684" w:after="0" w:line="211" w:lineRule="auto"/>
        <w:rPr>
          <w:rFonts w:eastAsia="Times New Roman" w:cs="Times New Roman"/>
          <w:bCs w:val="0"/>
          <w:iCs/>
          <w:sz w:val="17"/>
          <w:szCs w:val="20"/>
          <w:lang w:val="es-ES_tradnl"/>
        </w:rPr>
      </w:pPr>
      <w:r w:rsidRPr="00343F66">
        <w:rPr>
          <w:sz w:val="17"/>
          <w:szCs w:val="17"/>
          <w:lang w:val="es-ES_tradnl"/>
        </w:rPr>
        <w:br w:type="column"/>
      </w:r>
      <w:bookmarkStart w:id="12" w:name="_Toc49176373"/>
      <w:r w:rsidR="00C20529" w:rsidRPr="00343F66">
        <w:rPr>
          <w:rFonts w:eastAsia="Times New Roman" w:cs="Times New Roman"/>
          <w:bCs w:val="0"/>
          <w:sz w:val="17"/>
          <w:szCs w:val="20"/>
          <w:lang w:val="es-ES_tradnl"/>
        </w:rPr>
        <w:lastRenderedPageBreak/>
        <w:t>INTRODUCCIÓN</w:t>
      </w:r>
      <w:bookmarkEnd w:id="12"/>
    </w:p>
    <w:p w14:paraId="2E2C8DC4" w14:textId="12242A28" w:rsidR="00225E72" w:rsidRPr="00343F66" w:rsidRDefault="004F3C49" w:rsidP="00C20529">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C20529" w:rsidRPr="00343F66">
        <w:rPr>
          <w:szCs w:val="22"/>
          <w:lang w:val="es-ES_tradnl"/>
        </w:rPr>
        <w:t xml:space="preserve">En la presente </w:t>
      </w:r>
      <w:r w:rsidR="00CB76C8" w:rsidRPr="00343F66">
        <w:rPr>
          <w:szCs w:val="22"/>
          <w:lang w:val="es-ES_tradnl"/>
        </w:rPr>
        <w:t xml:space="preserve">Norma </w:t>
      </w:r>
      <w:r w:rsidR="00C20529" w:rsidRPr="00343F66">
        <w:rPr>
          <w:szCs w:val="22"/>
          <w:lang w:val="es-ES_tradnl"/>
        </w:rPr>
        <w:t>se ofrecen recomendaciones sobre la presentación de solicitudes para la protección de las marcas animadas y multimedia, presentadas electrónicamente o en papel, su tramitación electrónica y su publicación.</w:t>
      </w:r>
    </w:p>
    <w:p w14:paraId="115176D3" w14:textId="6E533266" w:rsidR="00225E72" w:rsidRPr="00343F66" w:rsidRDefault="004F3C49" w:rsidP="00CC3CD2">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CC3CD2" w:rsidRPr="00343F66">
        <w:rPr>
          <w:szCs w:val="22"/>
          <w:lang w:val="es-ES_tradnl"/>
        </w:rPr>
        <w:t xml:space="preserve">La Norma tiene por objeto facilitar el procesamiento de datos y el intercambio de información sobre las marcas animadas o multimedia entre las </w:t>
      </w:r>
      <w:r w:rsidR="00CB76C8" w:rsidRPr="00343F66">
        <w:rPr>
          <w:szCs w:val="22"/>
          <w:lang w:val="es-ES_tradnl"/>
        </w:rPr>
        <w:t xml:space="preserve">Oficinas </w:t>
      </w:r>
      <w:r w:rsidR="00CC3CD2" w:rsidRPr="00343F66">
        <w:rPr>
          <w:szCs w:val="22"/>
          <w:lang w:val="es-ES_tradnl"/>
        </w:rPr>
        <w:t>de propiedad industrial mediante indicaciones sobre la gestión electrónica de la grabación del movimiento o los elementos multimedia que constituyen la marca, así como sobre su representación gráfica y descripción textual.</w:t>
      </w:r>
    </w:p>
    <w:p w14:paraId="563A2A59" w14:textId="77777777" w:rsidR="00225E72" w:rsidRPr="00343F66" w:rsidRDefault="00CC3CD2" w:rsidP="00CC3CD2">
      <w:pPr>
        <w:pStyle w:val="Heading2"/>
        <w:keepLines/>
        <w:rPr>
          <w:rFonts w:eastAsia="Times New Roman" w:cs="Times New Roman"/>
          <w:bCs w:val="0"/>
          <w:iCs w:val="0"/>
          <w:sz w:val="17"/>
          <w:szCs w:val="20"/>
          <w:lang w:val="es-ES_tradnl"/>
        </w:rPr>
      </w:pPr>
      <w:bookmarkStart w:id="13" w:name="_Toc49176374"/>
      <w:r w:rsidRPr="00343F66">
        <w:rPr>
          <w:rFonts w:eastAsia="Times New Roman" w:cs="Times New Roman"/>
          <w:bCs w:val="0"/>
          <w:iCs w:val="0"/>
          <w:sz w:val="17"/>
          <w:szCs w:val="20"/>
          <w:lang w:val="es-ES_tradnl"/>
        </w:rPr>
        <w:t>DEFINICIONES</w:t>
      </w:r>
      <w:bookmarkEnd w:id="13"/>
    </w:p>
    <w:p w14:paraId="52DF4296" w14:textId="77777777" w:rsidR="00225E72" w:rsidRPr="00343F66" w:rsidRDefault="004F3C49" w:rsidP="003F76B4">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3F76B4" w:rsidRPr="00343F66">
        <w:rPr>
          <w:szCs w:val="22"/>
          <w:lang w:val="es-ES_tradnl"/>
        </w:rPr>
        <w:t>A los efectos de la presente Norma, la expresión:</w:t>
      </w:r>
    </w:p>
    <w:p w14:paraId="57523139" w14:textId="2142387C" w:rsidR="00225E72" w:rsidRPr="00343F66" w:rsidRDefault="00EF4CF4" w:rsidP="003F76B4">
      <w:pPr>
        <w:pStyle w:val="List0R"/>
        <w:numPr>
          <w:ilvl w:val="0"/>
          <w:numId w:val="10"/>
        </w:numPr>
        <w:tabs>
          <w:tab w:val="left" w:pos="1134"/>
        </w:tabs>
        <w:spacing w:before="150" w:after="0"/>
        <w:ind w:left="0" w:firstLine="562"/>
        <w:rPr>
          <w:szCs w:val="22"/>
          <w:lang w:val="es-ES_tradnl"/>
        </w:rPr>
      </w:pPr>
      <w:r w:rsidRPr="00343F66">
        <w:rPr>
          <w:szCs w:val="22"/>
          <w:lang w:val="es-ES_tradnl"/>
        </w:rPr>
        <w:t>“</w:t>
      </w:r>
      <w:r w:rsidR="003F76B4" w:rsidRPr="00343F66">
        <w:rPr>
          <w:szCs w:val="22"/>
          <w:lang w:val="es-ES_tradnl"/>
        </w:rPr>
        <w:t>marca</w:t>
      </w:r>
      <w:r w:rsidRPr="00343F66">
        <w:rPr>
          <w:szCs w:val="22"/>
          <w:lang w:val="es-ES_tradnl"/>
        </w:rPr>
        <w:t>”</w:t>
      </w:r>
      <w:r w:rsidR="003F76B4" w:rsidRPr="00343F66">
        <w:rPr>
          <w:szCs w:val="22"/>
          <w:lang w:val="es-ES_tradnl"/>
        </w:rPr>
        <w:t xml:space="preserve"> significa marca de fábrica o de comercio o marca de servicio definida en la legislación en cuestión;</w:t>
      </w:r>
    </w:p>
    <w:p w14:paraId="6E6B7763" w14:textId="01F16A8F" w:rsidR="00225E72" w:rsidRPr="00343F66" w:rsidRDefault="00EF4CF4" w:rsidP="003F76B4">
      <w:pPr>
        <w:pStyle w:val="List0R"/>
        <w:numPr>
          <w:ilvl w:val="0"/>
          <w:numId w:val="10"/>
        </w:numPr>
        <w:tabs>
          <w:tab w:val="left" w:pos="1134"/>
        </w:tabs>
        <w:spacing w:before="150" w:after="0"/>
        <w:ind w:left="0" w:firstLine="562"/>
        <w:rPr>
          <w:szCs w:val="22"/>
          <w:lang w:val="es-ES_tradnl"/>
        </w:rPr>
      </w:pPr>
      <w:r w:rsidRPr="00343F66">
        <w:rPr>
          <w:szCs w:val="22"/>
          <w:lang w:val="es-ES_tradnl"/>
        </w:rPr>
        <w:t>“</w:t>
      </w:r>
      <w:r w:rsidR="003F76B4" w:rsidRPr="00343F66">
        <w:rPr>
          <w:szCs w:val="22"/>
          <w:lang w:val="es-ES_tradnl"/>
        </w:rPr>
        <w:t>marca animada</w:t>
      </w:r>
      <w:r w:rsidRPr="00343F66">
        <w:rPr>
          <w:szCs w:val="22"/>
          <w:lang w:val="es-ES_tradnl"/>
        </w:rPr>
        <w:t>”</w:t>
      </w:r>
      <w:r w:rsidR="003F76B4" w:rsidRPr="00343F66">
        <w:rPr>
          <w:szCs w:val="22"/>
          <w:lang w:val="es-ES_tradnl"/>
        </w:rPr>
        <w:t xml:space="preserve"> es un tipo de marca constituida por movimiento;</w:t>
      </w:r>
    </w:p>
    <w:p w14:paraId="660D48F0" w14:textId="0865CE63" w:rsidR="00225E72" w:rsidRPr="00343F66" w:rsidRDefault="00EF4CF4" w:rsidP="003F76B4">
      <w:pPr>
        <w:pStyle w:val="List0R"/>
        <w:numPr>
          <w:ilvl w:val="0"/>
          <w:numId w:val="10"/>
        </w:numPr>
        <w:tabs>
          <w:tab w:val="left" w:pos="1134"/>
        </w:tabs>
        <w:spacing w:before="150" w:after="0"/>
        <w:ind w:left="0" w:firstLine="562"/>
        <w:rPr>
          <w:szCs w:val="22"/>
          <w:lang w:val="es-ES_tradnl"/>
        </w:rPr>
      </w:pPr>
      <w:r w:rsidRPr="00343F66">
        <w:rPr>
          <w:szCs w:val="22"/>
          <w:lang w:val="es-ES_tradnl"/>
        </w:rPr>
        <w:t>“</w:t>
      </w:r>
      <w:r w:rsidR="003F76B4" w:rsidRPr="00343F66">
        <w:rPr>
          <w:szCs w:val="22"/>
          <w:lang w:val="es-ES_tradnl"/>
        </w:rPr>
        <w:t>marca multimedia</w:t>
      </w:r>
      <w:r w:rsidRPr="00343F66">
        <w:rPr>
          <w:szCs w:val="22"/>
          <w:lang w:val="es-ES_tradnl"/>
        </w:rPr>
        <w:t>”</w:t>
      </w:r>
      <w:r w:rsidR="003F76B4" w:rsidRPr="00343F66">
        <w:rPr>
          <w:szCs w:val="22"/>
          <w:lang w:val="es-ES_tradnl"/>
        </w:rPr>
        <w:t xml:space="preserve"> es un tipo de marca que combina elementos de movimiento y sonido, denominados </w:t>
      </w:r>
      <w:r w:rsidR="00CB76C8" w:rsidRPr="00343F66">
        <w:rPr>
          <w:szCs w:val="22"/>
          <w:lang w:val="es-ES_tradnl"/>
        </w:rPr>
        <w:t>“</w:t>
      </w:r>
      <w:r w:rsidR="003F76B4" w:rsidRPr="00343F66">
        <w:rPr>
          <w:szCs w:val="22"/>
          <w:lang w:val="es-ES_tradnl"/>
        </w:rPr>
        <w:t>elementos multimedia</w:t>
      </w:r>
      <w:r w:rsidRPr="00343F66">
        <w:rPr>
          <w:szCs w:val="22"/>
          <w:lang w:val="es-ES_tradnl"/>
        </w:rPr>
        <w:t>”</w:t>
      </w:r>
      <w:r w:rsidR="003F76B4" w:rsidRPr="00343F66">
        <w:rPr>
          <w:szCs w:val="22"/>
          <w:lang w:val="es-ES_tradnl"/>
        </w:rPr>
        <w:t>;</w:t>
      </w:r>
    </w:p>
    <w:p w14:paraId="64BB0CCE" w14:textId="4AE0BC4F" w:rsidR="00225E72" w:rsidRPr="00343F66" w:rsidRDefault="00EF4CF4" w:rsidP="003F76B4">
      <w:pPr>
        <w:pStyle w:val="List0R"/>
        <w:numPr>
          <w:ilvl w:val="0"/>
          <w:numId w:val="10"/>
        </w:numPr>
        <w:tabs>
          <w:tab w:val="left" w:pos="1134"/>
        </w:tabs>
        <w:spacing w:before="150" w:after="0"/>
        <w:ind w:left="0" w:firstLine="562"/>
        <w:rPr>
          <w:szCs w:val="22"/>
          <w:lang w:val="es-ES_tradnl"/>
        </w:rPr>
      </w:pPr>
      <w:r w:rsidRPr="00343F66">
        <w:rPr>
          <w:szCs w:val="22"/>
          <w:lang w:val="es-ES_tradnl"/>
        </w:rPr>
        <w:t>“</w:t>
      </w:r>
      <w:r w:rsidR="003F76B4" w:rsidRPr="00343F66">
        <w:rPr>
          <w:szCs w:val="22"/>
          <w:lang w:val="es-ES_tradnl"/>
        </w:rPr>
        <w:t>boletín</w:t>
      </w:r>
      <w:r w:rsidRPr="00343F66">
        <w:rPr>
          <w:szCs w:val="22"/>
          <w:lang w:val="es-ES_tradnl"/>
        </w:rPr>
        <w:t>”</w:t>
      </w:r>
      <w:r w:rsidR="003F76B4" w:rsidRPr="00343F66">
        <w:rPr>
          <w:szCs w:val="22"/>
          <w:lang w:val="es-ES_tradnl"/>
        </w:rPr>
        <w:t xml:space="preserve"> significa la publicación oficial que contiene anuncios relativos a las marcas formulados de conformidad con los requisitos previstos en la legislación nacional de propiedad industrial o en los convenios o tratados internacionales de propiedad industrial;</w:t>
      </w:r>
    </w:p>
    <w:p w14:paraId="1A8C9CF6" w14:textId="4C88A5AA" w:rsidR="00225E72" w:rsidRPr="00343F66" w:rsidRDefault="00EF4CF4" w:rsidP="003F76B4">
      <w:pPr>
        <w:pStyle w:val="List0R"/>
        <w:numPr>
          <w:ilvl w:val="0"/>
          <w:numId w:val="10"/>
        </w:numPr>
        <w:tabs>
          <w:tab w:val="left" w:pos="1134"/>
        </w:tabs>
        <w:spacing w:before="150" w:after="0"/>
        <w:ind w:left="0" w:firstLine="562"/>
        <w:rPr>
          <w:szCs w:val="22"/>
          <w:lang w:val="es-ES_tradnl"/>
        </w:rPr>
      </w:pPr>
      <w:r w:rsidRPr="00343F66">
        <w:rPr>
          <w:szCs w:val="22"/>
          <w:lang w:val="es-ES_tradnl"/>
        </w:rPr>
        <w:t>“</w:t>
      </w:r>
      <w:r w:rsidR="003F76B4" w:rsidRPr="00343F66">
        <w:rPr>
          <w:szCs w:val="22"/>
          <w:lang w:val="es-ES_tradnl"/>
        </w:rPr>
        <w:t>entrada en el boletín</w:t>
      </w:r>
      <w:r w:rsidRPr="00343F66">
        <w:rPr>
          <w:szCs w:val="22"/>
          <w:lang w:val="es-ES_tradnl"/>
        </w:rPr>
        <w:t>”</w:t>
      </w:r>
      <w:r w:rsidR="003F76B4" w:rsidRPr="00343F66">
        <w:rPr>
          <w:szCs w:val="22"/>
          <w:lang w:val="es-ES_tradnl"/>
        </w:rPr>
        <w:t xml:space="preserve"> significa el anuncio completo, incluidos los datos bibliográficos, </w:t>
      </w:r>
      <w:r w:rsidR="00CB76C8" w:rsidRPr="00343F66">
        <w:rPr>
          <w:szCs w:val="22"/>
          <w:lang w:val="es-ES_tradnl"/>
        </w:rPr>
        <w:t>publicado</w:t>
      </w:r>
      <w:r w:rsidR="003F76B4" w:rsidRPr="00343F66">
        <w:rPr>
          <w:szCs w:val="22"/>
          <w:lang w:val="es-ES_tradnl"/>
        </w:rPr>
        <w:t xml:space="preserve"> en un boletín en relación con una solicitud de registro de marca o un registro de marca.</w:t>
      </w:r>
    </w:p>
    <w:p w14:paraId="05674EF1" w14:textId="1142E578" w:rsidR="00225E72" w:rsidRPr="00343F66" w:rsidRDefault="00EF4CF4" w:rsidP="003A59F2">
      <w:pPr>
        <w:pStyle w:val="List0R"/>
        <w:numPr>
          <w:ilvl w:val="0"/>
          <w:numId w:val="10"/>
        </w:numPr>
        <w:tabs>
          <w:tab w:val="left" w:pos="1134"/>
        </w:tabs>
        <w:spacing w:before="150" w:after="0"/>
        <w:ind w:left="0" w:firstLine="562"/>
        <w:rPr>
          <w:szCs w:val="22"/>
          <w:lang w:val="es-ES_tradnl"/>
        </w:rPr>
      </w:pPr>
      <w:r w:rsidRPr="00343F66">
        <w:rPr>
          <w:szCs w:val="22"/>
          <w:lang w:val="es-ES_tradnl"/>
        </w:rPr>
        <w:t>“</w:t>
      </w:r>
      <w:r w:rsidR="003A59F2" w:rsidRPr="00343F66">
        <w:rPr>
          <w:szCs w:val="22"/>
          <w:lang w:val="es-ES_tradnl"/>
        </w:rPr>
        <w:t>MPEG (</w:t>
      </w:r>
      <w:r w:rsidR="003A59F2" w:rsidRPr="00343F66">
        <w:rPr>
          <w:i/>
          <w:szCs w:val="22"/>
          <w:lang w:val="es-ES_tradnl"/>
        </w:rPr>
        <w:t>Moving Picture Experts Group</w:t>
      </w:r>
      <w:r w:rsidR="003A59F2" w:rsidRPr="00343F66">
        <w:rPr>
          <w:szCs w:val="22"/>
          <w:lang w:val="es-ES_tradnl"/>
        </w:rPr>
        <w:t>)</w:t>
      </w:r>
      <w:r w:rsidRPr="00343F66">
        <w:rPr>
          <w:szCs w:val="22"/>
          <w:lang w:val="es-ES_tradnl"/>
        </w:rPr>
        <w:t>”</w:t>
      </w:r>
      <w:r w:rsidR="003A59F2" w:rsidRPr="00343F66">
        <w:rPr>
          <w:szCs w:val="22"/>
          <w:lang w:val="es-ES_tradnl"/>
        </w:rPr>
        <w:t xml:space="preserve"> es un conjunto de normas para la compresión y transmisión de </w:t>
      </w:r>
      <w:r w:rsidR="003A59F2" w:rsidRPr="00304A82">
        <w:rPr>
          <w:szCs w:val="22"/>
          <w:lang w:val="es-419"/>
        </w:rPr>
        <w:t xml:space="preserve">audio y vídeo elaboradas por la </w:t>
      </w:r>
      <w:r w:rsidR="00304A82" w:rsidRPr="00304A82">
        <w:rPr>
          <w:rStyle w:val="preferred"/>
          <w:lang w:val="es-419"/>
        </w:rPr>
        <w:t xml:space="preserve">Organización Internacional de Normalización </w:t>
      </w:r>
      <w:r w:rsidR="00304A82" w:rsidRPr="00304A82">
        <w:rPr>
          <w:szCs w:val="22"/>
          <w:lang w:val="es-419"/>
        </w:rPr>
        <w:t>(</w:t>
      </w:r>
      <w:r w:rsidR="003A59F2" w:rsidRPr="00304A82">
        <w:rPr>
          <w:szCs w:val="22"/>
          <w:lang w:val="es-419"/>
        </w:rPr>
        <w:t>ISO</w:t>
      </w:r>
      <w:r w:rsidR="00304A82" w:rsidRPr="00304A82">
        <w:rPr>
          <w:szCs w:val="22"/>
          <w:lang w:val="es-419"/>
        </w:rPr>
        <w:t>)</w:t>
      </w:r>
      <w:r w:rsidR="003A59F2" w:rsidRPr="00304A82">
        <w:rPr>
          <w:szCs w:val="22"/>
          <w:lang w:val="es-419"/>
        </w:rPr>
        <w:t xml:space="preserve"> y la </w:t>
      </w:r>
      <w:r w:rsidR="00304A82" w:rsidRPr="00304A82">
        <w:rPr>
          <w:rStyle w:val="es"/>
          <w:lang w:val="es-419"/>
        </w:rPr>
        <w:t>Comisión Electrotécnica Internacional</w:t>
      </w:r>
      <w:r w:rsidR="00304A82" w:rsidRPr="00304A82">
        <w:rPr>
          <w:szCs w:val="22"/>
          <w:lang w:val="es-419"/>
        </w:rPr>
        <w:t xml:space="preserve"> (</w:t>
      </w:r>
      <w:r w:rsidR="003A59F2" w:rsidRPr="00304A82">
        <w:rPr>
          <w:szCs w:val="22"/>
          <w:lang w:val="es-419"/>
        </w:rPr>
        <w:t>IEC</w:t>
      </w:r>
      <w:r w:rsidR="00304A82" w:rsidRPr="00304A82">
        <w:rPr>
          <w:szCs w:val="22"/>
          <w:lang w:val="es-419"/>
        </w:rPr>
        <w:t>)</w:t>
      </w:r>
      <w:r w:rsidR="003A59F2" w:rsidRPr="00304A82">
        <w:rPr>
          <w:szCs w:val="22"/>
          <w:lang w:val="es-419"/>
        </w:rPr>
        <w:t>;</w:t>
      </w:r>
    </w:p>
    <w:p w14:paraId="4B88B258" w14:textId="03156F4F" w:rsidR="00225E72" w:rsidRPr="00343F66" w:rsidRDefault="00EF4CF4" w:rsidP="00C71485">
      <w:pPr>
        <w:pStyle w:val="List0R"/>
        <w:numPr>
          <w:ilvl w:val="0"/>
          <w:numId w:val="10"/>
        </w:numPr>
        <w:tabs>
          <w:tab w:val="left" w:pos="1134"/>
        </w:tabs>
        <w:spacing w:before="150" w:after="0"/>
        <w:ind w:left="0" w:firstLine="562"/>
        <w:rPr>
          <w:szCs w:val="22"/>
          <w:lang w:val="es-ES_tradnl"/>
        </w:rPr>
      </w:pPr>
      <w:r w:rsidRPr="00343F66">
        <w:rPr>
          <w:szCs w:val="22"/>
          <w:lang w:val="es-ES_tradnl"/>
        </w:rPr>
        <w:t>“</w:t>
      </w:r>
      <w:r w:rsidR="003A59F2" w:rsidRPr="00343F66">
        <w:rPr>
          <w:szCs w:val="22"/>
          <w:lang w:val="es-ES_tradnl"/>
        </w:rPr>
        <w:t>códec</w:t>
      </w:r>
      <w:r w:rsidRPr="00343F66">
        <w:rPr>
          <w:szCs w:val="22"/>
          <w:lang w:val="es-ES_tradnl"/>
        </w:rPr>
        <w:t>”</w:t>
      </w:r>
      <w:r w:rsidR="003A59F2" w:rsidRPr="00343F66">
        <w:rPr>
          <w:szCs w:val="22"/>
          <w:lang w:val="es-ES_tradnl"/>
        </w:rPr>
        <w:t xml:space="preserve"> es un método informático para codificar y descodificar datos (por ejemplo, de vídeo o audio) a fin de comprimirlos para su almacenamiento.</w:t>
      </w:r>
      <w:r w:rsidR="00225E72" w:rsidRPr="00343F66">
        <w:rPr>
          <w:szCs w:val="22"/>
          <w:lang w:val="es-ES_tradnl"/>
        </w:rPr>
        <w:t xml:space="preserve"> </w:t>
      </w:r>
      <w:r w:rsidR="00C71485" w:rsidRPr="00343F66">
        <w:rPr>
          <w:szCs w:val="22"/>
          <w:lang w:val="es-ES_tradnl"/>
        </w:rPr>
        <w:t>Códecs de video incluidos en esta Norma:</w:t>
      </w:r>
    </w:p>
    <w:p w14:paraId="41EF9078" w14:textId="77777777" w:rsidR="00225E72" w:rsidRPr="00343F66" w:rsidRDefault="00C71485" w:rsidP="00C71485">
      <w:pPr>
        <w:pStyle w:val="List0"/>
        <w:numPr>
          <w:ilvl w:val="0"/>
          <w:numId w:val="17"/>
        </w:numPr>
        <w:tabs>
          <w:tab w:val="left" w:pos="567"/>
        </w:tabs>
        <w:rPr>
          <w:szCs w:val="22"/>
          <w:lang w:val="es-ES_tradnl"/>
        </w:rPr>
      </w:pPr>
      <w:r w:rsidRPr="00343F66">
        <w:rPr>
          <w:szCs w:val="22"/>
          <w:lang w:val="es-ES_tradnl"/>
        </w:rPr>
        <w:t>MPEG-1, normalizado como ISO/IEC-11172-2;</w:t>
      </w:r>
    </w:p>
    <w:p w14:paraId="19DC9376" w14:textId="77777777" w:rsidR="00225E72" w:rsidRPr="00343F66" w:rsidRDefault="00300C19" w:rsidP="00300C19">
      <w:pPr>
        <w:pStyle w:val="List0"/>
        <w:numPr>
          <w:ilvl w:val="0"/>
          <w:numId w:val="17"/>
        </w:numPr>
        <w:tabs>
          <w:tab w:val="left" w:pos="567"/>
        </w:tabs>
        <w:spacing w:before="150" w:after="0"/>
        <w:ind w:left="1282"/>
        <w:rPr>
          <w:szCs w:val="22"/>
          <w:lang w:val="es-ES_tradnl"/>
        </w:rPr>
      </w:pPr>
      <w:r w:rsidRPr="00343F66">
        <w:rPr>
          <w:szCs w:val="22"/>
          <w:lang w:val="es-ES_tradnl"/>
        </w:rPr>
        <w:t>MPEG-2 Parte 2, normalizado como ISO/IEC 13818-2 y como la Recomendación H.262 del UIT-T;</w:t>
      </w:r>
    </w:p>
    <w:p w14:paraId="6F7C0C78" w14:textId="2708DB94" w:rsidR="00225E72" w:rsidRPr="00343F66" w:rsidRDefault="00300C19" w:rsidP="00300C19">
      <w:pPr>
        <w:pStyle w:val="List0"/>
        <w:numPr>
          <w:ilvl w:val="0"/>
          <w:numId w:val="17"/>
        </w:numPr>
        <w:tabs>
          <w:tab w:val="left" w:pos="567"/>
        </w:tabs>
        <w:spacing w:before="150" w:after="0"/>
        <w:ind w:left="1282"/>
        <w:rPr>
          <w:szCs w:val="22"/>
          <w:lang w:val="es-ES_tradnl"/>
        </w:rPr>
      </w:pPr>
      <w:r w:rsidRPr="00343F66">
        <w:rPr>
          <w:szCs w:val="22"/>
          <w:lang w:val="es-ES_tradnl"/>
        </w:rPr>
        <w:t>AVC (</w:t>
      </w:r>
      <w:r w:rsidRPr="00343F66">
        <w:rPr>
          <w:i/>
          <w:szCs w:val="22"/>
          <w:lang w:val="es-ES_tradnl"/>
        </w:rPr>
        <w:t>Advanced Video Coding</w:t>
      </w:r>
      <w:r w:rsidRPr="00343F66">
        <w:rPr>
          <w:szCs w:val="22"/>
          <w:lang w:val="es-ES_tradnl"/>
        </w:rPr>
        <w:t>), también conocido como H.264, normalizado como MPEG-4 Parte 10 en la norma ISO/IEC 14496-10 y como la Recomendación H.264 del UIT-T;</w:t>
      </w:r>
    </w:p>
    <w:p w14:paraId="1FC200ED" w14:textId="77777777" w:rsidR="00225E72" w:rsidRPr="00343F66" w:rsidRDefault="00300C19" w:rsidP="00300C19">
      <w:pPr>
        <w:pStyle w:val="List0"/>
        <w:numPr>
          <w:ilvl w:val="0"/>
          <w:numId w:val="17"/>
        </w:numPr>
        <w:tabs>
          <w:tab w:val="left" w:pos="567"/>
        </w:tabs>
        <w:spacing w:before="150" w:after="0"/>
        <w:ind w:left="1282"/>
        <w:rPr>
          <w:szCs w:val="22"/>
          <w:lang w:val="es-ES_tradnl"/>
        </w:rPr>
      </w:pPr>
      <w:r w:rsidRPr="00343F66">
        <w:rPr>
          <w:szCs w:val="22"/>
          <w:lang w:val="es-ES_tradnl"/>
        </w:rPr>
        <w:t>HEVC (</w:t>
      </w:r>
      <w:r w:rsidRPr="00343F66">
        <w:rPr>
          <w:i/>
          <w:szCs w:val="22"/>
          <w:lang w:val="es-ES_tradnl"/>
        </w:rPr>
        <w:t>High Efficiency Video Coding</w:t>
      </w:r>
      <w:r w:rsidRPr="00343F66">
        <w:rPr>
          <w:szCs w:val="22"/>
          <w:lang w:val="es-ES_tradnl"/>
        </w:rPr>
        <w:t>), también conocido como H.265, normalizado como MPEG-H Parte 2 en la norma ISO/IEC 23008-2 y como la Recomendación H.265 del UIT-T;</w:t>
      </w:r>
    </w:p>
    <w:p w14:paraId="523EB93B" w14:textId="77777777" w:rsidR="00225E72" w:rsidRPr="00343F66" w:rsidRDefault="00300C19" w:rsidP="00300C19">
      <w:pPr>
        <w:pStyle w:val="List0"/>
        <w:numPr>
          <w:ilvl w:val="0"/>
          <w:numId w:val="17"/>
        </w:numPr>
        <w:tabs>
          <w:tab w:val="left" w:pos="567"/>
        </w:tabs>
        <w:spacing w:before="150" w:after="0"/>
        <w:ind w:left="1282"/>
        <w:rPr>
          <w:szCs w:val="22"/>
          <w:lang w:val="es-ES_tradnl"/>
        </w:rPr>
      </w:pPr>
      <w:r w:rsidRPr="00343F66">
        <w:rPr>
          <w:szCs w:val="22"/>
          <w:lang w:val="es-ES_tradnl"/>
        </w:rPr>
        <w:t>VP8, una especificación abierta y una aplicación de referencia publicada por Google;</w:t>
      </w:r>
    </w:p>
    <w:p w14:paraId="13B9959B" w14:textId="77777777" w:rsidR="00225E72" w:rsidRPr="00343F66" w:rsidRDefault="00300C19" w:rsidP="00300C19">
      <w:pPr>
        <w:pStyle w:val="List0"/>
        <w:numPr>
          <w:ilvl w:val="0"/>
          <w:numId w:val="17"/>
        </w:numPr>
        <w:tabs>
          <w:tab w:val="left" w:pos="567"/>
        </w:tabs>
        <w:spacing w:before="150" w:after="0"/>
        <w:ind w:left="1282"/>
        <w:rPr>
          <w:szCs w:val="22"/>
          <w:lang w:val="es-ES_tradnl"/>
        </w:rPr>
      </w:pPr>
      <w:r w:rsidRPr="00343F66">
        <w:rPr>
          <w:szCs w:val="22"/>
          <w:lang w:val="es-ES_tradnl"/>
        </w:rPr>
        <w:t>VP9, una especificación abierta y aplicación de referencia publicada por Google y utilizada por Netflix y YouTube; y</w:t>
      </w:r>
    </w:p>
    <w:p w14:paraId="0BAEA7AE" w14:textId="77777777" w:rsidR="00AE15B1" w:rsidRDefault="00B0316A" w:rsidP="00AE15B1">
      <w:pPr>
        <w:pStyle w:val="List0"/>
        <w:numPr>
          <w:ilvl w:val="0"/>
          <w:numId w:val="17"/>
        </w:numPr>
        <w:tabs>
          <w:tab w:val="left" w:pos="567"/>
        </w:tabs>
        <w:spacing w:before="150" w:after="0"/>
        <w:ind w:left="1282"/>
        <w:rPr>
          <w:szCs w:val="22"/>
          <w:lang w:val="es-ES_tradnl"/>
        </w:rPr>
      </w:pPr>
      <w:r w:rsidRPr="00343F66">
        <w:rPr>
          <w:szCs w:val="22"/>
          <w:lang w:val="es-ES_tradnl"/>
        </w:rPr>
        <w:t xml:space="preserve">AOM Video 1 (AV1), una especificación abierta publicada por el consorcio empresarial </w:t>
      </w:r>
      <w:r w:rsidRPr="00343F66">
        <w:rPr>
          <w:i/>
          <w:szCs w:val="22"/>
          <w:lang w:val="es-ES_tradnl"/>
        </w:rPr>
        <w:t>Alliance for Open Media</w:t>
      </w:r>
      <w:r w:rsidRPr="00343F66">
        <w:rPr>
          <w:szCs w:val="22"/>
          <w:lang w:val="es-ES_tradnl"/>
        </w:rPr>
        <w:t>.</w:t>
      </w:r>
      <w:r w:rsidR="00225E72" w:rsidRPr="00343F66">
        <w:rPr>
          <w:szCs w:val="22"/>
          <w:lang w:val="es-ES_tradnl"/>
        </w:rPr>
        <w:t xml:space="preserve"> </w:t>
      </w:r>
      <w:r w:rsidRPr="00343F66">
        <w:rPr>
          <w:szCs w:val="22"/>
          <w:lang w:val="es-ES_tradnl"/>
        </w:rPr>
        <w:t>No debe confundirse con AVI (</w:t>
      </w:r>
      <w:r w:rsidRPr="00343F66">
        <w:rPr>
          <w:i/>
          <w:szCs w:val="22"/>
          <w:lang w:val="es-ES_tradnl"/>
        </w:rPr>
        <w:t>Audio Video Interleave</w:t>
      </w:r>
      <w:r w:rsidRPr="00343F66">
        <w:rPr>
          <w:szCs w:val="22"/>
          <w:lang w:val="es-ES_tradnl"/>
        </w:rPr>
        <w:t>), un formato propiedad de Microsoft.</w:t>
      </w:r>
    </w:p>
    <w:p w14:paraId="3795FF3C" w14:textId="77777777" w:rsidR="00AE15B1" w:rsidRDefault="00EF4CF4" w:rsidP="00AE15B1">
      <w:pPr>
        <w:pStyle w:val="List0"/>
        <w:numPr>
          <w:ilvl w:val="0"/>
          <w:numId w:val="17"/>
        </w:numPr>
        <w:tabs>
          <w:tab w:val="left" w:pos="567"/>
        </w:tabs>
        <w:spacing w:before="150" w:after="0"/>
        <w:ind w:left="1282"/>
        <w:rPr>
          <w:szCs w:val="22"/>
          <w:lang w:val="es-ES_tradnl"/>
        </w:rPr>
      </w:pPr>
      <w:r w:rsidRPr="00AE15B1">
        <w:rPr>
          <w:szCs w:val="22"/>
          <w:lang w:val="es-ES_tradnl"/>
        </w:rPr>
        <w:t>“</w:t>
      </w:r>
      <w:r w:rsidR="00B0316A" w:rsidRPr="00AE15B1">
        <w:rPr>
          <w:szCs w:val="22"/>
          <w:lang w:val="es-ES_tradnl"/>
        </w:rPr>
        <w:t>contenedor</w:t>
      </w:r>
      <w:r w:rsidRPr="00AE15B1">
        <w:rPr>
          <w:szCs w:val="22"/>
          <w:lang w:val="es-ES_tradnl"/>
        </w:rPr>
        <w:t>”</w:t>
      </w:r>
      <w:r w:rsidR="00B0316A" w:rsidRPr="00AE15B1">
        <w:rPr>
          <w:szCs w:val="22"/>
          <w:lang w:val="es-ES_tradnl"/>
        </w:rPr>
        <w:t xml:space="preserve"> es un formato para almacenar diversos elementos de datos y metadatos.</w:t>
      </w:r>
      <w:r w:rsidR="00225E72" w:rsidRPr="00AE15B1">
        <w:rPr>
          <w:szCs w:val="22"/>
          <w:lang w:val="es-ES_tradnl"/>
        </w:rPr>
        <w:t xml:space="preserve"> </w:t>
      </w:r>
      <w:r w:rsidR="00B0316A" w:rsidRPr="00AE15B1">
        <w:rPr>
          <w:szCs w:val="22"/>
          <w:lang w:val="es-ES_tradnl"/>
        </w:rPr>
        <w:t>En el caso de los ficheros multimedia, los contenedores suelen contener datos de vídeo en formato de códec de vídeo, datos de audio en formato de códec de audio y uno o varios elementos de metadatos.</w:t>
      </w:r>
      <w:r w:rsidR="00225E72" w:rsidRPr="00AE15B1">
        <w:rPr>
          <w:szCs w:val="22"/>
          <w:lang w:val="es-ES_tradnl"/>
        </w:rPr>
        <w:t xml:space="preserve"> </w:t>
      </w:r>
      <w:r w:rsidR="00B0316A" w:rsidRPr="00AE15B1">
        <w:rPr>
          <w:szCs w:val="22"/>
          <w:lang w:val="es-ES_tradnl"/>
        </w:rPr>
        <w:t>La presente Norma incluye los siguientes formatos de contenedor:</w:t>
      </w:r>
    </w:p>
    <w:p w14:paraId="123BA630" w14:textId="77777777" w:rsidR="00AE15B1" w:rsidRDefault="00B0316A" w:rsidP="00AE15B1">
      <w:pPr>
        <w:pStyle w:val="List0"/>
        <w:numPr>
          <w:ilvl w:val="0"/>
          <w:numId w:val="17"/>
        </w:numPr>
        <w:tabs>
          <w:tab w:val="left" w:pos="567"/>
        </w:tabs>
        <w:spacing w:before="150" w:after="0"/>
        <w:ind w:left="1282"/>
        <w:rPr>
          <w:szCs w:val="22"/>
          <w:lang w:val="es-ES_tradnl"/>
        </w:rPr>
      </w:pPr>
      <w:r w:rsidRPr="00AE15B1">
        <w:rPr>
          <w:szCs w:val="22"/>
          <w:lang w:val="es-ES_tradnl"/>
        </w:rPr>
        <w:t>Contenedores MP4 (.mp4), normalizados como MPEG-4 Parte 14 en la norma ISO/IEC 14496-14; y</w:t>
      </w:r>
    </w:p>
    <w:p w14:paraId="353B7FCD" w14:textId="59865A1B" w:rsidR="00225E72" w:rsidRPr="00AE15B1" w:rsidRDefault="004B2405" w:rsidP="00AE15B1">
      <w:pPr>
        <w:pStyle w:val="List0"/>
        <w:numPr>
          <w:ilvl w:val="0"/>
          <w:numId w:val="17"/>
        </w:numPr>
        <w:tabs>
          <w:tab w:val="left" w:pos="567"/>
        </w:tabs>
        <w:spacing w:before="150" w:after="0"/>
        <w:ind w:left="1282"/>
        <w:rPr>
          <w:szCs w:val="22"/>
          <w:lang w:val="es-ES_tradnl"/>
        </w:rPr>
      </w:pPr>
      <w:r w:rsidRPr="00AE15B1">
        <w:rPr>
          <w:szCs w:val="22"/>
          <w:lang w:val="es-ES_tradnl"/>
        </w:rPr>
        <w:t>WebM, un contenedor de especificación abierta diseñado para el uso exento de regalías, en particular en páginas web.</w:t>
      </w:r>
    </w:p>
    <w:p w14:paraId="6766A586" w14:textId="77777777" w:rsidR="00225E72" w:rsidRPr="00343F66" w:rsidRDefault="004B2405" w:rsidP="004B2405">
      <w:pPr>
        <w:pStyle w:val="Heading2"/>
        <w:keepLines/>
        <w:rPr>
          <w:rFonts w:eastAsia="Times New Roman" w:cs="Times New Roman"/>
          <w:bCs w:val="0"/>
          <w:iCs w:val="0"/>
          <w:sz w:val="17"/>
          <w:szCs w:val="20"/>
          <w:lang w:val="es-ES_tradnl"/>
        </w:rPr>
      </w:pPr>
      <w:bookmarkStart w:id="14" w:name="_Toc49176375"/>
      <w:r w:rsidRPr="00343F66">
        <w:rPr>
          <w:rFonts w:eastAsia="Times New Roman" w:cs="Times New Roman"/>
          <w:bCs w:val="0"/>
          <w:iCs w:val="0"/>
          <w:sz w:val="17"/>
          <w:szCs w:val="20"/>
          <w:lang w:val="es-ES_tradnl"/>
        </w:rPr>
        <w:t>Referencias</w:t>
      </w:r>
      <w:bookmarkEnd w:id="14"/>
    </w:p>
    <w:p w14:paraId="6EB0C202" w14:textId="77777777" w:rsidR="00225E72" w:rsidRPr="00343F66" w:rsidRDefault="004F3C49" w:rsidP="004B2405">
      <w:pPr>
        <w:pStyle w:val="List0"/>
        <w:tabs>
          <w:tab w:val="left" w:pos="567"/>
        </w:tabs>
        <w:spacing w:after="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4B2405" w:rsidRPr="00343F66">
        <w:rPr>
          <w:szCs w:val="22"/>
          <w:lang w:val="es-ES_tradnl"/>
        </w:rPr>
        <w:t>Son pertinentes para la presente Norma los siguientes documentos y Normas:</w:t>
      </w:r>
    </w:p>
    <w:p w14:paraId="6A951AD5" w14:textId="77777777" w:rsidR="00AE15B1" w:rsidRPr="00E03B36" w:rsidRDefault="00AE15B1" w:rsidP="00AE15B1">
      <w:pPr>
        <w:pStyle w:val="List0"/>
        <w:tabs>
          <w:tab w:val="left" w:pos="567"/>
        </w:tabs>
        <w:spacing w:after="0"/>
        <w:rPr>
          <w:szCs w:val="22"/>
          <w:lang w:val="fr-CH"/>
        </w:rPr>
      </w:pPr>
    </w:p>
    <w:tbl>
      <w:tblPr>
        <w:tblW w:w="0" w:type="dxa"/>
        <w:tblLayout w:type="fixed"/>
        <w:tblLook w:val="04A0" w:firstRow="1" w:lastRow="0" w:firstColumn="1" w:lastColumn="0" w:noHBand="0" w:noVBand="1"/>
      </w:tblPr>
      <w:tblGrid>
        <w:gridCol w:w="3510"/>
        <w:gridCol w:w="5954"/>
      </w:tblGrid>
      <w:tr w:rsidR="00AE15B1" w:rsidRPr="00E03B36" w14:paraId="73530488" w14:textId="77777777" w:rsidTr="00AE15B1">
        <w:trPr>
          <w:trHeight w:val="113"/>
        </w:trPr>
        <w:tc>
          <w:tcPr>
            <w:tcW w:w="3510" w:type="dxa"/>
            <w:tcBorders>
              <w:top w:val="nil"/>
              <w:left w:val="nil"/>
              <w:bottom w:val="nil"/>
              <w:right w:val="nil"/>
            </w:tcBorders>
            <w:hideMark/>
          </w:tcPr>
          <w:p w14:paraId="75334321" w14:textId="26F8D40D" w:rsidR="00AE15B1" w:rsidRPr="00E03B36" w:rsidRDefault="00AE15B1">
            <w:pPr>
              <w:autoSpaceDE w:val="0"/>
              <w:autoSpaceDN w:val="0"/>
              <w:adjustRightInd w:val="0"/>
              <w:spacing w:after="120"/>
              <w:ind w:left="1134"/>
              <w:rPr>
                <w:color w:val="000000"/>
                <w:sz w:val="17"/>
                <w:szCs w:val="17"/>
                <w:lang w:val="fr-CH" w:eastAsia="ko-KR"/>
              </w:rPr>
            </w:pPr>
            <w:r w:rsidRPr="00E03B36">
              <w:rPr>
                <w:color w:val="000000"/>
                <w:sz w:val="17"/>
                <w:szCs w:val="17"/>
                <w:lang w:val="fr-CH" w:eastAsia="ko-KR"/>
              </w:rPr>
              <w:t>Norma ST.60 de la OMPI</w:t>
            </w:r>
          </w:p>
        </w:tc>
        <w:tc>
          <w:tcPr>
            <w:tcW w:w="5954" w:type="dxa"/>
            <w:tcBorders>
              <w:top w:val="nil"/>
              <w:left w:val="nil"/>
              <w:bottom w:val="nil"/>
              <w:right w:val="nil"/>
            </w:tcBorders>
            <w:hideMark/>
          </w:tcPr>
          <w:p w14:paraId="4AA33C74" w14:textId="59568992" w:rsidR="00AE15B1" w:rsidRPr="00AE15B1" w:rsidRDefault="00AE15B1">
            <w:pPr>
              <w:autoSpaceDE w:val="0"/>
              <w:autoSpaceDN w:val="0"/>
              <w:adjustRightInd w:val="0"/>
              <w:spacing w:after="120"/>
              <w:ind w:left="34"/>
              <w:rPr>
                <w:color w:val="000000"/>
                <w:sz w:val="17"/>
                <w:szCs w:val="17"/>
                <w:lang w:val="es-ES" w:eastAsia="ko-KR"/>
              </w:rPr>
            </w:pPr>
            <w:r w:rsidRPr="00AE15B1">
              <w:rPr>
                <w:color w:val="000000"/>
                <w:sz w:val="17"/>
                <w:szCs w:val="17"/>
                <w:lang w:val="es-ES" w:eastAsia="ko-KR"/>
              </w:rPr>
              <w:t>Recomendación relativa a los datos bibliográficos sobre marcas</w:t>
            </w:r>
          </w:p>
        </w:tc>
      </w:tr>
      <w:tr w:rsidR="00AE15B1" w:rsidRPr="00E03B36" w14:paraId="3533122D" w14:textId="77777777" w:rsidTr="00AE15B1">
        <w:trPr>
          <w:trHeight w:val="211"/>
        </w:trPr>
        <w:tc>
          <w:tcPr>
            <w:tcW w:w="3510" w:type="dxa"/>
            <w:tcBorders>
              <w:top w:val="nil"/>
              <w:left w:val="nil"/>
              <w:bottom w:val="nil"/>
              <w:right w:val="nil"/>
            </w:tcBorders>
            <w:hideMark/>
          </w:tcPr>
          <w:p w14:paraId="52E1BFCE" w14:textId="04BEE256" w:rsidR="00AE15B1" w:rsidRPr="00E03B36" w:rsidRDefault="00AE15B1">
            <w:pPr>
              <w:autoSpaceDE w:val="0"/>
              <w:autoSpaceDN w:val="0"/>
              <w:adjustRightInd w:val="0"/>
              <w:spacing w:after="120"/>
              <w:ind w:left="1134"/>
              <w:rPr>
                <w:color w:val="000000"/>
                <w:sz w:val="17"/>
                <w:szCs w:val="17"/>
                <w:lang w:val="fr-CH" w:eastAsia="ko-KR"/>
              </w:rPr>
            </w:pPr>
            <w:r w:rsidRPr="00E03B36">
              <w:rPr>
                <w:color w:val="000000"/>
                <w:sz w:val="17"/>
                <w:szCs w:val="17"/>
                <w:lang w:val="fr-CH" w:eastAsia="ko-KR"/>
              </w:rPr>
              <w:t>Norma ST.63 de la OMPI</w:t>
            </w:r>
          </w:p>
        </w:tc>
        <w:tc>
          <w:tcPr>
            <w:tcW w:w="5954" w:type="dxa"/>
            <w:tcBorders>
              <w:top w:val="nil"/>
              <w:left w:val="nil"/>
              <w:bottom w:val="nil"/>
              <w:right w:val="nil"/>
            </w:tcBorders>
            <w:hideMark/>
          </w:tcPr>
          <w:p w14:paraId="398818FA" w14:textId="022FF4F7" w:rsidR="00AE15B1" w:rsidRPr="00AE15B1" w:rsidRDefault="00AE15B1">
            <w:pPr>
              <w:autoSpaceDE w:val="0"/>
              <w:autoSpaceDN w:val="0"/>
              <w:adjustRightInd w:val="0"/>
              <w:spacing w:after="120"/>
              <w:ind w:left="34"/>
              <w:rPr>
                <w:color w:val="000000"/>
                <w:sz w:val="17"/>
                <w:szCs w:val="17"/>
                <w:lang w:val="es-ES" w:eastAsia="ko-KR"/>
              </w:rPr>
            </w:pPr>
            <w:r w:rsidRPr="00AE15B1">
              <w:rPr>
                <w:color w:val="000000"/>
                <w:sz w:val="17"/>
                <w:szCs w:val="17"/>
                <w:lang w:val="es-ES" w:eastAsia="ko-KR"/>
              </w:rPr>
              <w:t>Recomendación relativa al contenido y presentación de los boletines de marcas</w:t>
            </w:r>
          </w:p>
        </w:tc>
      </w:tr>
      <w:tr w:rsidR="00AE15B1" w:rsidRPr="00E03B36" w14:paraId="711738A7" w14:textId="77777777" w:rsidTr="00AE15B1">
        <w:trPr>
          <w:trHeight w:val="211"/>
        </w:trPr>
        <w:tc>
          <w:tcPr>
            <w:tcW w:w="3510" w:type="dxa"/>
            <w:tcBorders>
              <w:top w:val="nil"/>
              <w:left w:val="nil"/>
              <w:bottom w:val="nil"/>
              <w:right w:val="nil"/>
            </w:tcBorders>
            <w:hideMark/>
          </w:tcPr>
          <w:p w14:paraId="034D1CA5" w14:textId="06853ECD" w:rsidR="00AE15B1" w:rsidRPr="00E03B36" w:rsidRDefault="00AE15B1">
            <w:pPr>
              <w:autoSpaceDE w:val="0"/>
              <w:autoSpaceDN w:val="0"/>
              <w:adjustRightInd w:val="0"/>
              <w:spacing w:after="120"/>
              <w:ind w:left="1134"/>
              <w:rPr>
                <w:color w:val="000000"/>
                <w:sz w:val="17"/>
                <w:szCs w:val="17"/>
                <w:lang w:val="fr-CH" w:eastAsia="ko-KR"/>
              </w:rPr>
            </w:pPr>
            <w:r w:rsidRPr="00E03B36">
              <w:rPr>
                <w:color w:val="000000"/>
                <w:sz w:val="17"/>
                <w:szCs w:val="17"/>
                <w:lang w:val="fr-CH" w:eastAsia="ko-KR"/>
              </w:rPr>
              <w:t>Norma ST.64 de la OMPI</w:t>
            </w:r>
          </w:p>
        </w:tc>
        <w:tc>
          <w:tcPr>
            <w:tcW w:w="5954" w:type="dxa"/>
            <w:tcBorders>
              <w:top w:val="nil"/>
              <w:left w:val="nil"/>
              <w:bottom w:val="nil"/>
              <w:right w:val="nil"/>
            </w:tcBorders>
            <w:hideMark/>
          </w:tcPr>
          <w:p w14:paraId="4050A6AE" w14:textId="10D69948" w:rsidR="00AE15B1" w:rsidRPr="00E03B36" w:rsidRDefault="00AE15B1">
            <w:pPr>
              <w:autoSpaceDE w:val="0"/>
              <w:autoSpaceDN w:val="0"/>
              <w:adjustRightInd w:val="0"/>
              <w:spacing w:after="120"/>
              <w:ind w:left="34"/>
              <w:rPr>
                <w:sz w:val="17"/>
                <w:szCs w:val="17"/>
                <w:lang w:val="fr-CH"/>
              </w:rPr>
            </w:pPr>
            <w:r w:rsidRPr="00E03B36">
              <w:rPr>
                <w:sz w:val="17"/>
                <w:szCs w:val="17"/>
                <w:lang w:val="fr-CH"/>
              </w:rPr>
              <w:t>Ficheros de búsqueda recomendados para la búsqueda de marcas</w:t>
            </w:r>
          </w:p>
        </w:tc>
      </w:tr>
      <w:tr w:rsidR="00AE15B1" w:rsidRPr="00E03B36" w14:paraId="177E6B5F" w14:textId="77777777" w:rsidTr="00AE15B1">
        <w:trPr>
          <w:trHeight w:val="248"/>
        </w:trPr>
        <w:tc>
          <w:tcPr>
            <w:tcW w:w="3510" w:type="dxa"/>
            <w:tcBorders>
              <w:top w:val="nil"/>
              <w:left w:val="nil"/>
              <w:bottom w:val="nil"/>
              <w:right w:val="nil"/>
            </w:tcBorders>
          </w:tcPr>
          <w:p w14:paraId="22E54E8A" w14:textId="7EC4FF68" w:rsidR="00AE15B1" w:rsidRPr="00E03B36" w:rsidRDefault="00AE15B1">
            <w:pPr>
              <w:autoSpaceDE w:val="0"/>
              <w:autoSpaceDN w:val="0"/>
              <w:adjustRightInd w:val="0"/>
              <w:spacing w:after="120"/>
              <w:ind w:left="1134"/>
              <w:rPr>
                <w:color w:val="000000"/>
                <w:sz w:val="17"/>
                <w:szCs w:val="17"/>
                <w:lang w:val="fr-CH" w:eastAsia="ko-KR"/>
              </w:rPr>
            </w:pPr>
            <w:r w:rsidRPr="00E03B36">
              <w:rPr>
                <w:color w:val="000000"/>
                <w:sz w:val="17"/>
                <w:szCs w:val="17"/>
                <w:lang w:val="fr-CH" w:eastAsia="ko-KR"/>
              </w:rPr>
              <w:lastRenderedPageBreak/>
              <w:t>Norma ST.66 de la OMPI</w:t>
            </w:r>
          </w:p>
          <w:p w14:paraId="5202BEF3" w14:textId="77777777" w:rsidR="00AE15B1" w:rsidRPr="00E03B36" w:rsidRDefault="00AE15B1">
            <w:pPr>
              <w:autoSpaceDE w:val="0"/>
              <w:autoSpaceDN w:val="0"/>
              <w:adjustRightInd w:val="0"/>
              <w:spacing w:after="120"/>
              <w:ind w:left="1134"/>
              <w:rPr>
                <w:color w:val="000000"/>
                <w:sz w:val="17"/>
                <w:szCs w:val="17"/>
                <w:lang w:val="fr-CH" w:eastAsia="ko-KR"/>
              </w:rPr>
            </w:pPr>
          </w:p>
          <w:p w14:paraId="4E6460AB" w14:textId="126E3C09" w:rsidR="00AE15B1" w:rsidRPr="00E03B36" w:rsidRDefault="00AE15B1">
            <w:pPr>
              <w:autoSpaceDE w:val="0"/>
              <w:autoSpaceDN w:val="0"/>
              <w:adjustRightInd w:val="0"/>
              <w:spacing w:after="120"/>
              <w:ind w:left="1134"/>
              <w:rPr>
                <w:color w:val="000000"/>
                <w:sz w:val="17"/>
                <w:szCs w:val="17"/>
                <w:lang w:val="fr-CH" w:eastAsia="ko-KR"/>
              </w:rPr>
            </w:pPr>
            <w:r w:rsidRPr="00E03B36">
              <w:rPr>
                <w:color w:val="000000"/>
                <w:sz w:val="17"/>
                <w:szCs w:val="17"/>
                <w:lang w:val="fr-CH" w:eastAsia="ko-KR"/>
              </w:rPr>
              <w:t>Norma ST.67 de la OMPI</w:t>
            </w:r>
          </w:p>
        </w:tc>
        <w:tc>
          <w:tcPr>
            <w:tcW w:w="5954" w:type="dxa"/>
            <w:tcBorders>
              <w:top w:val="nil"/>
              <w:left w:val="nil"/>
              <w:bottom w:val="nil"/>
              <w:right w:val="nil"/>
            </w:tcBorders>
            <w:hideMark/>
          </w:tcPr>
          <w:p w14:paraId="7BDD6BA4" w14:textId="3660230B" w:rsidR="00AE15B1" w:rsidRPr="00AE15B1" w:rsidRDefault="00AE15B1">
            <w:pPr>
              <w:autoSpaceDE w:val="0"/>
              <w:autoSpaceDN w:val="0"/>
              <w:adjustRightInd w:val="0"/>
              <w:spacing w:after="120"/>
              <w:ind w:left="34"/>
              <w:rPr>
                <w:sz w:val="17"/>
                <w:szCs w:val="17"/>
                <w:lang w:val="es-ES"/>
              </w:rPr>
            </w:pPr>
            <w:r w:rsidRPr="00AE15B1">
              <w:rPr>
                <w:sz w:val="17"/>
                <w:szCs w:val="17"/>
                <w:lang w:val="es-ES"/>
              </w:rPr>
              <w:t>Recomendación relativa al tratamiento en XML de la información relativa a las marcas</w:t>
            </w:r>
          </w:p>
          <w:p w14:paraId="78776584" w14:textId="6D29951C" w:rsidR="00AE15B1" w:rsidRPr="00AE15B1" w:rsidRDefault="00AE15B1">
            <w:pPr>
              <w:autoSpaceDE w:val="0"/>
              <w:autoSpaceDN w:val="0"/>
              <w:adjustRightInd w:val="0"/>
              <w:spacing w:after="120"/>
              <w:ind w:left="34"/>
              <w:rPr>
                <w:sz w:val="17"/>
                <w:szCs w:val="17"/>
                <w:lang w:val="es-ES"/>
              </w:rPr>
            </w:pPr>
            <w:r w:rsidRPr="00AE15B1">
              <w:rPr>
                <w:sz w:val="17"/>
                <w:szCs w:val="17"/>
                <w:lang w:val="es-ES"/>
              </w:rPr>
              <w:t>Recomendación relativa a la gestión electrónica de los elementos figurativos de las marcas</w:t>
            </w:r>
          </w:p>
        </w:tc>
      </w:tr>
      <w:tr w:rsidR="00AE15B1" w:rsidRPr="00E03B36" w14:paraId="65B19DF6" w14:textId="77777777" w:rsidTr="00AE15B1">
        <w:trPr>
          <w:trHeight w:val="211"/>
        </w:trPr>
        <w:tc>
          <w:tcPr>
            <w:tcW w:w="3510" w:type="dxa"/>
            <w:tcBorders>
              <w:top w:val="nil"/>
              <w:left w:val="nil"/>
              <w:bottom w:val="nil"/>
              <w:right w:val="nil"/>
            </w:tcBorders>
            <w:hideMark/>
          </w:tcPr>
          <w:p w14:paraId="67E9DD12" w14:textId="18335696" w:rsidR="00AE15B1" w:rsidRPr="00E03B36" w:rsidRDefault="00AE15B1">
            <w:pPr>
              <w:autoSpaceDE w:val="0"/>
              <w:autoSpaceDN w:val="0"/>
              <w:adjustRightInd w:val="0"/>
              <w:spacing w:after="120"/>
              <w:ind w:left="1134"/>
              <w:rPr>
                <w:color w:val="000000"/>
                <w:sz w:val="17"/>
                <w:szCs w:val="17"/>
                <w:lang w:val="fr-CH" w:eastAsia="ko-KR"/>
              </w:rPr>
            </w:pPr>
            <w:r w:rsidRPr="00E03B36">
              <w:rPr>
                <w:color w:val="000000"/>
                <w:sz w:val="17"/>
                <w:szCs w:val="17"/>
                <w:lang w:val="fr-CH" w:eastAsia="ko-KR"/>
              </w:rPr>
              <w:t>Norma ST.68 de la OMPI</w:t>
            </w:r>
          </w:p>
        </w:tc>
        <w:tc>
          <w:tcPr>
            <w:tcW w:w="5954" w:type="dxa"/>
            <w:tcBorders>
              <w:top w:val="nil"/>
              <w:left w:val="nil"/>
              <w:bottom w:val="nil"/>
              <w:right w:val="nil"/>
            </w:tcBorders>
            <w:hideMark/>
          </w:tcPr>
          <w:p w14:paraId="11D2F946" w14:textId="78426862" w:rsidR="00AE15B1" w:rsidRPr="00AE15B1" w:rsidRDefault="00AE15B1">
            <w:pPr>
              <w:autoSpaceDE w:val="0"/>
              <w:autoSpaceDN w:val="0"/>
              <w:adjustRightInd w:val="0"/>
              <w:spacing w:after="120"/>
              <w:ind w:left="34"/>
              <w:rPr>
                <w:sz w:val="17"/>
                <w:szCs w:val="17"/>
                <w:lang w:val="es-ES"/>
              </w:rPr>
            </w:pPr>
            <w:r w:rsidRPr="00AE15B1">
              <w:rPr>
                <w:sz w:val="17"/>
                <w:szCs w:val="17"/>
                <w:lang w:val="es-ES"/>
              </w:rPr>
              <w:t>Recomendación relativa a la gestión electrónica de las marcas sonoras</w:t>
            </w:r>
          </w:p>
        </w:tc>
      </w:tr>
      <w:tr w:rsidR="00AE15B1" w:rsidRPr="00E03B36" w14:paraId="5283EC24" w14:textId="77777777" w:rsidTr="00AE15B1">
        <w:trPr>
          <w:trHeight w:val="211"/>
        </w:trPr>
        <w:tc>
          <w:tcPr>
            <w:tcW w:w="3510" w:type="dxa"/>
            <w:tcBorders>
              <w:top w:val="nil"/>
              <w:left w:val="nil"/>
              <w:bottom w:val="nil"/>
              <w:right w:val="nil"/>
            </w:tcBorders>
            <w:hideMark/>
          </w:tcPr>
          <w:p w14:paraId="6A05D4A9" w14:textId="61600D09" w:rsidR="00AE15B1" w:rsidRPr="00E03B36" w:rsidRDefault="00AE15B1">
            <w:pPr>
              <w:autoSpaceDE w:val="0"/>
              <w:autoSpaceDN w:val="0"/>
              <w:adjustRightInd w:val="0"/>
              <w:spacing w:after="120"/>
              <w:ind w:left="1134"/>
              <w:rPr>
                <w:color w:val="000000"/>
                <w:sz w:val="17"/>
                <w:szCs w:val="17"/>
                <w:lang w:val="fr-CH" w:eastAsia="ko-KR"/>
              </w:rPr>
            </w:pPr>
            <w:r w:rsidRPr="00E03B36">
              <w:rPr>
                <w:color w:val="000000"/>
                <w:sz w:val="17"/>
                <w:szCs w:val="17"/>
                <w:lang w:val="fr-CH" w:eastAsia="ko-KR"/>
              </w:rPr>
              <w:t>Norma ST.96 de la OMPI</w:t>
            </w:r>
          </w:p>
        </w:tc>
        <w:tc>
          <w:tcPr>
            <w:tcW w:w="5954" w:type="dxa"/>
            <w:tcBorders>
              <w:top w:val="nil"/>
              <w:left w:val="nil"/>
              <w:bottom w:val="nil"/>
              <w:right w:val="nil"/>
            </w:tcBorders>
          </w:tcPr>
          <w:p w14:paraId="7CBC3F9E" w14:textId="10D22B12" w:rsidR="00AE15B1" w:rsidRPr="00AE15B1" w:rsidRDefault="00AE15B1">
            <w:pPr>
              <w:autoSpaceDE w:val="0"/>
              <w:autoSpaceDN w:val="0"/>
              <w:adjustRightInd w:val="0"/>
              <w:spacing w:after="120"/>
              <w:ind w:left="34"/>
              <w:rPr>
                <w:sz w:val="17"/>
                <w:szCs w:val="17"/>
                <w:lang w:val="es-ES"/>
              </w:rPr>
            </w:pPr>
            <w:r w:rsidRPr="00AE15B1">
              <w:rPr>
                <w:sz w:val="17"/>
                <w:szCs w:val="17"/>
                <w:lang w:val="es-ES"/>
              </w:rPr>
              <w:t>Recomendación relativa al tratamiento en XML de la información sobre propiedad industrial (PI)</w:t>
            </w:r>
          </w:p>
          <w:p w14:paraId="5CE183A3" w14:textId="77777777" w:rsidR="00AE15B1" w:rsidRPr="00AE15B1" w:rsidRDefault="00AE15B1">
            <w:pPr>
              <w:autoSpaceDE w:val="0"/>
              <w:autoSpaceDN w:val="0"/>
              <w:adjustRightInd w:val="0"/>
              <w:spacing w:after="120"/>
              <w:ind w:left="34"/>
              <w:rPr>
                <w:sz w:val="17"/>
                <w:szCs w:val="17"/>
                <w:lang w:val="es-ES"/>
              </w:rPr>
            </w:pPr>
          </w:p>
        </w:tc>
      </w:tr>
    </w:tbl>
    <w:p w14:paraId="1ECC1820" w14:textId="77777777" w:rsidR="00225E72" w:rsidRPr="00343F66" w:rsidRDefault="00867348" w:rsidP="00867348">
      <w:pPr>
        <w:pStyle w:val="Heading2"/>
        <w:keepLines/>
        <w:rPr>
          <w:rFonts w:eastAsia="Times New Roman" w:cs="Times New Roman"/>
          <w:bCs w:val="0"/>
          <w:iCs w:val="0"/>
          <w:sz w:val="17"/>
          <w:szCs w:val="20"/>
          <w:lang w:val="es-ES_tradnl"/>
        </w:rPr>
      </w:pPr>
      <w:bookmarkStart w:id="15" w:name="_Toc49176376"/>
      <w:r w:rsidRPr="00343F66">
        <w:rPr>
          <w:rFonts w:eastAsia="Times New Roman" w:cs="Times New Roman"/>
          <w:bCs w:val="0"/>
          <w:iCs w:val="0"/>
          <w:sz w:val="17"/>
          <w:szCs w:val="20"/>
          <w:lang w:val="es-ES_tradnl"/>
        </w:rPr>
        <w:t>Recomendaciones generales</w:t>
      </w:r>
      <w:bookmarkEnd w:id="15"/>
    </w:p>
    <w:p w14:paraId="4E4DC5D5" w14:textId="77777777" w:rsidR="00225E72" w:rsidRPr="00343F66" w:rsidRDefault="004F3C49" w:rsidP="00867348">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867348" w:rsidRPr="00343F66">
        <w:rPr>
          <w:szCs w:val="22"/>
          <w:lang w:val="es-ES_tradnl"/>
        </w:rPr>
        <w:t>Se recomienda que las solicitudes de registro de una marca animada o multimedia contengan una representación gráfica del movimiento o los elementos multimedia que constituyan la marca, opcionalmente con una descripción textual o una grabación del movimiento o los elementos multimedia, de conformidad con los requisitos de la Oficina de propiedad industrial (OPI) que reciba la solicitud.</w:t>
      </w:r>
    </w:p>
    <w:p w14:paraId="7ED8625E" w14:textId="27F42936" w:rsidR="00225E72" w:rsidRPr="00343F66" w:rsidRDefault="004F3C49" w:rsidP="000D1A67">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3A7C1D" w:rsidRPr="00343F66">
        <w:rPr>
          <w:szCs w:val="22"/>
          <w:lang w:val="es-ES_tradnl"/>
        </w:rPr>
        <w:t>En la solicitud n</w:t>
      </w:r>
      <w:r w:rsidR="000D1A67" w:rsidRPr="00343F66">
        <w:rPr>
          <w:szCs w:val="22"/>
          <w:lang w:val="es-ES_tradnl"/>
        </w:rPr>
        <w:t>o debería presentarse un componente sonoro con una marca animada, a menos que se solicite la protección de la combinación de movimiento y sonido, en cuyo caso debería presentarse una solicitud de marca multimedia.</w:t>
      </w:r>
      <w:r w:rsidR="00FD43FC" w:rsidRPr="00343F66">
        <w:rPr>
          <w:szCs w:val="22"/>
          <w:lang w:val="es-ES_tradnl"/>
        </w:rPr>
        <w:t xml:space="preserve"> </w:t>
      </w:r>
      <w:r w:rsidR="000D1A67" w:rsidRPr="00343F66">
        <w:rPr>
          <w:szCs w:val="22"/>
          <w:lang w:val="es-ES_tradnl"/>
        </w:rPr>
        <w:t>De lo contrario, si se solicita la protección de los componentes animados y sonoros de forma independiente, deberían presentar</w:t>
      </w:r>
      <w:r w:rsidR="003A7C1D" w:rsidRPr="00343F66">
        <w:rPr>
          <w:szCs w:val="22"/>
          <w:lang w:val="es-ES_tradnl"/>
        </w:rPr>
        <w:t>se</w:t>
      </w:r>
      <w:r w:rsidR="000D1A67" w:rsidRPr="00343F66">
        <w:rPr>
          <w:szCs w:val="22"/>
          <w:lang w:val="es-ES_tradnl"/>
        </w:rPr>
        <w:t xml:space="preserve"> solicitudes separadas de una marca animada y una marca sonora (véase la </w:t>
      </w:r>
      <w:hyperlink r:id="rId8" w:history="1">
        <w:r w:rsidR="000D1A67" w:rsidRPr="0075231A">
          <w:rPr>
            <w:rStyle w:val="Hyperlink"/>
            <w:szCs w:val="22"/>
            <w:lang w:val="es-ES_tradnl"/>
          </w:rPr>
          <w:t>Norma ST.68 de la OMPI</w:t>
        </w:r>
      </w:hyperlink>
      <w:r w:rsidR="000D1A67" w:rsidRPr="00343F66">
        <w:rPr>
          <w:szCs w:val="22"/>
          <w:lang w:val="es-ES_tradnl"/>
        </w:rPr>
        <w:t>).</w:t>
      </w:r>
    </w:p>
    <w:p w14:paraId="6EF2E456" w14:textId="7CC52213" w:rsidR="00225E72" w:rsidRPr="00343F66" w:rsidRDefault="004F3C49" w:rsidP="000D1A67">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0D1A67" w:rsidRPr="00343F66">
        <w:rPr>
          <w:szCs w:val="22"/>
          <w:lang w:val="es-ES_tradnl"/>
        </w:rPr>
        <w:t xml:space="preserve">Se recomienda incluir en las solicitudes la indicación </w:t>
      </w:r>
      <w:r w:rsidR="00EF4CF4" w:rsidRPr="00343F66">
        <w:rPr>
          <w:szCs w:val="22"/>
          <w:lang w:val="es-ES_tradnl"/>
        </w:rPr>
        <w:t>“</w:t>
      </w:r>
      <w:r w:rsidR="000D1A67" w:rsidRPr="00343F66">
        <w:rPr>
          <w:szCs w:val="22"/>
          <w:lang w:val="es-ES_tradnl"/>
        </w:rPr>
        <w:t>marca animada</w:t>
      </w:r>
      <w:r w:rsidR="00EF4CF4" w:rsidRPr="00343F66">
        <w:rPr>
          <w:szCs w:val="22"/>
          <w:lang w:val="es-ES_tradnl"/>
        </w:rPr>
        <w:t>”</w:t>
      </w:r>
      <w:r w:rsidR="000D1A67" w:rsidRPr="00343F66">
        <w:rPr>
          <w:szCs w:val="22"/>
          <w:lang w:val="es-ES_tradnl"/>
        </w:rPr>
        <w:t xml:space="preserve"> o </w:t>
      </w:r>
      <w:r w:rsidR="00EF4CF4" w:rsidRPr="00343F66">
        <w:rPr>
          <w:szCs w:val="22"/>
          <w:lang w:val="es-ES_tradnl"/>
        </w:rPr>
        <w:t>“</w:t>
      </w:r>
      <w:r w:rsidR="000D1A67" w:rsidRPr="00343F66">
        <w:rPr>
          <w:szCs w:val="22"/>
          <w:lang w:val="es-ES_tradnl"/>
        </w:rPr>
        <w:t>marca multimedia</w:t>
      </w:r>
      <w:r w:rsidR="00EF4CF4" w:rsidRPr="00343F66">
        <w:rPr>
          <w:szCs w:val="22"/>
          <w:lang w:val="es-ES_tradnl"/>
        </w:rPr>
        <w:t>”</w:t>
      </w:r>
      <w:r w:rsidR="000D1A67" w:rsidRPr="00343F66">
        <w:rPr>
          <w:szCs w:val="22"/>
          <w:lang w:val="es-ES_tradnl"/>
        </w:rPr>
        <w:t>.</w:t>
      </w:r>
    </w:p>
    <w:p w14:paraId="5191B82A" w14:textId="77777777" w:rsidR="00225E72" w:rsidRPr="00343F66" w:rsidRDefault="004F3C49" w:rsidP="00E55608">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E55608" w:rsidRPr="00343F66">
        <w:rPr>
          <w:szCs w:val="22"/>
          <w:lang w:val="es-ES_tradnl"/>
        </w:rPr>
        <w:t>Cuando la marca animada o multimedia sea presentada en formato electrónico, las características del fichero aportado deberán ser conformes a las normas correspondientes establecidas por la OPI en cuestión, de acuerdo con la presente Norma.</w:t>
      </w:r>
    </w:p>
    <w:p w14:paraId="319EEFED" w14:textId="23EF7A9C" w:rsidR="00225E72" w:rsidRPr="00343F66" w:rsidRDefault="004F3C49" w:rsidP="00E55608">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E55608" w:rsidRPr="00343F66">
        <w:rPr>
          <w:szCs w:val="22"/>
          <w:lang w:val="es-ES_tradnl"/>
        </w:rPr>
        <w:t>Las OPI deberían anunciar</w:t>
      </w:r>
      <w:r w:rsidR="003A7C1D" w:rsidRPr="00343F66">
        <w:rPr>
          <w:szCs w:val="22"/>
          <w:lang w:val="es-ES_tradnl"/>
        </w:rPr>
        <w:t>,</w:t>
      </w:r>
      <w:r w:rsidR="00E55608" w:rsidRPr="00343F66">
        <w:rPr>
          <w:szCs w:val="22"/>
          <w:lang w:val="es-ES_tradnl"/>
        </w:rPr>
        <w:t xml:space="preserve"> según proceda</w:t>
      </w:r>
      <w:r w:rsidR="003A7C1D" w:rsidRPr="00343F66">
        <w:rPr>
          <w:szCs w:val="22"/>
          <w:lang w:val="es-ES_tradnl"/>
        </w:rPr>
        <w:t>,</w:t>
      </w:r>
      <w:r w:rsidR="00E55608" w:rsidRPr="00343F66">
        <w:rPr>
          <w:szCs w:val="22"/>
          <w:lang w:val="es-ES_tradnl"/>
        </w:rPr>
        <w:t xml:space="preserve"> los cambios en los requisitos relativos a las solicitudes de marcas animadas o multimedia.</w:t>
      </w:r>
      <w:r w:rsidR="00225E72" w:rsidRPr="00343F66">
        <w:rPr>
          <w:szCs w:val="22"/>
          <w:lang w:val="es-ES_tradnl"/>
        </w:rPr>
        <w:t xml:space="preserve"> </w:t>
      </w:r>
      <w:r w:rsidR="00E55608" w:rsidRPr="00343F66">
        <w:rPr>
          <w:szCs w:val="22"/>
          <w:lang w:val="es-ES_tradnl"/>
        </w:rPr>
        <w:t>Asimismo, se recomienda que esos requisitos se publiquen en el sitio web de las OPI o se anuncien periódicamente en las publicaciones oficiales.</w:t>
      </w:r>
    </w:p>
    <w:p w14:paraId="45CA8480" w14:textId="77777777" w:rsidR="00225E72" w:rsidRPr="00343F66" w:rsidRDefault="00E55608" w:rsidP="00E55608">
      <w:pPr>
        <w:pStyle w:val="Heading2"/>
        <w:keepLines/>
        <w:rPr>
          <w:rFonts w:eastAsia="Times New Roman" w:cs="Times New Roman"/>
          <w:bCs w:val="0"/>
          <w:iCs w:val="0"/>
          <w:sz w:val="17"/>
          <w:szCs w:val="20"/>
          <w:lang w:val="es-ES_tradnl"/>
        </w:rPr>
      </w:pPr>
      <w:bookmarkStart w:id="16" w:name="_Toc49176377"/>
      <w:r w:rsidRPr="00343F66">
        <w:rPr>
          <w:rFonts w:eastAsia="Times New Roman" w:cs="Times New Roman"/>
          <w:bCs w:val="0"/>
          <w:iCs w:val="0"/>
          <w:sz w:val="17"/>
          <w:szCs w:val="20"/>
          <w:lang w:val="es-ES_tradnl"/>
        </w:rPr>
        <w:t>RECOMENDACIONES PARA LA REPRESENTACIÓN GRÁFICA DE LAS MARCAS ANIMADAS</w:t>
      </w:r>
      <w:bookmarkEnd w:id="16"/>
    </w:p>
    <w:bookmarkStart w:id="17" w:name="_Toc392766490"/>
    <w:p w14:paraId="00687E0B" w14:textId="337DDDBE" w:rsidR="00225E72" w:rsidRPr="00343F66" w:rsidRDefault="004F3C49" w:rsidP="00E55608">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E55608" w:rsidRPr="00343F66">
        <w:rPr>
          <w:szCs w:val="22"/>
          <w:lang w:val="es-ES_tradnl"/>
        </w:rPr>
        <w:t>La gestión electrónica de la representación gráfica del movimiento que constituy</w:t>
      </w:r>
      <w:r w:rsidR="003A7C1D" w:rsidRPr="00343F66">
        <w:rPr>
          <w:szCs w:val="22"/>
          <w:lang w:val="es-ES_tradnl"/>
        </w:rPr>
        <w:t>a</w:t>
      </w:r>
      <w:r w:rsidR="00E55608" w:rsidRPr="00343F66">
        <w:rPr>
          <w:szCs w:val="22"/>
          <w:lang w:val="es-ES_tradnl"/>
        </w:rPr>
        <w:t xml:space="preserve"> la marca debería seguir las recomendaciones pertinentes de la Norma ST.67 de la OMPI.</w:t>
      </w:r>
    </w:p>
    <w:p w14:paraId="0900FD9E" w14:textId="77777777" w:rsidR="00225E72" w:rsidRPr="00343F66" w:rsidRDefault="004F3C49" w:rsidP="00E55608">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E55608" w:rsidRPr="00343F66">
        <w:rPr>
          <w:szCs w:val="22"/>
          <w:lang w:val="es-ES_tradnl"/>
        </w:rPr>
        <w:t>En función de los requisitos establecidos por la OPI, la representación gráfica de las marcas animadas puede consistir en:</w:t>
      </w:r>
    </w:p>
    <w:p w14:paraId="6E265D2E" w14:textId="77777777" w:rsidR="00225E72" w:rsidRPr="00343F66" w:rsidRDefault="00A44073" w:rsidP="00A44073">
      <w:pPr>
        <w:pStyle w:val="List0"/>
        <w:numPr>
          <w:ilvl w:val="0"/>
          <w:numId w:val="16"/>
        </w:numPr>
        <w:tabs>
          <w:tab w:val="left" w:pos="567"/>
        </w:tabs>
        <w:spacing w:before="150" w:after="0"/>
        <w:ind w:left="1282"/>
        <w:rPr>
          <w:szCs w:val="22"/>
          <w:lang w:val="es-ES_tradnl"/>
        </w:rPr>
      </w:pPr>
      <w:r w:rsidRPr="00343F66">
        <w:rPr>
          <w:szCs w:val="22"/>
          <w:lang w:val="es-ES_tradnl"/>
        </w:rPr>
        <w:t>una sola imagen que represente distintas fases del movimiento que constituya la marca; o</w:t>
      </w:r>
    </w:p>
    <w:p w14:paraId="16D5FE16" w14:textId="77777777" w:rsidR="00225E72" w:rsidRPr="00343F66" w:rsidRDefault="00A44073" w:rsidP="00A44073">
      <w:pPr>
        <w:pStyle w:val="List0"/>
        <w:numPr>
          <w:ilvl w:val="0"/>
          <w:numId w:val="16"/>
        </w:numPr>
        <w:tabs>
          <w:tab w:val="left" w:pos="567"/>
        </w:tabs>
        <w:spacing w:before="150" w:after="200"/>
        <w:ind w:left="1282"/>
        <w:rPr>
          <w:szCs w:val="22"/>
          <w:lang w:val="es-ES_tradnl"/>
        </w:rPr>
      </w:pPr>
      <w:r w:rsidRPr="00343F66">
        <w:rPr>
          <w:szCs w:val="22"/>
          <w:lang w:val="es-ES_tradnl"/>
        </w:rPr>
        <w:t>una serie de imágenes seleccionadas que representen el movimiento y que tengan el mismo formato y tamaño.</w:t>
      </w:r>
    </w:p>
    <w:p w14:paraId="3CEB3769" w14:textId="77777777" w:rsidR="00225E72" w:rsidRPr="00343F66" w:rsidRDefault="004F3C49" w:rsidP="00A44073">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A44073" w:rsidRPr="00343F66">
        <w:rPr>
          <w:szCs w:val="22"/>
          <w:lang w:val="es-ES_tradnl"/>
        </w:rPr>
        <w:t>El formato y el tamaño de las imágenes en la representación gráfica de una marca animada deberían seguir las recomendaciones pertinentes de la Norma ST.67 de la OMPI (véanse sus párrafos 7 a 12).</w:t>
      </w:r>
    </w:p>
    <w:p w14:paraId="39ADF1B1" w14:textId="77777777" w:rsidR="00225E72" w:rsidRPr="00343F66" w:rsidRDefault="004F3C49" w:rsidP="00A543AB">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A543AB" w:rsidRPr="00343F66">
        <w:rPr>
          <w:szCs w:val="22"/>
          <w:lang w:val="es-ES_tradnl"/>
        </w:rPr>
        <w:t>Si la representación gráfica de una marca animada consiste en una serie de imágenes seleccionadas, como se indica en el párrafo 11.b), la OPI podrá limitar el número de imágenes presentadas.</w:t>
      </w:r>
    </w:p>
    <w:p w14:paraId="52C93F24" w14:textId="77777777" w:rsidR="00225E72" w:rsidRPr="00343F66" w:rsidRDefault="00A543AB" w:rsidP="00A543AB">
      <w:pPr>
        <w:pStyle w:val="Heading2"/>
        <w:keepLines/>
        <w:rPr>
          <w:rFonts w:eastAsia="Times New Roman" w:cs="Times New Roman"/>
          <w:bCs w:val="0"/>
          <w:iCs w:val="0"/>
          <w:sz w:val="17"/>
          <w:szCs w:val="20"/>
          <w:lang w:val="es-ES_tradnl"/>
        </w:rPr>
      </w:pPr>
      <w:bookmarkStart w:id="18" w:name="_Toc49176378"/>
      <w:bookmarkEnd w:id="17"/>
      <w:r w:rsidRPr="00343F66">
        <w:rPr>
          <w:rFonts w:eastAsia="Times New Roman" w:cs="Times New Roman"/>
          <w:bCs w:val="0"/>
          <w:iCs w:val="0"/>
          <w:sz w:val="17"/>
          <w:szCs w:val="20"/>
          <w:lang w:val="es-ES_tradnl"/>
        </w:rPr>
        <w:t>RECOMENDACIONES PARA LA REPRESENTACIÓN GRÁFICA DE LAS MARCAS MULTIMEDIA</w:t>
      </w:r>
      <w:bookmarkEnd w:id="18"/>
    </w:p>
    <w:p w14:paraId="3939B52D" w14:textId="77777777" w:rsidR="00225E72" w:rsidRPr="00343F66" w:rsidRDefault="004F3C49" w:rsidP="00A8514C">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A8514C" w:rsidRPr="00343F66">
        <w:rPr>
          <w:szCs w:val="22"/>
          <w:lang w:val="es-ES_tradnl"/>
        </w:rPr>
        <w:t>Se recomienda que la representación gráfica de las marcas multimedia consista en representaciones gráficas separadas de los elementos de movimiento y sonido que constituyan la marca.</w:t>
      </w:r>
    </w:p>
    <w:p w14:paraId="6B25D577" w14:textId="7816C5B7" w:rsidR="00225E72" w:rsidRPr="00343F66" w:rsidRDefault="004F3C49" w:rsidP="00A8514C">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A8514C" w:rsidRPr="00343F66">
        <w:rPr>
          <w:szCs w:val="22"/>
          <w:lang w:val="es-ES_tradnl"/>
        </w:rPr>
        <w:t xml:space="preserve">Se recomienda que la representación gráfica de las marcas multimedia siga las recomendaciones pertinentes para la representación gráfica del sonido según lo dispuesto en la </w:t>
      </w:r>
      <w:hyperlink r:id="rId9" w:history="1">
        <w:r w:rsidR="0075231A" w:rsidRPr="0075231A">
          <w:rPr>
            <w:rStyle w:val="Hyperlink"/>
            <w:szCs w:val="22"/>
            <w:lang w:val="es-ES_tradnl"/>
          </w:rPr>
          <w:t>Norma ST.68 de la OMPI</w:t>
        </w:r>
      </w:hyperlink>
      <w:r w:rsidR="00343F66" w:rsidRPr="00343F66">
        <w:rPr>
          <w:szCs w:val="22"/>
          <w:lang w:val="es-ES_tradnl"/>
        </w:rPr>
        <w:t xml:space="preserve"> (véanse sus párrafos 9 y </w:t>
      </w:r>
      <w:r w:rsidR="00A8514C" w:rsidRPr="00343F66">
        <w:rPr>
          <w:szCs w:val="22"/>
          <w:lang w:val="es-ES_tradnl"/>
        </w:rPr>
        <w:t>10) y del movimiento (véanse los párrafos 10 a 13 del presente documento).</w:t>
      </w:r>
    </w:p>
    <w:p w14:paraId="7F4C3B74" w14:textId="77777777" w:rsidR="00225E72" w:rsidRPr="00343F66" w:rsidRDefault="00A8514C" w:rsidP="00A8514C">
      <w:pPr>
        <w:pStyle w:val="Heading2"/>
        <w:keepLines/>
        <w:rPr>
          <w:rFonts w:eastAsia="Times New Roman" w:cs="Times New Roman"/>
          <w:bCs w:val="0"/>
          <w:iCs w:val="0"/>
          <w:sz w:val="17"/>
          <w:szCs w:val="20"/>
          <w:lang w:val="es-ES_tradnl"/>
        </w:rPr>
      </w:pPr>
      <w:bookmarkStart w:id="19" w:name="_Toc49176379"/>
      <w:r w:rsidRPr="00343F66">
        <w:rPr>
          <w:rFonts w:eastAsia="Times New Roman" w:cs="Times New Roman"/>
          <w:bCs w:val="0"/>
          <w:iCs w:val="0"/>
          <w:sz w:val="17"/>
          <w:szCs w:val="20"/>
          <w:lang w:val="es-ES_tradnl"/>
        </w:rPr>
        <w:t>RECOMENDACIONES PARA LA GRABACIÓN DE MARCAS ANIMADAS O MULTIMEDIA</w:t>
      </w:r>
      <w:bookmarkEnd w:id="19"/>
    </w:p>
    <w:p w14:paraId="347B2CED" w14:textId="0520E3B9" w:rsidR="00225E72" w:rsidRPr="00343F66" w:rsidRDefault="004F3C49" w:rsidP="00A8514C">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A8514C" w:rsidRPr="00343F66">
        <w:rPr>
          <w:szCs w:val="22"/>
          <w:lang w:val="es-ES_tradnl"/>
        </w:rPr>
        <w:t>Se recomienda que la grabación del movimiento o los elementos multimedia que constituyan la marca se presenten y tramiten en formato electrónico.</w:t>
      </w:r>
      <w:r w:rsidR="00225E72" w:rsidRPr="00343F66">
        <w:rPr>
          <w:szCs w:val="22"/>
          <w:lang w:val="es-ES_tradnl"/>
        </w:rPr>
        <w:t xml:space="preserve"> </w:t>
      </w:r>
      <w:r w:rsidR="00A8514C" w:rsidRPr="00343F66">
        <w:rPr>
          <w:szCs w:val="22"/>
          <w:lang w:val="es-ES_tradnl"/>
        </w:rPr>
        <w:t>El fichero solo debería contener la marca animada o multimedia que se dese</w:t>
      </w:r>
      <w:r w:rsidR="003A7C1D" w:rsidRPr="00343F66">
        <w:rPr>
          <w:szCs w:val="22"/>
          <w:lang w:val="es-ES_tradnl"/>
        </w:rPr>
        <w:t>e</w:t>
      </w:r>
      <w:r w:rsidR="00A8514C" w:rsidRPr="00343F66">
        <w:rPr>
          <w:szCs w:val="22"/>
          <w:lang w:val="es-ES_tradnl"/>
        </w:rPr>
        <w:t xml:space="preserve"> proteger.</w:t>
      </w:r>
    </w:p>
    <w:p w14:paraId="1E32E6DC" w14:textId="6E75C445" w:rsidR="00225E72" w:rsidRPr="00343F66" w:rsidRDefault="004F3C49" w:rsidP="00220C38">
      <w:pPr>
        <w:pStyle w:val="List0"/>
        <w:tabs>
          <w:tab w:val="left" w:pos="567"/>
        </w:tabs>
        <w:spacing w:after="200"/>
        <w:rPr>
          <w:lang w:val="es-ES_tradnl"/>
        </w:rPr>
      </w:pPr>
      <w:r w:rsidRPr="00343F66">
        <w:rPr>
          <w:szCs w:val="22"/>
          <w:lang w:val="es-ES_tradnl"/>
        </w:rPr>
        <w:lastRenderedPageBreak/>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220C38" w:rsidRPr="00343F66">
        <w:rPr>
          <w:szCs w:val="22"/>
          <w:lang w:val="es-ES_tradnl"/>
        </w:rPr>
        <w:t>Los ficheros que contienen marcas animadas o multimedia deberían tener uno de es</w:t>
      </w:r>
      <w:r w:rsidR="003A7C1D" w:rsidRPr="00343F66">
        <w:rPr>
          <w:szCs w:val="22"/>
          <w:lang w:val="es-ES_tradnl"/>
        </w:rPr>
        <w:t>t</w:t>
      </w:r>
      <w:r w:rsidR="00220C38" w:rsidRPr="00343F66">
        <w:rPr>
          <w:szCs w:val="22"/>
          <w:lang w:val="es-ES_tradnl"/>
        </w:rPr>
        <w:t>os formatos preferidos</w:t>
      </w:r>
      <w:r w:rsidR="00220C38" w:rsidRPr="00343F66">
        <w:rPr>
          <w:rStyle w:val="FootnoteReference"/>
          <w:szCs w:val="22"/>
          <w:lang w:val="es-ES_tradnl"/>
        </w:rPr>
        <w:footnoteReference w:id="1"/>
      </w:r>
      <w:r w:rsidR="00220C38" w:rsidRPr="00343F66">
        <w:rPr>
          <w:szCs w:val="22"/>
          <w:lang w:val="es-ES_tradnl"/>
        </w:rPr>
        <w:t>: ficheros contenedores MP4 (.mp4) con uno de los siguientes códecs de vídeo: AVC/H.264 o MPEG-2/H.262</w:t>
      </w:r>
      <w:r w:rsidR="00220C38" w:rsidRPr="00343F66">
        <w:rPr>
          <w:rStyle w:val="FootnoteReference"/>
          <w:szCs w:val="22"/>
          <w:lang w:val="es-ES_tradnl"/>
        </w:rPr>
        <w:footnoteReference w:id="2"/>
      </w:r>
      <w:r w:rsidR="00220C38" w:rsidRPr="00343F66">
        <w:rPr>
          <w:szCs w:val="22"/>
          <w:lang w:val="es-ES_tradnl"/>
        </w:rPr>
        <w:t>.</w:t>
      </w:r>
    </w:p>
    <w:p w14:paraId="26190CE2" w14:textId="251F6914" w:rsidR="00225E72" w:rsidRPr="00343F66" w:rsidRDefault="004F3C49" w:rsidP="00220C38">
      <w:pPr>
        <w:pStyle w:val="List0"/>
        <w:tabs>
          <w:tab w:val="left" w:pos="567"/>
        </w:tabs>
        <w:spacing w:after="200"/>
        <w:rPr>
          <w:lang w:val="es-ES_tradnl"/>
        </w:rPr>
      </w:pPr>
      <w:r w:rsidRPr="00343F66">
        <w:rPr>
          <w:lang w:val="es-ES_tradnl"/>
        </w:rPr>
        <w:fldChar w:fldCharType="begin"/>
      </w:r>
      <w:r w:rsidRPr="00343F66">
        <w:rPr>
          <w:lang w:val="es-ES_tradnl"/>
        </w:rPr>
        <w:instrText xml:space="preserve"> AUTONUM  </w:instrText>
      </w:r>
      <w:r w:rsidRPr="00343F66">
        <w:rPr>
          <w:lang w:val="es-ES_tradnl"/>
        </w:rPr>
        <w:fldChar w:fldCharType="end"/>
      </w:r>
      <w:r w:rsidRPr="00343F66">
        <w:rPr>
          <w:lang w:val="es-ES_tradnl"/>
        </w:rPr>
        <w:tab/>
      </w:r>
      <w:r w:rsidR="00220C38" w:rsidRPr="00343F66">
        <w:rPr>
          <w:lang w:val="es-ES_tradnl"/>
        </w:rPr>
        <w:t>Cuando la OPI lo permita, las marcas animadas o multimedia podrán utilizar uno de estos formatos alternativos: WebM</w:t>
      </w:r>
      <w:r w:rsidR="00220C38" w:rsidRPr="00343F66">
        <w:rPr>
          <w:rStyle w:val="FootnoteReference"/>
          <w:lang w:val="es-ES_tradnl"/>
        </w:rPr>
        <w:footnoteReference w:id="3"/>
      </w:r>
      <w:r w:rsidR="00220C38" w:rsidRPr="00343F66">
        <w:rPr>
          <w:lang w:val="es-ES_tradnl"/>
        </w:rPr>
        <w:t xml:space="preserve"> o archivos contenedores MP4 con uno de los siguientes códecs de vídeo: VP9 o AV1</w:t>
      </w:r>
      <w:r w:rsidR="00220C38" w:rsidRPr="00343F66">
        <w:rPr>
          <w:rStyle w:val="FootnoteReference"/>
          <w:lang w:val="es-ES_tradnl"/>
        </w:rPr>
        <w:footnoteReference w:id="4"/>
      </w:r>
      <w:r w:rsidR="00220C38" w:rsidRPr="00343F66">
        <w:rPr>
          <w:lang w:val="es-ES_tradnl"/>
        </w:rPr>
        <w:t>.</w:t>
      </w:r>
    </w:p>
    <w:p w14:paraId="43B1EF0E" w14:textId="6876F026" w:rsidR="00225E72" w:rsidRPr="00343F66" w:rsidRDefault="004F3C49" w:rsidP="005104B5">
      <w:pPr>
        <w:pStyle w:val="List0"/>
        <w:tabs>
          <w:tab w:val="left" w:pos="567"/>
        </w:tabs>
        <w:spacing w:after="200"/>
        <w:rPr>
          <w:lang w:val="es-ES_tradnl"/>
        </w:rPr>
      </w:pPr>
      <w:r w:rsidRPr="00343F66">
        <w:rPr>
          <w:lang w:val="es-ES_tradnl"/>
        </w:rPr>
        <w:fldChar w:fldCharType="begin"/>
      </w:r>
      <w:r w:rsidRPr="00343F66">
        <w:rPr>
          <w:lang w:val="es-ES_tradnl"/>
        </w:rPr>
        <w:instrText xml:space="preserve"> AUTONUM  </w:instrText>
      </w:r>
      <w:r w:rsidRPr="00343F66">
        <w:rPr>
          <w:lang w:val="es-ES_tradnl"/>
        </w:rPr>
        <w:fldChar w:fldCharType="end"/>
      </w:r>
      <w:r w:rsidRPr="00343F66">
        <w:rPr>
          <w:lang w:val="es-ES_tradnl"/>
        </w:rPr>
        <w:tab/>
      </w:r>
      <w:r w:rsidR="005104B5" w:rsidRPr="00343F66">
        <w:rPr>
          <w:lang w:val="es-ES_tradnl"/>
        </w:rPr>
        <w:t>Para las marcas animadas o multimedia no deberían utilizarse formatos de contenedores de vídeo o códecs distintos de los que figuran en los párrafos 17 y 18, en particular MPEG-1</w:t>
      </w:r>
      <w:r w:rsidR="005104B5" w:rsidRPr="00343F66">
        <w:rPr>
          <w:rStyle w:val="FootnoteReference"/>
          <w:lang w:val="es-ES_tradnl"/>
        </w:rPr>
        <w:footnoteReference w:id="5"/>
      </w:r>
      <w:r w:rsidR="005104B5" w:rsidRPr="00343F66">
        <w:rPr>
          <w:lang w:val="es-ES_tradnl"/>
        </w:rPr>
        <w:t>, VP8</w:t>
      </w:r>
      <w:r w:rsidR="005104B5" w:rsidRPr="00343F66">
        <w:rPr>
          <w:rStyle w:val="FootnoteReference"/>
          <w:lang w:val="es-ES_tradnl"/>
        </w:rPr>
        <w:footnoteReference w:id="6"/>
      </w:r>
      <w:r w:rsidR="005104B5" w:rsidRPr="00343F66">
        <w:rPr>
          <w:lang w:val="es-ES_tradnl"/>
        </w:rPr>
        <w:t xml:space="preserve"> o HEVC/H.265</w:t>
      </w:r>
      <w:r w:rsidR="005104B5" w:rsidRPr="00343F66">
        <w:rPr>
          <w:rStyle w:val="FootnoteReference"/>
          <w:lang w:val="es-ES_tradnl"/>
        </w:rPr>
        <w:footnoteReference w:id="7"/>
      </w:r>
      <w:r w:rsidR="005104B5" w:rsidRPr="00343F66">
        <w:rPr>
          <w:lang w:val="es-ES_tradnl"/>
        </w:rPr>
        <w:t>.</w:t>
      </w:r>
    </w:p>
    <w:p w14:paraId="7A78C05F" w14:textId="4094902F" w:rsidR="00225E72" w:rsidRPr="00343F66" w:rsidRDefault="004F3C49" w:rsidP="00D12CBD">
      <w:pPr>
        <w:pStyle w:val="List0"/>
        <w:tabs>
          <w:tab w:val="left" w:pos="567"/>
        </w:tabs>
        <w:spacing w:after="200"/>
        <w:rPr>
          <w:lang w:val="es-ES_tradnl"/>
        </w:rPr>
      </w:pPr>
      <w:r w:rsidRPr="00343F66">
        <w:rPr>
          <w:lang w:val="es-ES_tradnl"/>
        </w:rPr>
        <w:fldChar w:fldCharType="begin"/>
      </w:r>
      <w:r w:rsidRPr="00343F66">
        <w:rPr>
          <w:lang w:val="es-ES_tradnl"/>
        </w:rPr>
        <w:instrText xml:space="preserve"> AUTONUM  </w:instrText>
      </w:r>
      <w:r w:rsidRPr="00343F66">
        <w:rPr>
          <w:lang w:val="es-ES_tradnl"/>
        </w:rPr>
        <w:fldChar w:fldCharType="end"/>
      </w:r>
      <w:r w:rsidRPr="00343F66">
        <w:rPr>
          <w:lang w:val="es-ES_tradnl"/>
        </w:rPr>
        <w:tab/>
      </w:r>
      <w:r w:rsidR="005104B5" w:rsidRPr="00343F66">
        <w:rPr>
          <w:lang w:val="es-ES_tradnl"/>
        </w:rPr>
        <w:t>Las OPI deberían aceptar por lo menos uno de los formatos preferidos o alternativos para la presentación de solicitudes, y deberían aceptar todos los formatos preferidos y alternativos para el intercambio de datos con otras OPI.</w:t>
      </w:r>
      <w:r w:rsidR="00225E72" w:rsidRPr="00343F66">
        <w:rPr>
          <w:lang w:val="es-ES_tradnl"/>
        </w:rPr>
        <w:t xml:space="preserve"> </w:t>
      </w:r>
      <w:r w:rsidR="005104B5" w:rsidRPr="00343F66">
        <w:rPr>
          <w:lang w:val="es-ES_tradnl"/>
        </w:rPr>
        <w:t>En cuanto a la presentación de solicitudes, las OPI pueden aceptar formatos distintos de los preferidos o alternativos, a su discreción, siempre y cuando conviertan los ficheros de vídeo a uno de los formatos preferidos o alternativos para el intercambio de datos y la publicación.</w:t>
      </w:r>
      <w:r w:rsidR="00225E72" w:rsidRPr="00343F66">
        <w:rPr>
          <w:lang w:val="es-ES_tradnl"/>
        </w:rPr>
        <w:t xml:space="preserve"> </w:t>
      </w:r>
      <w:r w:rsidR="00D12CBD" w:rsidRPr="00343F66">
        <w:rPr>
          <w:lang w:val="es-ES_tradnl"/>
        </w:rPr>
        <w:t>No obstante, como se indica en el párrafo 22, siempre es preferible evitar las conversiones.</w:t>
      </w:r>
    </w:p>
    <w:p w14:paraId="0EFF3929" w14:textId="4E1569FC" w:rsidR="00225E72" w:rsidRPr="00343F66" w:rsidRDefault="004F3C49" w:rsidP="00BC31BD">
      <w:pPr>
        <w:pStyle w:val="List0"/>
        <w:tabs>
          <w:tab w:val="left" w:pos="567"/>
        </w:tabs>
        <w:spacing w:after="200"/>
        <w:rPr>
          <w:lang w:val="es-ES_tradnl"/>
        </w:rPr>
      </w:pPr>
      <w:r w:rsidRPr="00343F66">
        <w:rPr>
          <w:lang w:val="es-ES_tradnl"/>
        </w:rPr>
        <w:fldChar w:fldCharType="begin"/>
      </w:r>
      <w:r w:rsidRPr="00343F66">
        <w:rPr>
          <w:lang w:val="es-ES_tradnl"/>
        </w:rPr>
        <w:instrText xml:space="preserve"> AUTONUM  </w:instrText>
      </w:r>
      <w:r w:rsidRPr="00343F66">
        <w:rPr>
          <w:lang w:val="es-ES_tradnl"/>
        </w:rPr>
        <w:fldChar w:fldCharType="end"/>
      </w:r>
      <w:r w:rsidRPr="00343F66">
        <w:rPr>
          <w:lang w:val="es-ES_tradnl"/>
        </w:rPr>
        <w:tab/>
      </w:r>
      <w:r w:rsidR="00D12CBD" w:rsidRPr="00343F66">
        <w:rPr>
          <w:lang w:val="es-ES_tradnl"/>
        </w:rPr>
        <w:t>Las OPI deberían anunciar qué formatos de contenedores y códecs aceptan. También deberían comprobar que los ficheros multimedia presentados utilicen un formato de contenedor y un códec aceptado</w:t>
      </w:r>
      <w:r w:rsidR="008E1232" w:rsidRPr="00343F66">
        <w:rPr>
          <w:lang w:val="es-ES_tradnl"/>
        </w:rPr>
        <w:t>s</w:t>
      </w:r>
      <w:r w:rsidR="00D12CBD" w:rsidRPr="00343F66">
        <w:rPr>
          <w:lang w:val="es-ES_tradnl"/>
        </w:rPr>
        <w:t>. Esas comprobaciones pueden efectuarse mediante un programa informático en el momento de la presentación.</w:t>
      </w:r>
      <w:r w:rsidR="00BC7C09" w:rsidRPr="00343F66">
        <w:rPr>
          <w:lang w:val="es-ES_tradnl"/>
        </w:rPr>
        <w:t xml:space="preserve"> </w:t>
      </w:r>
      <w:r w:rsidR="00BC31BD" w:rsidRPr="00343F66">
        <w:rPr>
          <w:lang w:val="es-ES_tradnl"/>
        </w:rPr>
        <w:t>No basta con comprobar la extensión del fichero o el formato del contenedor, ya que algunos contenedores (en particular el MP4) pueden utilizar docenas de códecs diferentes.</w:t>
      </w:r>
      <w:r w:rsidR="00225E72" w:rsidRPr="00343F66">
        <w:rPr>
          <w:lang w:val="es-ES_tradnl"/>
        </w:rPr>
        <w:t xml:space="preserve"> </w:t>
      </w:r>
      <w:r w:rsidR="00BC31BD" w:rsidRPr="00343F66">
        <w:rPr>
          <w:lang w:val="es-ES_tradnl"/>
        </w:rPr>
        <w:t>Si el fichero presentado no utiliza un formato aceptado debería ser rechazado</w:t>
      </w:r>
      <w:r w:rsidR="00BC31BD" w:rsidRPr="00343F66">
        <w:rPr>
          <w:rStyle w:val="FootnoteReference"/>
          <w:lang w:val="es-ES_tradnl"/>
        </w:rPr>
        <w:footnoteReference w:id="8"/>
      </w:r>
      <w:r w:rsidR="00BC31BD" w:rsidRPr="00343F66">
        <w:rPr>
          <w:lang w:val="es-ES_tradnl"/>
        </w:rPr>
        <w:t>.</w:t>
      </w:r>
    </w:p>
    <w:p w14:paraId="776DE7D4" w14:textId="63943532" w:rsidR="00225E72" w:rsidRPr="00343F66" w:rsidRDefault="004F3C49" w:rsidP="008E2AA1">
      <w:pPr>
        <w:pStyle w:val="List0"/>
        <w:tabs>
          <w:tab w:val="left" w:pos="567"/>
        </w:tabs>
        <w:spacing w:after="200"/>
        <w:rPr>
          <w:lang w:val="es-ES_tradnl"/>
        </w:rPr>
      </w:pPr>
      <w:r w:rsidRPr="00343F66">
        <w:rPr>
          <w:lang w:val="es-ES_tradnl"/>
        </w:rPr>
        <w:fldChar w:fldCharType="begin"/>
      </w:r>
      <w:r w:rsidRPr="00343F66">
        <w:rPr>
          <w:lang w:val="es-ES_tradnl"/>
        </w:rPr>
        <w:instrText xml:space="preserve"> AUTONUM  </w:instrText>
      </w:r>
      <w:r w:rsidRPr="00343F66">
        <w:rPr>
          <w:lang w:val="es-ES_tradnl"/>
        </w:rPr>
        <w:fldChar w:fldCharType="end"/>
      </w:r>
      <w:r w:rsidRPr="00343F66">
        <w:rPr>
          <w:lang w:val="es-ES_tradnl"/>
        </w:rPr>
        <w:tab/>
      </w:r>
      <w:r w:rsidR="00BC31BD" w:rsidRPr="00343F66">
        <w:rPr>
          <w:lang w:val="es-ES_tradnl"/>
        </w:rPr>
        <w:t>Se recomienda que las OPI no conviertan los ficheros multimedia a un formato diferente, ya que ello puede generar errores o elementos extraños o reducir la calidad.</w:t>
      </w:r>
      <w:r w:rsidR="00225E72" w:rsidRPr="00343F66">
        <w:rPr>
          <w:lang w:val="es-ES_tradnl"/>
        </w:rPr>
        <w:t xml:space="preserve"> </w:t>
      </w:r>
      <w:r w:rsidR="00BC31BD" w:rsidRPr="00343F66">
        <w:rPr>
          <w:lang w:val="es-ES_tradnl"/>
        </w:rPr>
        <w:t>La conversión puede ser necesaria para la publicación o el intercambio de datos, por ejemplo, cuando una OPI acepta formatos no recomendados por la presente Norma.</w:t>
      </w:r>
      <w:r w:rsidR="00225E72" w:rsidRPr="00343F66">
        <w:rPr>
          <w:lang w:val="es-ES_tradnl"/>
        </w:rPr>
        <w:t xml:space="preserve"> </w:t>
      </w:r>
      <w:r w:rsidR="00BC31BD" w:rsidRPr="00343F66">
        <w:rPr>
          <w:lang w:val="es-ES_tradnl"/>
        </w:rPr>
        <w:t>En esos casos, las OPI deberían comprobar que el formato convertido reproduzca fielmente las características pertinentes del formato original.</w:t>
      </w:r>
      <w:r w:rsidR="00225E72" w:rsidRPr="00343F66">
        <w:rPr>
          <w:lang w:val="es-ES_tradnl"/>
        </w:rPr>
        <w:t xml:space="preserve"> </w:t>
      </w:r>
      <w:r w:rsidR="00BC31BD" w:rsidRPr="00343F66">
        <w:rPr>
          <w:lang w:val="es-ES_tradnl"/>
        </w:rPr>
        <w:t xml:space="preserve">Las </w:t>
      </w:r>
      <w:r w:rsidR="008E1232" w:rsidRPr="00343F66">
        <w:rPr>
          <w:lang w:val="es-ES_tradnl"/>
        </w:rPr>
        <w:t xml:space="preserve">OPI </w:t>
      </w:r>
      <w:r w:rsidR="00BC31BD" w:rsidRPr="00343F66">
        <w:rPr>
          <w:lang w:val="es-ES_tradnl"/>
        </w:rPr>
        <w:t>deberían conservar los ficheros multimedia presentados inicialmente durante la vigencia del derecho de PI.</w:t>
      </w:r>
      <w:r w:rsidR="00225E72" w:rsidRPr="00343F66">
        <w:rPr>
          <w:lang w:val="es-ES_tradnl"/>
        </w:rPr>
        <w:t xml:space="preserve"> </w:t>
      </w:r>
      <w:r w:rsidR="008E2AA1" w:rsidRPr="00343F66">
        <w:rPr>
          <w:lang w:val="es-ES_tradnl"/>
        </w:rPr>
        <w:t>Si se realizan conversiones de formato para la publicación o el intercambio de datos, el formato original también debería estar disponible en línea o previa solicitud.</w:t>
      </w:r>
    </w:p>
    <w:p w14:paraId="5EB48563" w14:textId="77777777" w:rsidR="00225E72" w:rsidRPr="00343F66" w:rsidRDefault="004F3C49" w:rsidP="008E2AA1">
      <w:pPr>
        <w:pStyle w:val="List0"/>
        <w:tabs>
          <w:tab w:val="left" w:pos="567"/>
        </w:tabs>
        <w:rPr>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8E2AA1" w:rsidRPr="00343F66">
        <w:rPr>
          <w:szCs w:val="22"/>
          <w:lang w:val="es-ES_tradnl"/>
        </w:rPr>
        <w:t>Los archivos multimedia no deberían superar los 20 MB de tamaño.</w:t>
      </w:r>
    </w:p>
    <w:p w14:paraId="6E160583" w14:textId="77777777" w:rsidR="00225E72" w:rsidRPr="00343F66" w:rsidRDefault="008E2AA1" w:rsidP="008E2AA1">
      <w:pPr>
        <w:pStyle w:val="Heading2"/>
        <w:keepLines/>
        <w:rPr>
          <w:rFonts w:eastAsia="Times New Roman" w:cs="Times New Roman"/>
          <w:bCs w:val="0"/>
          <w:iCs w:val="0"/>
          <w:sz w:val="17"/>
          <w:szCs w:val="20"/>
          <w:lang w:val="es-ES_tradnl"/>
        </w:rPr>
      </w:pPr>
      <w:bookmarkStart w:id="20" w:name="_Toc49176380"/>
      <w:r w:rsidRPr="00343F66">
        <w:rPr>
          <w:rFonts w:eastAsia="Times New Roman" w:cs="Times New Roman"/>
          <w:bCs w:val="0"/>
          <w:iCs w:val="0"/>
          <w:sz w:val="17"/>
          <w:szCs w:val="20"/>
          <w:lang w:val="es-ES_tradnl"/>
        </w:rPr>
        <w:t>RECOMENDACIONES PARA LA DESCRIPCIÓN TEXTUAL DE LAS MARCAS ANIMADAS O MULTIMEDIA</w:t>
      </w:r>
      <w:bookmarkEnd w:id="20"/>
    </w:p>
    <w:p w14:paraId="3914D102" w14:textId="77777777" w:rsidR="00225E72" w:rsidRPr="00343F66" w:rsidRDefault="004F3C49" w:rsidP="0089340D">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89340D" w:rsidRPr="00343F66">
        <w:rPr>
          <w:szCs w:val="22"/>
          <w:lang w:val="es-ES_tradnl"/>
        </w:rPr>
        <w:t>La descripción textual del movimiento o los elementos multimedia que constituyan la marca no debería ser la única representación de la marca animada o multimedia; sin embargo, si la legislación nacional lo permite, puede complementar la otra forma de representación aceptada.</w:t>
      </w:r>
    </w:p>
    <w:p w14:paraId="024F068C" w14:textId="77777777" w:rsidR="00225E72" w:rsidRPr="00343F66" w:rsidRDefault="004F3C49" w:rsidP="0089340D">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89340D" w:rsidRPr="00343F66">
        <w:rPr>
          <w:szCs w:val="22"/>
          <w:lang w:val="es-ES_tradnl"/>
        </w:rPr>
        <w:t>La descripción textual de la marca animada puede contener la descripción del orden cronológico de las imágenes (véase el párrafo 11.b) anterior), la duración, la dirección o direcciones y la frecuencia del movimiento, así como cualquier otra característica de la marca animada que el solicitante desee especificar.</w:t>
      </w:r>
    </w:p>
    <w:p w14:paraId="19AEC962" w14:textId="5159FE40" w:rsidR="00225E72" w:rsidRPr="00343F66" w:rsidRDefault="004F3C49" w:rsidP="0089340D">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89340D" w:rsidRPr="00343F66">
        <w:rPr>
          <w:szCs w:val="22"/>
          <w:lang w:val="es-ES_tradnl"/>
        </w:rPr>
        <w:t xml:space="preserve">La descripción textual del sonido debería atenerse a las recomendaciones pertinentes sobre las marcas sonoras que figuran en la </w:t>
      </w:r>
      <w:hyperlink r:id="rId10" w:history="1">
        <w:r w:rsidR="0075231A" w:rsidRPr="0075231A">
          <w:rPr>
            <w:rStyle w:val="Hyperlink"/>
            <w:szCs w:val="22"/>
            <w:lang w:val="es-ES_tradnl"/>
          </w:rPr>
          <w:t>Norma ST.68 de la OMPI</w:t>
        </w:r>
      </w:hyperlink>
      <w:r w:rsidR="0089340D" w:rsidRPr="00343F66">
        <w:rPr>
          <w:szCs w:val="22"/>
          <w:lang w:val="es-ES_tradnl"/>
        </w:rPr>
        <w:t xml:space="preserve"> (véanse sus párrafos 17 y 18).</w:t>
      </w:r>
    </w:p>
    <w:p w14:paraId="308C367B" w14:textId="77777777" w:rsidR="00225E72" w:rsidRPr="00343F66" w:rsidRDefault="0089340D" w:rsidP="0089340D">
      <w:pPr>
        <w:pStyle w:val="Heading2"/>
        <w:keepLines/>
        <w:rPr>
          <w:rFonts w:eastAsia="Times New Roman" w:cs="Times New Roman"/>
          <w:bCs w:val="0"/>
          <w:iCs w:val="0"/>
          <w:sz w:val="17"/>
          <w:szCs w:val="20"/>
          <w:lang w:val="es-ES_tradnl"/>
        </w:rPr>
      </w:pPr>
      <w:bookmarkStart w:id="21" w:name="_Toc49176381"/>
      <w:r w:rsidRPr="00343F66">
        <w:rPr>
          <w:rFonts w:eastAsia="Times New Roman" w:cs="Times New Roman"/>
          <w:bCs w:val="0"/>
          <w:iCs w:val="0"/>
          <w:sz w:val="17"/>
          <w:szCs w:val="20"/>
          <w:lang w:val="es-ES_tradnl"/>
        </w:rPr>
        <w:t>RECOMENDACIONES PARA LA PUBLICACIÓN DE MARCAS ANIMADAS O MULTIMEDIA</w:t>
      </w:r>
      <w:bookmarkEnd w:id="21"/>
    </w:p>
    <w:p w14:paraId="05D4D7D9" w14:textId="77777777" w:rsidR="00225E72" w:rsidRPr="00343F66" w:rsidRDefault="004F3C49" w:rsidP="0089340D">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89340D" w:rsidRPr="00343F66">
        <w:rPr>
          <w:szCs w:val="22"/>
          <w:lang w:val="es-ES_tradnl"/>
        </w:rPr>
        <w:t>Se recomienda que la publicación electrónica de una marca animada o multimedia contenga todas las representaciones de la marca aceptadas por la OPI.</w:t>
      </w:r>
    </w:p>
    <w:p w14:paraId="5009F6BE" w14:textId="77777777" w:rsidR="00225E72" w:rsidRPr="00343F66" w:rsidRDefault="004F3C49" w:rsidP="00225E72">
      <w:pPr>
        <w:pStyle w:val="List0"/>
        <w:tabs>
          <w:tab w:val="left" w:pos="567"/>
        </w:tabs>
        <w:spacing w:after="200"/>
        <w:rPr>
          <w:szCs w:val="22"/>
          <w:lang w:val="es-ES_tradnl"/>
        </w:rPr>
      </w:pPr>
      <w:r w:rsidRPr="00343F66">
        <w:rPr>
          <w:szCs w:val="22"/>
          <w:lang w:val="es-ES_tradnl"/>
        </w:rPr>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225E72" w:rsidRPr="00343F66">
        <w:rPr>
          <w:szCs w:val="22"/>
          <w:lang w:val="es-ES_tradnl"/>
        </w:rPr>
        <w:t>Se recomienda que la publicación física (en papel) contenga una representación gráfica y/o una descripción textual del movimiento o los elementos multimedia, si son aceptados por la OPI, y, en caso de ser aceptada, una referencia de acceso público a la grabación del movimiento o los elementos multimedia.</w:t>
      </w:r>
    </w:p>
    <w:p w14:paraId="3634727F" w14:textId="4CA7F8F9" w:rsidR="00225E72" w:rsidRPr="00343F66" w:rsidRDefault="004F3C49" w:rsidP="00225E72">
      <w:pPr>
        <w:pStyle w:val="List0"/>
        <w:tabs>
          <w:tab w:val="left" w:pos="567"/>
        </w:tabs>
        <w:spacing w:after="200"/>
        <w:rPr>
          <w:szCs w:val="22"/>
          <w:lang w:val="es-ES_tradnl"/>
        </w:rPr>
      </w:pPr>
      <w:r w:rsidRPr="00343F66">
        <w:rPr>
          <w:szCs w:val="22"/>
          <w:lang w:val="es-ES_tradnl"/>
        </w:rPr>
        <w:lastRenderedPageBreak/>
        <w:fldChar w:fldCharType="begin"/>
      </w:r>
      <w:r w:rsidRPr="00343F66">
        <w:rPr>
          <w:szCs w:val="22"/>
          <w:lang w:val="es-ES_tradnl"/>
        </w:rPr>
        <w:instrText xml:space="preserve"> AUTONUM  </w:instrText>
      </w:r>
      <w:r w:rsidRPr="00343F66">
        <w:rPr>
          <w:szCs w:val="22"/>
          <w:lang w:val="es-ES_tradnl"/>
        </w:rPr>
        <w:fldChar w:fldCharType="end"/>
      </w:r>
      <w:r w:rsidRPr="00343F66">
        <w:rPr>
          <w:szCs w:val="22"/>
          <w:lang w:val="es-ES_tradnl"/>
        </w:rPr>
        <w:tab/>
      </w:r>
      <w:r w:rsidR="00225E72" w:rsidRPr="00343F66">
        <w:rPr>
          <w:szCs w:val="22"/>
          <w:lang w:val="es-ES_tradnl"/>
        </w:rPr>
        <w:t>La publicación de los ficheros multimedia debería hacerse en uno de los formatos preferidos o alternativos indicados anteriormente. Se recomienda que las OPI no conviertan los ficheros multimedia a un formato diferente, ya que ello puede generar errores o elementos extraños o reducir la calidad.</w:t>
      </w:r>
      <w:r w:rsidR="00360E90" w:rsidRPr="00343F66">
        <w:rPr>
          <w:szCs w:val="22"/>
          <w:lang w:val="es-ES_tradnl"/>
        </w:rPr>
        <w:t xml:space="preserve"> </w:t>
      </w:r>
      <w:r w:rsidR="00225E72" w:rsidRPr="00343F66">
        <w:rPr>
          <w:szCs w:val="22"/>
          <w:lang w:val="es-ES_tradnl"/>
        </w:rPr>
        <w:t>Si se realiza alguna conversión, el fichero original también debería estar disponible. Por ejemplo, las conversiones podrían ser necesarias si una OPI aceptase ficheros en formatos distintos de los formatos preferidos o alternativos que se recomiendan en la presente Norma.</w:t>
      </w:r>
    </w:p>
    <w:p w14:paraId="0A476A08" w14:textId="067FA3C8" w:rsidR="0075231A" w:rsidRDefault="0075231A" w:rsidP="00225E72">
      <w:pPr>
        <w:ind w:left="5529"/>
        <w:rPr>
          <w:rFonts w:eastAsia="Malgun Gothic"/>
          <w:bCs/>
          <w:sz w:val="17"/>
          <w:szCs w:val="17"/>
          <w:lang w:val="es-ES_tradnl"/>
        </w:rPr>
      </w:pPr>
      <w:r>
        <w:rPr>
          <w:rFonts w:eastAsia="Malgun Gothic"/>
          <w:bCs/>
          <w:sz w:val="17"/>
          <w:szCs w:val="17"/>
          <w:lang w:val="es-ES_tradnl"/>
        </w:rPr>
        <w:t>[Fin de la Norma]</w:t>
      </w:r>
    </w:p>
    <w:p w14:paraId="69BAE5E7" w14:textId="20E40E62" w:rsidR="0075231A" w:rsidRDefault="0075231A" w:rsidP="00225E72">
      <w:pPr>
        <w:ind w:left="5529"/>
        <w:rPr>
          <w:rFonts w:eastAsia="Malgun Gothic"/>
          <w:bCs/>
          <w:sz w:val="17"/>
          <w:szCs w:val="17"/>
          <w:lang w:val="es-ES_tradnl"/>
        </w:rPr>
      </w:pPr>
    </w:p>
    <w:p w14:paraId="680894A6" w14:textId="77777777" w:rsidR="0075231A" w:rsidRDefault="0075231A" w:rsidP="00225E72">
      <w:pPr>
        <w:ind w:left="5529"/>
        <w:rPr>
          <w:rFonts w:eastAsia="Malgun Gothic"/>
          <w:bCs/>
          <w:sz w:val="17"/>
          <w:szCs w:val="17"/>
          <w:lang w:val="es-ES_tradnl"/>
        </w:rPr>
      </w:pPr>
    </w:p>
    <w:p w14:paraId="5BA02BB5" w14:textId="540621B1" w:rsidR="009D1436" w:rsidRPr="00343F66" w:rsidRDefault="00225E72" w:rsidP="00225E72">
      <w:pPr>
        <w:ind w:left="5529"/>
        <w:rPr>
          <w:rFonts w:eastAsia="Malgun Gothic"/>
          <w:bCs/>
          <w:sz w:val="17"/>
          <w:szCs w:val="17"/>
          <w:lang w:val="es-ES_tradnl"/>
        </w:rPr>
      </w:pPr>
      <w:r w:rsidRPr="00343F66">
        <w:rPr>
          <w:rFonts w:eastAsia="Malgun Gothic"/>
          <w:bCs/>
          <w:sz w:val="17"/>
          <w:szCs w:val="17"/>
          <w:lang w:val="es-ES_tradnl"/>
        </w:rPr>
        <w:t>[Fin del Anexo y del documento]</w:t>
      </w:r>
    </w:p>
    <w:sectPr w:rsidR="009D1436" w:rsidRPr="00343F66" w:rsidSect="00C41C01">
      <w:headerReference w:type="even" r:id="rId11"/>
      <w:headerReference w:type="default" r:id="rId12"/>
      <w:footerReference w:type="even" r:id="rId13"/>
      <w:headerReference w:type="first" r:id="rId14"/>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E33D" w14:textId="77777777" w:rsidR="009B3F7E" w:rsidRDefault="009B3F7E" w:rsidP="009B3F7E">
      <w:r>
        <w:separator/>
      </w:r>
    </w:p>
  </w:endnote>
  <w:endnote w:type="continuationSeparator" w:id="0">
    <w:p w14:paraId="0C6617A5" w14:textId="77777777" w:rsidR="009B3F7E" w:rsidRDefault="009B3F7E" w:rsidP="009B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53F03" w14:textId="77777777" w:rsidR="009B3F7E" w:rsidRDefault="009B3F7E" w:rsidP="009B3F7E">
    <w:pPr>
      <w:pStyle w:val="Footer"/>
    </w:pPr>
  </w:p>
  <w:p w14:paraId="7B4EFEFF" w14:textId="77777777" w:rsidR="009B3F7E" w:rsidRDefault="009B3F7E" w:rsidP="009B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9B4F5" w14:textId="77777777" w:rsidR="009B3F7E" w:rsidRDefault="009B3F7E" w:rsidP="009B3F7E">
      <w:r>
        <w:separator/>
      </w:r>
    </w:p>
  </w:footnote>
  <w:footnote w:type="continuationSeparator" w:id="0">
    <w:p w14:paraId="12B7B214" w14:textId="77777777" w:rsidR="009B3F7E" w:rsidRDefault="009B3F7E" w:rsidP="009B3F7E">
      <w:r>
        <w:continuationSeparator/>
      </w:r>
    </w:p>
  </w:footnote>
  <w:footnote w:id="1">
    <w:p w14:paraId="55E78889" w14:textId="024847E5" w:rsidR="00220C38" w:rsidRPr="00843006" w:rsidRDefault="00220C38" w:rsidP="00220C38">
      <w:pPr>
        <w:pStyle w:val="FootnoteText"/>
        <w:rPr>
          <w:sz w:val="16"/>
          <w:szCs w:val="16"/>
          <w:lang w:val="es-ES_tradnl"/>
        </w:rPr>
      </w:pPr>
      <w:r w:rsidRPr="00843006">
        <w:rPr>
          <w:rStyle w:val="FootnoteReference"/>
          <w:sz w:val="16"/>
          <w:szCs w:val="16"/>
          <w:lang w:val="es-ES_tradnl"/>
        </w:rPr>
        <w:footnoteRef/>
      </w:r>
      <w:r w:rsidRPr="00843006">
        <w:rPr>
          <w:sz w:val="16"/>
          <w:szCs w:val="16"/>
          <w:lang w:val="es-ES_tradnl"/>
        </w:rPr>
        <w:t xml:space="preserve"> Los formatos recomendados pueden actualizarse en el futuro a medida que cambien las condiciones.</w:t>
      </w:r>
    </w:p>
  </w:footnote>
  <w:footnote w:id="2">
    <w:p w14:paraId="39E06496" w14:textId="12923854" w:rsidR="00220C38" w:rsidRPr="00843006" w:rsidRDefault="00220C38" w:rsidP="00220C38">
      <w:pPr>
        <w:pStyle w:val="FootnoteText"/>
        <w:rPr>
          <w:sz w:val="16"/>
          <w:szCs w:val="16"/>
          <w:lang w:val="es-ES_tradnl"/>
        </w:rPr>
      </w:pPr>
      <w:r w:rsidRPr="00843006">
        <w:rPr>
          <w:rStyle w:val="FootnoteReference"/>
          <w:sz w:val="16"/>
          <w:szCs w:val="16"/>
          <w:lang w:val="es-ES_tradnl"/>
        </w:rPr>
        <w:footnoteRef/>
      </w:r>
      <w:r w:rsidRPr="00843006">
        <w:rPr>
          <w:sz w:val="16"/>
          <w:szCs w:val="16"/>
          <w:lang w:val="es-ES_tradnl"/>
        </w:rPr>
        <w:t xml:space="preserve"> Estos formatos son las normas ISO más utilizadas en los equipos y programas informáticos.</w:t>
      </w:r>
      <w:r w:rsidR="00225E72" w:rsidRPr="00843006">
        <w:rPr>
          <w:sz w:val="16"/>
          <w:szCs w:val="16"/>
          <w:lang w:val="es-ES_tradnl"/>
        </w:rPr>
        <w:t xml:space="preserve"> </w:t>
      </w:r>
      <w:r w:rsidRPr="00843006">
        <w:rPr>
          <w:sz w:val="16"/>
          <w:szCs w:val="16"/>
          <w:lang w:val="es-ES_tradnl"/>
        </w:rPr>
        <w:t>Existen conocidos consorcios de patentes que amparan estos formatos de la Administración de Licencias MPEG, incluso para la reproducción de vídeo, si bien actualmente las plataformas comunes como Windows, Mac OS, Android e iOS incluyen licencias de reproducción.</w:t>
      </w:r>
    </w:p>
  </w:footnote>
  <w:footnote w:id="3">
    <w:p w14:paraId="11360CF2" w14:textId="16A6BA33" w:rsidR="00220C38" w:rsidRPr="00843006" w:rsidRDefault="00220C38" w:rsidP="00220C38">
      <w:pPr>
        <w:pStyle w:val="FootnoteText"/>
        <w:rPr>
          <w:sz w:val="16"/>
          <w:szCs w:val="16"/>
          <w:lang w:val="es-ES_tradnl"/>
        </w:rPr>
      </w:pPr>
      <w:r w:rsidRPr="00843006">
        <w:rPr>
          <w:rStyle w:val="FootnoteReference"/>
          <w:sz w:val="16"/>
          <w:szCs w:val="16"/>
          <w:lang w:val="es-ES_tradnl"/>
        </w:rPr>
        <w:footnoteRef/>
      </w:r>
      <w:r w:rsidRPr="00843006">
        <w:rPr>
          <w:sz w:val="16"/>
          <w:szCs w:val="16"/>
          <w:lang w:val="es-ES_tradnl"/>
        </w:rPr>
        <w:t xml:space="preserve"> WebM es compatible con la mayoría de navegadores web, aunque algunas plataformas pueden requerir la instalación de un programa para poder reproducir vídeo.</w:t>
      </w:r>
    </w:p>
  </w:footnote>
  <w:footnote w:id="4">
    <w:p w14:paraId="549CEFD2" w14:textId="3B730830" w:rsidR="00220C38" w:rsidRPr="00843006" w:rsidRDefault="00220C38" w:rsidP="005104B5">
      <w:pPr>
        <w:pStyle w:val="FootnoteText"/>
        <w:rPr>
          <w:sz w:val="16"/>
          <w:szCs w:val="16"/>
          <w:lang w:val="es-ES_tradnl"/>
        </w:rPr>
      </w:pPr>
      <w:r w:rsidRPr="00843006">
        <w:rPr>
          <w:rStyle w:val="FootnoteReference"/>
          <w:sz w:val="16"/>
          <w:szCs w:val="16"/>
          <w:lang w:val="es-ES_tradnl"/>
        </w:rPr>
        <w:footnoteRef/>
      </w:r>
      <w:r w:rsidRPr="00843006">
        <w:rPr>
          <w:sz w:val="16"/>
          <w:szCs w:val="16"/>
          <w:lang w:val="es-ES_tradnl"/>
        </w:rPr>
        <w:t xml:space="preserve"> El uso de estos códecs, compatibles con la mayoría de navegadores web, está exento de regalías.</w:t>
      </w:r>
      <w:r w:rsidR="00225E72" w:rsidRPr="00843006">
        <w:rPr>
          <w:sz w:val="16"/>
          <w:szCs w:val="16"/>
          <w:lang w:val="es-ES_tradnl"/>
        </w:rPr>
        <w:t xml:space="preserve"> </w:t>
      </w:r>
      <w:r w:rsidR="005104B5" w:rsidRPr="00843006">
        <w:rPr>
          <w:sz w:val="16"/>
          <w:szCs w:val="16"/>
          <w:lang w:val="es-ES_tradnl"/>
        </w:rPr>
        <w:t>Ambos códecs también son compatibles con los contenedores MP4.</w:t>
      </w:r>
      <w:r w:rsidRPr="00843006">
        <w:rPr>
          <w:sz w:val="16"/>
          <w:szCs w:val="16"/>
          <w:lang w:val="es-ES_tradnl"/>
        </w:rPr>
        <w:t xml:space="preserve"> </w:t>
      </w:r>
      <w:r w:rsidR="005104B5" w:rsidRPr="00843006">
        <w:rPr>
          <w:sz w:val="16"/>
          <w:szCs w:val="16"/>
          <w:lang w:val="es-ES_tradnl"/>
        </w:rPr>
        <w:t>Actualmente el uso del sistema AV1 en el sector parece limitado, si bien las principales plataformas tienen previsto adoptarlo en un futuro próximo.</w:t>
      </w:r>
    </w:p>
  </w:footnote>
  <w:footnote w:id="5">
    <w:p w14:paraId="42F7B2BA" w14:textId="32EE07A9" w:rsidR="005104B5" w:rsidRPr="00843006" w:rsidRDefault="005104B5" w:rsidP="005104B5">
      <w:pPr>
        <w:pStyle w:val="FootnoteText"/>
        <w:rPr>
          <w:sz w:val="16"/>
          <w:szCs w:val="16"/>
          <w:lang w:val="es-ES_tradnl"/>
        </w:rPr>
      </w:pPr>
      <w:r w:rsidRPr="00843006">
        <w:rPr>
          <w:rStyle w:val="FootnoteReference"/>
          <w:sz w:val="16"/>
          <w:szCs w:val="16"/>
          <w:lang w:val="es-ES_tradnl"/>
        </w:rPr>
        <w:footnoteRef/>
      </w:r>
      <w:r w:rsidRPr="00843006">
        <w:rPr>
          <w:sz w:val="16"/>
          <w:szCs w:val="16"/>
          <w:lang w:val="es-ES_tradnl"/>
        </w:rPr>
        <w:t xml:space="preserve"> Superado por los nuevos formatos y no admitido en los contenedores MP4.</w:t>
      </w:r>
    </w:p>
  </w:footnote>
  <w:footnote w:id="6">
    <w:p w14:paraId="7B46F1BB" w14:textId="7822E6F2" w:rsidR="005104B5" w:rsidRPr="00843006" w:rsidRDefault="005104B5" w:rsidP="005104B5">
      <w:pPr>
        <w:pStyle w:val="FootnoteText"/>
        <w:rPr>
          <w:sz w:val="16"/>
          <w:szCs w:val="16"/>
          <w:lang w:val="es-ES_tradnl"/>
        </w:rPr>
      </w:pPr>
      <w:r w:rsidRPr="00843006">
        <w:rPr>
          <w:rStyle w:val="FootnoteReference"/>
          <w:sz w:val="16"/>
          <w:szCs w:val="16"/>
          <w:lang w:val="es-ES_tradnl"/>
        </w:rPr>
        <w:footnoteRef/>
      </w:r>
      <w:r w:rsidRPr="00843006">
        <w:rPr>
          <w:sz w:val="16"/>
          <w:szCs w:val="16"/>
          <w:lang w:val="es-ES_tradnl"/>
        </w:rPr>
        <w:t xml:space="preserve"> Superado por VP9 y no admitido en los contenedores MP4.</w:t>
      </w:r>
    </w:p>
  </w:footnote>
  <w:footnote w:id="7">
    <w:p w14:paraId="7791AB1D" w14:textId="1976DCD0" w:rsidR="005104B5" w:rsidRPr="00843006" w:rsidRDefault="005104B5" w:rsidP="005104B5">
      <w:pPr>
        <w:pStyle w:val="FootnoteText"/>
        <w:rPr>
          <w:sz w:val="16"/>
          <w:szCs w:val="16"/>
          <w:lang w:val="es-ES_tradnl"/>
        </w:rPr>
      </w:pPr>
      <w:r w:rsidRPr="00843006">
        <w:rPr>
          <w:rStyle w:val="FootnoteReference"/>
          <w:sz w:val="16"/>
          <w:szCs w:val="16"/>
          <w:lang w:val="es-ES_tradnl"/>
        </w:rPr>
        <w:footnoteRef/>
      </w:r>
      <w:r w:rsidRPr="00843006">
        <w:rPr>
          <w:sz w:val="16"/>
          <w:szCs w:val="16"/>
          <w:lang w:val="es-ES_tradnl"/>
        </w:rPr>
        <w:t xml:space="preserve"> Actualmente no cuenta con un amplio apoyo y está incluido en varios consorcios de patentes que compiten entre sí.</w:t>
      </w:r>
    </w:p>
  </w:footnote>
  <w:footnote w:id="8">
    <w:p w14:paraId="3DAD837A" w14:textId="4D537FC4" w:rsidR="00BC31BD" w:rsidRPr="00843006" w:rsidRDefault="00BC31BD" w:rsidP="00BC31BD">
      <w:pPr>
        <w:pStyle w:val="FootnoteText"/>
        <w:rPr>
          <w:sz w:val="16"/>
          <w:szCs w:val="16"/>
          <w:lang w:val="es-ES_tradnl"/>
        </w:rPr>
      </w:pPr>
      <w:r w:rsidRPr="00843006">
        <w:rPr>
          <w:rStyle w:val="FootnoteReference"/>
          <w:sz w:val="16"/>
          <w:szCs w:val="16"/>
          <w:lang w:val="es-ES_tradnl"/>
        </w:rPr>
        <w:footnoteRef/>
      </w:r>
      <w:r w:rsidRPr="00843006">
        <w:rPr>
          <w:sz w:val="16"/>
          <w:szCs w:val="16"/>
          <w:lang w:val="es-ES_tradnl"/>
        </w:rPr>
        <w:t xml:space="preserve"> Corresponde a la Oficina rechazar toda la solicitud o aceptarla y requerir al solicitante que reemplace los ficheros rechazados.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3EA6B" w14:textId="0A367CE5" w:rsidR="00C41C01" w:rsidRPr="00843006" w:rsidRDefault="00C41C01" w:rsidP="00843006">
    <w:pPr>
      <w:pStyle w:val="Header"/>
      <w:jc w:val="right"/>
      <w:rPr>
        <w:noProof/>
        <w:szCs w:val="22"/>
        <w:lang w:val="es-ES_tradnl" w:eastAsia="zh-CN"/>
      </w:rPr>
    </w:pPr>
    <w:r w:rsidRPr="00843006">
      <w:rPr>
        <w:noProof/>
        <w:szCs w:val="22"/>
        <w:lang w:val="es-ES_tradnl" w:eastAsia="zh-CN"/>
      </w:rPr>
      <w:t>C</w:t>
    </w:r>
    <w:r w:rsidR="00012640" w:rsidRPr="00843006">
      <w:rPr>
        <w:noProof/>
        <w:szCs w:val="22"/>
        <w:lang w:val="es-ES_tradnl" w:eastAsia="zh-CN"/>
      </w:rPr>
      <w:t>WS/8/3</w:t>
    </w:r>
  </w:p>
  <w:p w14:paraId="223BC85E" w14:textId="18884066" w:rsidR="00225E72" w:rsidRPr="00843006" w:rsidRDefault="00225E72" w:rsidP="00843006">
    <w:pPr>
      <w:pStyle w:val="Header"/>
      <w:jc w:val="right"/>
      <w:rPr>
        <w:noProof/>
        <w:szCs w:val="22"/>
        <w:lang w:val="es-ES_tradnl"/>
      </w:rPr>
    </w:pPr>
    <w:r w:rsidRPr="00843006">
      <w:rPr>
        <w:szCs w:val="22"/>
        <w:lang w:val="es-ES_tradnl"/>
      </w:rPr>
      <w:t xml:space="preserve">Anexo, página </w:t>
    </w:r>
    <w:r w:rsidRPr="00843006">
      <w:rPr>
        <w:szCs w:val="22"/>
        <w:lang w:val="es-ES_tradnl"/>
      </w:rPr>
      <w:fldChar w:fldCharType="begin"/>
    </w:r>
    <w:r w:rsidRPr="00843006">
      <w:rPr>
        <w:szCs w:val="22"/>
        <w:lang w:val="es-ES_tradnl"/>
      </w:rPr>
      <w:instrText xml:space="preserve"> PAGE   \* MERGEFORMAT </w:instrText>
    </w:r>
    <w:r w:rsidRPr="00843006">
      <w:rPr>
        <w:szCs w:val="22"/>
        <w:lang w:val="es-ES_tradnl"/>
      </w:rPr>
      <w:fldChar w:fldCharType="separate"/>
    </w:r>
    <w:r w:rsidR="00E03B36">
      <w:rPr>
        <w:noProof/>
        <w:szCs w:val="22"/>
        <w:lang w:val="es-ES_tradnl"/>
      </w:rPr>
      <w:t>4</w:t>
    </w:r>
    <w:r w:rsidRPr="00843006">
      <w:rPr>
        <w:noProof/>
        <w:szCs w:val="22"/>
        <w:lang w:val="es-ES_tradnl"/>
      </w:rPr>
      <w:fldChar w:fldCharType="end"/>
    </w:r>
  </w:p>
  <w:p w14:paraId="6C6EA7D1" w14:textId="24087F9A" w:rsidR="009B3F7E" w:rsidRPr="00843006" w:rsidRDefault="009B3F7E" w:rsidP="00843006">
    <w:pPr>
      <w:pStyle w:val="Heade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722F4" w14:textId="10C41863" w:rsidR="00C41C01" w:rsidRPr="00DB50E6" w:rsidRDefault="00C41C01" w:rsidP="00D30FE5">
    <w:pPr>
      <w:pStyle w:val="Header"/>
      <w:jc w:val="right"/>
      <w:rPr>
        <w:szCs w:val="22"/>
        <w:lang w:val="fr-FR"/>
      </w:rPr>
    </w:pPr>
    <w:r w:rsidRPr="00DB50E6">
      <w:rPr>
        <w:szCs w:val="22"/>
        <w:lang w:val="fr-FR"/>
      </w:rPr>
      <w:t>C</w:t>
    </w:r>
    <w:r w:rsidR="00D30FE5">
      <w:rPr>
        <w:szCs w:val="22"/>
        <w:lang w:val="fr-FR"/>
      </w:rPr>
      <w:t>WS/8/3</w:t>
    </w:r>
  </w:p>
  <w:p w14:paraId="50D2AA01" w14:textId="39E1D18E" w:rsidR="00225E72" w:rsidRPr="00DB50E6" w:rsidRDefault="00225E72" w:rsidP="00225E72">
    <w:pPr>
      <w:pStyle w:val="Header"/>
      <w:jc w:val="right"/>
      <w:rPr>
        <w:noProof/>
        <w:szCs w:val="22"/>
        <w:lang w:val="de-CH"/>
      </w:rPr>
    </w:pPr>
    <w:r w:rsidRPr="00DB50E6">
      <w:rPr>
        <w:szCs w:val="22"/>
        <w:lang w:val="de-CH"/>
      </w:rPr>
      <w:t>Anex</w:t>
    </w:r>
    <w:r>
      <w:rPr>
        <w:szCs w:val="22"/>
        <w:lang w:val="de-CH"/>
      </w:rPr>
      <w:t>o</w:t>
    </w:r>
    <w:r w:rsidRPr="00DB50E6">
      <w:rPr>
        <w:szCs w:val="22"/>
        <w:lang w:val="de-CH"/>
      </w:rPr>
      <w:t>, p</w:t>
    </w:r>
    <w:r>
      <w:rPr>
        <w:szCs w:val="22"/>
        <w:lang w:val="de-CH"/>
      </w:rPr>
      <w:t>ágina</w:t>
    </w:r>
    <w:r w:rsidRPr="00DB50E6">
      <w:rPr>
        <w:szCs w:val="22"/>
        <w:lang w:val="de-CH"/>
      </w:rPr>
      <w:t xml:space="preserv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E03B36">
      <w:rPr>
        <w:noProof/>
        <w:szCs w:val="22"/>
        <w:lang w:val="de-CH"/>
      </w:rPr>
      <w:t>5</w:t>
    </w:r>
    <w:r w:rsidRPr="00DB50E6">
      <w:rPr>
        <w:noProof/>
        <w:szCs w:val="22"/>
      </w:rPr>
      <w:fldChar w:fldCharType="end"/>
    </w:r>
  </w:p>
  <w:p w14:paraId="0BF6C52F" w14:textId="739C87EA" w:rsidR="00A0541F" w:rsidRPr="00C41C01" w:rsidRDefault="00A0541F" w:rsidP="00C41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E124" w14:textId="5DBB479B" w:rsidR="009B3F7E" w:rsidRPr="00DB50E6" w:rsidRDefault="00C41C01" w:rsidP="00D30FE5">
    <w:pPr>
      <w:pStyle w:val="Header"/>
      <w:jc w:val="right"/>
      <w:rPr>
        <w:szCs w:val="22"/>
        <w:lang w:val="fr-FR"/>
      </w:rPr>
    </w:pPr>
    <w:r w:rsidRPr="00DB50E6">
      <w:rPr>
        <w:szCs w:val="22"/>
        <w:lang w:val="fr-FR"/>
      </w:rPr>
      <w:t>CWS/8/3</w:t>
    </w:r>
  </w:p>
  <w:p w14:paraId="4FC50E7E" w14:textId="2B034D5C" w:rsidR="00C41C01" w:rsidRPr="00DB50E6" w:rsidRDefault="00C41C01" w:rsidP="00C41C01">
    <w:pPr>
      <w:pStyle w:val="Header"/>
      <w:jc w:val="right"/>
      <w:rPr>
        <w:szCs w:val="22"/>
        <w:lang w:val="fr-FR"/>
      </w:rPr>
    </w:pPr>
    <w:r w:rsidRPr="00DB50E6">
      <w:rPr>
        <w:szCs w:val="22"/>
        <w:lang w:val="fr-FR"/>
      </w:rPr>
      <w:t>ANEX</w:t>
    </w:r>
    <w:r w:rsidR="00895E0A">
      <w:rPr>
        <w:szCs w:val="22"/>
        <w:lang w:val="fr-FR"/>
      </w:rPr>
      <w: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E65EEA"/>
    <w:multiLevelType w:val="hybridMultilevel"/>
    <w:tmpl w:val="2660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6710549"/>
    <w:multiLevelType w:val="hybridMultilevel"/>
    <w:tmpl w:val="CCDC9CFA"/>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277914D4"/>
    <w:multiLevelType w:val="hybridMultilevel"/>
    <w:tmpl w:val="87F41866"/>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8F53D6"/>
    <w:multiLevelType w:val="hybridMultilevel"/>
    <w:tmpl w:val="08E0FB1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5117E83"/>
    <w:multiLevelType w:val="hybridMultilevel"/>
    <w:tmpl w:val="213C4D9C"/>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602E3A"/>
    <w:multiLevelType w:val="multilevel"/>
    <w:tmpl w:val="3FBA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C25D0A"/>
    <w:multiLevelType w:val="hybridMultilevel"/>
    <w:tmpl w:val="B22E0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427DE"/>
    <w:multiLevelType w:val="hybridMultilevel"/>
    <w:tmpl w:val="C2749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E230A1"/>
    <w:multiLevelType w:val="hybridMultilevel"/>
    <w:tmpl w:val="78FCDCF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68903A96"/>
    <w:multiLevelType w:val="hybridMultilevel"/>
    <w:tmpl w:val="B2E211C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C194983"/>
    <w:multiLevelType w:val="hybridMultilevel"/>
    <w:tmpl w:val="BE5C83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D88441D"/>
    <w:multiLevelType w:val="hybridMultilevel"/>
    <w:tmpl w:val="AA4CAA5A"/>
    <w:lvl w:ilvl="0" w:tplc="04090017">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8" w15:restartNumberingAfterBreak="0">
    <w:nsid w:val="6F8051A6"/>
    <w:multiLevelType w:val="hybridMultilevel"/>
    <w:tmpl w:val="153AB4D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75307E31"/>
    <w:multiLevelType w:val="hybridMultilevel"/>
    <w:tmpl w:val="09183A04"/>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8"/>
  </w:num>
  <w:num w:numId="3">
    <w:abstractNumId w:val="20"/>
  </w:num>
  <w:num w:numId="4">
    <w:abstractNumId w:val="15"/>
  </w:num>
  <w:num w:numId="5">
    <w:abstractNumId w:val="0"/>
  </w:num>
  <w:num w:numId="6">
    <w:abstractNumId w:val="12"/>
  </w:num>
  <w:num w:numId="7">
    <w:abstractNumId w:val="9"/>
  </w:num>
  <w:num w:numId="8">
    <w:abstractNumId w:val="14"/>
  </w:num>
  <w:num w:numId="9">
    <w:abstractNumId w:val="13"/>
  </w:num>
  <w:num w:numId="10">
    <w:abstractNumId w:val="7"/>
  </w:num>
  <w:num w:numId="11">
    <w:abstractNumId w:val="18"/>
  </w:num>
  <w:num w:numId="12">
    <w:abstractNumId w:val="19"/>
  </w:num>
  <w:num w:numId="13">
    <w:abstractNumId w:val="4"/>
  </w:num>
  <w:num w:numId="14">
    <w:abstractNumId w:val="17"/>
  </w:num>
  <w:num w:numId="15">
    <w:abstractNumId w:val="2"/>
  </w:num>
  <w:num w:numId="16">
    <w:abstractNumId w:val="5"/>
  </w:num>
  <w:num w:numId="17">
    <w:abstractNumId w:val="16"/>
  </w:num>
  <w:num w:numId="18">
    <w:abstractNumId w:val="6"/>
  </w:num>
  <w:num w:numId="19">
    <w:abstractNumId w:val="11"/>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Trademarks|TextBase TMs\WorkspaceSTS\Patents &amp; Innovation\Patents Main|Team Server TMs\Spanish|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Treaties &amp; Laws\WIPO Lex"/>
    <w:docVar w:name="TextBaseURL" w:val="empty"/>
    <w:docVar w:name="UILng" w:val="en"/>
  </w:docVars>
  <w:rsids>
    <w:rsidRoot w:val="00D724D8"/>
    <w:rsid w:val="00012640"/>
    <w:rsid w:val="00017060"/>
    <w:rsid w:val="00030A49"/>
    <w:rsid w:val="00045097"/>
    <w:rsid w:val="00047978"/>
    <w:rsid w:val="0005109E"/>
    <w:rsid w:val="000633B6"/>
    <w:rsid w:val="00064574"/>
    <w:rsid w:val="00072485"/>
    <w:rsid w:val="000A6F57"/>
    <w:rsid w:val="000B1433"/>
    <w:rsid w:val="000B7EE6"/>
    <w:rsid w:val="000D1A67"/>
    <w:rsid w:val="000D4D25"/>
    <w:rsid w:val="000E54F0"/>
    <w:rsid w:val="000E5638"/>
    <w:rsid w:val="000E7F45"/>
    <w:rsid w:val="000F3A2D"/>
    <w:rsid w:val="000F5497"/>
    <w:rsid w:val="000F5E56"/>
    <w:rsid w:val="000F6F02"/>
    <w:rsid w:val="001049BF"/>
    <w:rsid w:val="00113F26"/>
    <w:rsid w:val="00125A96"/>
    <w:rsid w:val="00125CA1"/>
    <w:rsid w:val="001361AD"/>
    <w:rsid w:val="00142908"/>
    <w:rsid w:val="00147AEA"/>
    <w:rsid w:val="00152C65"/>
    <w:rsid w:val="00161B51"/>
    <w:rsid w:val="00161FE5"/>
    <w:rsid w:val="00196E54"/>
    <w:rsid w:val="001B0141"/>
    <w:rsid w:val="001D1015"/>
    <w:rsid w:val="001D7618"/>
    <w:rsid w:val="001E77A4"/>
    <w:rsid w:val="001F2E30"/>
    <w:rsid w:val="00214C3A"/>
    <w:rsid w:val="00220C38"/>
    <w:rsid w:val="0022335B"/>
    <w:rsid w:val="00225E72"/>
    <w:rsid w:val="00282208"/>
    <w:rsid w:val="002935B4"/>
    <w:rsid w:val="00294CC6"/>
    <w:rsid w:val="002C2C7F"/>
    <w:rsid w:val="002D3D22"/>
    <w:rsid w:val="002D4835"/>
    <w:rsid w:val="002F3193"/>
    <w:rsid w:val="00300C19"/>
    <w:rsid w:val="00303061"/>
    <w:rsid w:val="00304A82"/>
    <w:rsid w:val="003325DE"/>
    <w:rsid w:val="003332A8"/>
    <w:rsid w:val="00343F66"/>
    <w:rsid w:val="00354ED5"/>
    <w:rsid w:val="003572D2"/>
    <w:rsid w:val="00360E90"/>
    <w:rsid w:val="003771C6"/>
    <w:rsid w:val="00393719"/>
    <w:rsid w:val="003A59F2"/>
    <w:rsid w:val="003A7C1D"/>
    <w:rsid w:val="003C714E"/>
    <w:rsid w:val="003D69A0"/>
    <w:rsid w:val="003E387F"/>
    <w:rsid w:val="003F4BAB"/>
    <w:rsid w:val="003F76B4"/>
    <w:rsid w:val="00412E09"/>
    <w:rsid w:val="00431118"/>
    <w:rsid w:val="00436038"/>
    <w:rsid w:val="0044721D"/>
    <w:rsid w:val="00447733"/>
    <w:rsid w:val="004566F6"/>
    <w:rsid w:val="0045711A"/>
    <w:rsid w:val="004B2405"/>
    <w:rsid w:val="004C4074"/>
    <w:rsid w:val="004E74A6"/>
    <w:rsid w:val="004E77EF"/>
    <w:rsid w:val="004F3C49"/>
    <w:rsid w:val="004F5F11"/>
    <w:rsid w:val="00502E09"/>
    <w:rsid w:val="005104B5"/>
    <w:rsid w:val="00534D5C"/>
    <w:rsid w:val="0055771C"/>
    <w:rsid w:val="00567764"/>
    <w:rsid w:val="00581F88"/>
    <w:rsid w:val="00585A59"/>
    <w:rsid w:val="0059290D"/>
    <w:rsid w:val="005A1BB0"/>
    <w:rsid w:val="005A3F0F"/>
    <w:rsid w:val="005C01AC"/>
    <w:rsid w:val="005D7374"/>
    <w:rsid w:val="005E19EC"/>
    <w:rsid w:val="005F03F9"/>
    <w:rsid w:val="005F4752"/>
    <w:rsid w:val="006044C7"/>
    <w:rsid w:val="00611D7C"/>
    <w:rsid w:val="0062001B"/>
    <w:rsid w:val="00624356"/>
    <w:rsid w:val="0062624C"/>
    <w:rsid w:val="00652303"/>
    <w:rsid w:val="006600CE"/>
    <w:rsid w:val="00671BE3"/>
    <w:rsid w:val="006726E8"/>
    <w:rsid w:val="00680FB4"/>
    <w:rsid w:val="006B552B"/>
    <w:rsid w:val="006D2FFD"/>
    <w:rsid w:val="00701FE5"/>
    <w:rsid w:val="00710099"/>
    <w:rsid w:val="007208B0"/>
    <w:rsid w:val="007362D6"/>
    <w:rsid w:val="0075231A"/>
    <w:rsid w:val="007524C0"/>
    <w:rsid w:val="0076450D"/>
    <w:rsid w:val="00797DA9"/>
    <w:rsid w:val="007B240C"/>
    <w:rsid w:val="007B51F7"/>
    <w:rsid w:val="007C46A1"/>
    <w:rsid w:val="007D53C7"/>
    <w:rsid w:val="007F6D7F"/>
    <w:rsid w:val="00804DB7"/>
    <w:rsid w:val="00824795"/>
    <w:rsid w:val="00843006"/>
    <w:rsid w:val="00867348"/>
    <w:rsid w:val="0089340D"/>
    <w:rsid w:val="00895E0A"/>
    <w:rsid w:val="008B4AA2"/>
    <w:rsid w:val="008C78EE"/>
    <w:rsid w:val="008D7BFA"/>
    <w:rsid w:val="008D7E21"/>
    <w:rsid w:val="008E1232"/>
    <w:rsid w:val="008E2AA1"/>
    <w:rsid w:val="008F1E16"/>
    <w:rsid w:val="008F31ED"/>
    <w:rsid w:val="009213C4"/>
    <w:rsid w:val="009243B3"/>
    <w:rsid w:val="009508E8"/>
    <w:rsid w:val="00963774"/>
    <w:rsid w:val="009719A6"/>
    <w:rsid w:val="009B3F7E"/>
    <w:rsid w:val="009C54E3"/>
    <w:rsid w:val="009D1436"/>
    <w:rsid w:val="009D15A8"/>
    <w:rsid w:val="009E11EC"/>
    <w:rsid w:val="009F0666"/>
    <w:rsid w:val="00A0541F"/>
    <w:rsid w:val="00A065B4"/>
    <w:rsid w:val="00A12869"/>
    <w:rsid w:val="00A44073"/>
    <w:rsid w:val="00A50738"/>
    <w:rsid w:val="00A5294D"/>
    <w:rsid w:val="00A543AB"/>
    <w:rsid w:val="00A809E2"/>
    <w:rsid w:val="00A8514C"/>
    <w:rsid w:val="00AA3F46"/>
    <w:rsid w:val="00AA43CB"/>
    <w:rsid w:val="00AE15B1"/>
    <w:rsid w:val="00AE22D4"/>
    <w:rsid w:val="00B0316A"/>
    <w:rsid w:val="00B14EA2"/>
    <w:rsid w:val="00B24038"/>
    <w:rsid w:val="00B333B3"/>
    <w:rsid w:val="00B51C17"/>
    <w:rsid w:val="00B935A0"/>
    <w:rsid w:val="00B953C3"/>
    <w:rsid w:val="00B96A00"/>
    <w:rsid w:val="00BA6F12"/>
    <w:rsid w:val="00BB0A18"/>
    <w:rsid w:val="00BC2DE4"/>
    <w:rsid w:val="00BC31BD"/>
    <w:rsid w:val="00BC7C09"/>
    <w:rsid w:val="00BD6DB3"/>
    <w:rsid w:val="00C02136"/>
    <w:rsid w:val="00C026C2"/>
    <w:rsid w:val="00C20529"/>
    <w:rsid w:val="00C256F8"/>
    <w:rsid w:val="00C301B6"/>
    <w:rsid w:val="00C330FF"/>
    <w:rsid w:val="00C33EF8"/>
    <w:rsid w:val="00C40881"/>
    <w:rsid w:val="00C41B05"/>
    <w:rsid w:val="00C41C01"/>
    <w:rsid w:val="00C60A90"/>
    <w:rsid w:val="00C60F08"/>
    <w:rsid w:val="00C71485"/>
    <w:rsid w:val="00C7773F"/>
    <w:rsid w:val="00C81006"/>
    <w:rsid w:val="00CA3048"/>
    <w:rsid w:val="00CB0683"/>
    <w:rsid w:val="00CB76C8"/>
    <w:rsid w:val="00CC3CD2"/>
    <w:rsid w:val="00CC7BB6"/>
    <w:rsid w:val="00CD091C"/>
    <w:rsid w:val="00CD1998"/>
    <w:rsid w:val="00CF2033"/>
    <w:rsid w:val="00CF64F5"/>
    <w:rsid w:val="00D12CBD"/>
    <w:rsid w:val="00D15ACA"/>
    <w:rsid w:val="00D17866"/>
    <w:rsid w:val="00D30FE5"/>
    <w:rsid w:val="00D35C96"/>
    <w:rsid w:val="00D45C92"/>
    <w:rsid w:val="00D56C50"/>
    <w:rsid w:val="00D724D8"/>
    <w:rsid w:val="00D74004"/>
    <w:rsid w:val="00D91991"/>
    <w:rsid w:val="00DB50E6"/>
    <w:rsid w:val="00DC2F14"/>
    <w:rsid w:val="00DD303E"/>
    <w:rsid w:val="00DE28D4"/>
    <w:rsid w:val="00DE4109"/>
    <w:rsid w:val="00E03B36"/>
    <w:rsid w:val="00E079FC"/>
    <w:rsid w:val="00E514F2"/>
    <w:rsid w:val="00E52C2A"/>
    <w:rsid w:val="00E55608"/>
    <w:rsid w:val="00E666A2"/>
    <w:rsid w:val="00E766F3"/>
    <w:rsid w:val="00E97934"/>
    <w:rsid w:val="00EA0D73"/>
    <w:rsid w:val="00EA1E4D"/>
    <w:rsid w:val="00EA49CC"/>
    <w:rsid w:val="00EC2671"/>
    <w:rsid w:val="00ED2DDF"/>
    <w:rsid w:val="00EE68F5"/>
    <w:rsid w:val="00EF1E8A"/>
    <w:rsid w:val="00EF4CF4"/>
    <w:rsid w:val="00F072BE"/>
    <w:rsid w:val="00F340CD"/>
    <w:rsid w:val="00F40210"/>
    <w:rsid w:val="00F72438"/>
    <w:rsid w:val="00F75FB3"/>
    <w:rsid w:val="00F93859"/>
    <w:rsid w:val="00F93DFF"/>
    <w:rsid w:val="00FB1058"/>
    <w:rsid w:val="00FB50A3"/>
    <w:rsid w:val="00FC3FAE"/>
    <w:rsid w:val="00FD43FC"/>
    <w:rsid w:val="00FE1E54"/>
    <w:rsid w:val="00FE5A1D"/>
    <w:rsid w:val="00FE76CA"/>
    <w:rsid w:val="00FE7E8F"/>
    <w:rsid w:val="00FF70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A583D2B"/>
  <w15:docId w15:val="{7052B3C9-7A55-4C36-93CD-242A344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5B4"/>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uiPriority w:val="9"/>
    <w:rsid w:val="00D724D8"/>
    <w:rPr>
      <w:rFonts w:ascii="Arial" w:eastAsia="SimSun" w:hAnsi="Arial" w:cs="Arial"/>
      <w:bCs/>
      <w:iCs/>
      <w:caps/>
      <w:sz w:val="22"/>
      <w:szCs w:val="28"/>
    </w:rPr>
  </w:style>
  <w:style w:type="character" w:customStyle="1" w:styleId="Heading3Char">
    <w:name w:val="Heading 3 Char"/>
    <w:basedOn w:val="DefaultParagraphFont"/>
    <w:link w:val="Heading3"/>
    <w:uiPriority w:val="9"/>
    <w:rsid w:val="00D724D8"/>
    <w:rPr>
      <w:rFonts w:ascii="Arial" w:eastAsia="SimSun" w:hAnsi="Arial" w:cs="Arial"/>
      <w:bCs/>
      <w:sz w:val="22"/>
      <w:szCs w:val="26"/>
      <w:u w:val="single"/>
    </w:rPr>
  </w:style>
  <w:style w:type="paragraph" w:styleId="NormalWeb">
    <w:name w:val="Normal (Web)"/>
    <w:basedOn w:val="Normal"/>
    <w:uiPriority w:val="99"/>
    <w:unhideWhenUsed/>
    <w:rsid w:val="00D724D8"/>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D724D8"/>
    <w:rPr>
      <w:i/>
      <w:iCs/>
    </w:rPr>
  </w:style>
  <w:style w:type="paragraph" w:styleId="ListParagraph">
    <w:name w:val="List Paragraph"/>
    <w:basedOn w:val="Normal"/>
    <w:uiPriority w:val="34"/>
    <w:qFormat/>
    <w:rsid w:val="00D724D8"/>
    <w:pPr>
      <w:ind w:left="720"/>
      <w:contextualSpacing/>
    </w:pPr>
  </w:style>
  <w:style w:type="paragraph" w:styleId="BalloonText">
    <w:name w:val="Balloon Text"/>
    <w:basedOn w:val="Normal"/>
    <w:link w:val="BalloonTextChar"/>
    <w:rsid w:val="00A065B4"/>
    <w:rPr>
      <w:rFonts w:ascii="Tahoma" w:hAnsi="Tahoma" w:cs="Tahoma"/>
      <w:szCs w:val="16"/>
    </w:rPr>
  </w:style>
  <w:style w:type="character" w:customStyle="1" w:styleId="BalloonTextChar">
    <w:name w:val="Balloon Text Char"/>
    <w:basedOn w:val="DefaultParagraphFont"/>
    <w:link w:val="BalloonText"/>
    <w:rsid w:val="00A065B4"/>
    <w:rPr>
      <w:rFonts w:ascii="Tahoma" w:hAnsi="Tahoma" w:cs="Tahoma"/>
      <w:sz w:val="22"/>
      <w:szCs w:val="16"/>
    </w:rPr>
  </w:style>
  <w:style w:type="character" w:styleId="CommentReference">
    <w:name w:val="annotation reference"/>
    <w:basedOn w:val="DefaultParagraphFont"/>
    <w:rsid w:val="005A3F0F"/>
    <w:rPr>
      <w:sz w:val="16"/>
      <w:szCs w:val="16"/>
    </w:rPr>
  </w:style>
  <w:style w:type="paragraph" w:styleId="CommentSubject">
    <w:name w:val="annotation subject"/>
    <w:basedOn w:val="CommentText"/>
    <w:next w:val="CommentText"/>
    <w:link w:val="CommentSubjectChar"/>
    <w:rsid w:val="005A3F0F"/>
    <w:rPr>
      <w:b/>
      <w:bCs/>
      <w:sz w:val="20"/>
    </w:rPr>
  </w:style>
  <w:style w:type="character" w:customStyle="1" w:styleId="CommentTextChar">
    <w:name w:val="Comment Text Char"/>
    <w:basedOn w:val="DefaultParagraphFont"/>
    <w:link w:val="CommentText"/>
    <w:semiHidden/>
    <w:rsid w:val="005A3F0F"/>
    <w:rPr>
      <w:rFonts w:ascii="Arial" w:hAnsi="Arial" w:cs="Arial"/>
      <w:sz w:val="18"/>
    </w:rPr>
  </w:style>
  <w:style w:type="character" w:customStyle="1" w:styleId="CommentSubjectChar">
    <w:name w:val="Comment Subject Char"/>
    <w:basedOn w:val="CommentTextChar"/>
    <w:link w:val="CommentSubject"/>
    <w:rsid w:val="005A3F0F"/>
    <w:rPr>
      <w:rFonts w:ascii="Arial" w:hAnsi="Arial" w:cs="Arial"/>
      <w:b/>
      <w:bCs/>
      <w:sz w:val="18"/>
    </w:rPr>
  </w:style>
  <w:style w:type="paragraph" w:customStyle="1" w:styleId="TitleCAPS">
    <w:name w:val="Title CAPS"/>
    <w:basedOn w:val="Normal"/>
    <w:next w:val="Normal"/>
    <w:rsid w:val="003C714E"/>
    <w:pPr>
      <w:spacing w:after="340"/>
      <w:jc w:val="center"/>
    </w:pPr>
    <w:rPr>
      <w:rFonts w:cs="Times New Roman"/>
      <w:caps/>
      <w:sz w:val="17"/>
    </w:rPr>
  </w:style>
  <w:style w:type="paragraph" w:customStyle="1" w:styleId="List0">
    <w:name w:val="List0"/>
    <w:basedOn w:val="Normal"/>
    <w:link w:val="List0Char"/>
    <w:rsid w:val="003C714E"/>
    <w:pPr>
      <w:keepLines/>
      <w:spacing w:after="170"/>
    </w:pPr>
    <w:rPr>
      <w:rFonts w:cs="Times New Roman"/>
      <w:sz w:val="17"/>
    </w:rPr>
  </w:style>
  <w:style w:type="character" w:customStyle="1" w:styleId="List0Char">
    <w:name w:val="List0 Char"/>
    <w:basedOn w:val="DefaultParagraphFont"/>
    <w:link w:val="List0"/>
    <w:rsid w:val="003C714E"/>
    <w:rPr>
      <w:rFonts w:ascii="Arial" w:hAnsi="Arial"/>
      <w:sz w:val="17"/>
    </w:rPr>
  </w:style>
  <w:style w:type="paragraph" w:styleId="TOC1">
    <w:name w:val="toc 1"/>
    <w:basedOn w:val="Normal"/>
    <w:next w:val="Normal"/>
    <w:autoRedefine/>
    <w:uiPriority w:val="39"/>
    <w:rsid w:val="003C714E"/>
    <w:pPr>
      <w:widowControl w:val="0"/>
      <w:kinsoku w:val="0"/>
      <w:spacing w:after="100"/>
    </w:pPr>
    <w:rPr>
      <w:rFonts w:eastAsia="SimSun"/>
      <w:sz w:val="24"/>
      <w:szCs w:val="24"/>
      <w:lang w:eastAsia="zh-CN"/>
    </w:rPr>
  </w:style>
  <w:style w:type="paragraph" w:styleId="TOC2">
    <w:name w:val="toc 2"/>
    <w:basedOn w:val="Normal"/>
    <w:next w:val="Normal"/>
    <w:autoRedefine/>
    <w:uiPriority w:val="39"/>
    <w:rsid w:val="003C714E"/>
    <w:pPr>
      <w:widowControl w:val="0"/>
      <w:kinsoku w:val="0"/>
      <w:spacing w:after="100"/>
      <w:ind w:left="240"/>
    </w:pPr>
    <w:rPr>
      <w:rFonts w:eastAsia="SimSun"/>
      <w:sz w:val="24"/>
      <w:szCs w:val="24"/>
      <w:lang w:eastAsia="zh-CN"/>
    </w:rPr>
  </w:style>
  <w:style w:type="paragraph" w:customStyle="1" w:styleId="Paragraph">
    <w:name w:val="Paragraph"/>
    <w:basedOn w:val="Normal"/>
    <w:next w:val="Normal"/>
    <w:rsid w:val="003C714E"/>
    <w:pPr>
      <w:widowControl w:val="0"/>
      <w:numPr>
        <w:numId w:val="15"/>
      </w:numPr>
      <w:kinsoku w:val="0"/>
      <w:spacing w:before="240" w:after="240"/>
      <w:ind w:left="567"/>
    </w:pPr>
    <w:rPr>
      <w:rFonts w:eastAsia="SimSun"/>
      <w:sz w:val="20"/>
      <w:szCs w:val="17"/>
      <w:lang w:eastAsia="zh-CN"/>
    </w:rPr>
  </w:style>
  <w:style w:type="character" w:customStyle="1" w:styleId="Heading1Char">
    <w:name w:val="Heading 1 Char"/>
    <w:link w:val="Heading1"/>
    <w:rsid w:val="003C714E"/>
    <w:rPr>
      <w:rFonts w:ascii="Arial" w:eastAsia="SimSun" w:hAnsi="Arial" w:cs="Arial"/>
      <w:b/>
      <w:bCs/>
      <w:caps/>
      <w:kern w:val="32"/>
      <w:sz w:val="22"/>
      <w:szCs w:val="32"/>
    </w:rPr>
  </w:style>
  <w:style w:type="paragraph" w:customStyle="1" w:styleId="List0R">
    <w:name w:val="List0R"/>
    <w:basedOn w:val="List0"/>
    <w:rsid w:val="003C714E"/>
    <w:pPr>
      <w:ind w:firstLine="567"/>
    </w:pPr>
  </w:style>
  <w:style w:type="paragraph" w:styleId="TOC3">
    <w:name w:val="toc 3"/>
    <w:basedOn w:val="Normal"/>
    <w:next w:val="Normal"/>
    <w:autoRedefine/>
    <w:uiPriority w:val="39"/>
    <w:rsid w:val="003D69A0"/>
    <w:pPr>
      <w:spacing w:after="100"/>
      <w:ind w:left="440"/>
    </w:pPr>
  </w:style>
  <w:style w:type="character" w:styleId="FootnoteReference">
    <w:name w:val="footnote reference"/>
    <w:basedOn w:val="DefaultParagraphFont"/>
    <w:unhideWhenUsed/>
    <w:rsid w:val="00A065B4"/>
    <w:rPr>
      <w:vertAlign w:val="superscript"/>
    </w:rPr>
  </w:style>
  <w:style w:type="character" w:styleId="Hyperlink">
    <w:name w:val="Hyperlink"/>
    <w:basedOn w:val="DefaultParagraphFont"/>
    <w:uiPriority w:val="99"/>
    <w:unhideWhenUsed/>
    <w:rsid w:val="00E766F3"/>
    <w:rPr>
      <w:color w:val="0000FF"/>
      <w:u w:val="single"/>
    </w:rPr>
  </w:style>
  <w:style w:type="paragraph" w:styleId="Revision">
    <w:name w:val="Revision"/>
    <w:hidden/>
    <w:uiPriority w:val="99"/>
    <w:semiHidden/>
    <w:rsid w:val="0055771C"/>
    <w:rPr>
      <w:rFonts w:ascii="Arial" w:hAnsi="Arial" w:cs="Arial"/>
      <w:sz w:val="22"/>
    </w:rPr>
  </w:style>
  <w:style w:type="character" w:customStyle="1" w:styleId="HeaderChar">
    <w:name w:val="Header Char"/>
    <w:basedOn w:val="DefaultParagraphFont"/>
    <w:link w:val="Header"/>
    <w:uiPriority w:val="99"/>
    <w:locked/>
    <w:rsid w:val="00C41C01"/>
    <w:rPr>
      <w:rFonts w:ascii="Arial" w:hAnsi="Arial" w:cs="Arial"/>
      <w:sz w:val="22"/>
    </w:rPr>
  </w:style>
  <w:style w:type="character" w:customStyle="1" w:styleId="preferred">
    <w:name w:val="preferred"/>
    <w:basedOn w:val="DefaultParagraphFont"/>
    <w:rsid w:val="00304A82"/>
  </w:style>
  <w:style w:type="character" w:customStyle="1" w:styleId="es">
    <w:name w:val="es"/>
    <w:basedOn w:val="DefaultParagraphFont"/>
    <w:rsid w:val="0030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593">
      <w:bodyDiv w:val="1"/>
      <w:marLeft w:val="0"/>
      <w:marRight w:val="0"/>
      <w:marTop w:val="0"/>
      <w:marBottom w:val="0"/>
      <w:divBdr>
        <w:top w:val="none" w:sz="0" w:space="0" w:color="auto"/>
        <w:left w:val="none" w:sz="0" w:space="0" w:color="auto"/>
        <w:bottom w:val="none" w:sz="0" w:space="0" w:color="auto"/>
        <w:right w:val="none" w:sz="0" w:space="0" w:color="auto"/>
      </w:divBdr>
    </w:div>
    <w:div w:id="438457169">
      <w:bodyDiv w:val="1"/>
      <w:marLeft w:val="0"/>
      <w:marRight w:val="0"/>
      <w:marTop w:val="0"/>
      <w:marBottom w:val="0"/>
      <w:divBdr>
        <w:top w:val="none" w:sz="0" w:space="0" w:color="auto"/>
        <w:left w:val="none" w:sz="0" w:space="0" w:color="auto"/>
        <w:bottom w:val="none" w:sz="0" w:space="0" w:color="auto"/>
        <w:right w:val="none" w:sz="0" w:space="0" w:color="auto"/>
      </w:divBdr>
    </w:div>
    <w:div w:id="530848424">
      <w:bodyDiv w:val="1"/>
      <w:marLeft w:val="0"/>
      <w:marRight w:val="0"/>
      <w:marTop w:val="0"/>
      <w:marBottom w:val="0"/>
      <w:divBdr>
        <w:top w:val="none" w:sz="0" w:space="0" w:color="auto"/>
        <w:left w:val="none" w:sz="0" w:space="0" w:color="auto"/>
        <w:bottom w:val="none" w:sz="0" w:space="0" w:color="auto"/>
        <w:right w:val="none" w:sz="0" w:space="0" w:color="auto"/>
      </w:divBdr>
    </w:div>
    <w:div w:id="571624639">
      <w:bodyDiv w:val="1"/>
      <w:marLeft w:val="0"/>
      <w:marRight w:val="0"/>
      <w:marTop w:val="0"/>
      <w:marBottom w:val="0"/>
      <w:divBdr>
        <w:top w:val="none" w:sz="0" w:space="0" w:color="auto"/>
        <w:left w:val="none" w:sz="0" w:space="0" w:color="auto"/>
        <w:bottom w:val="none" w:sz="0" w:space="0" w:color="auto"/>
        <w:right w:val="none" w:sz="0" w:space="0" w:color="auto"/>
      </w:divBdr>
    </w:div>
    <w:div w:id="179621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s/pdf/03-68-0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export/sites/www/standards/es/pdf/03-68-01.pdf" TargetMode="External"/><Relationship Id="rId4" Type="http://schemas.openxmlformats.org/officeDocument/2006/relationships/settings" Target="settings.xml"/><Relationship Id="rId9" Type="http://schemas.openxmlformats.org/officeDocument/2006/relationships/hyperlink" Target="https://www.wipo.int/export/sites/www/standards/es/pdf/03-68-0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27094-36CA-4903-A6D4-BA0C7189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1958</Words>
  <Characters>10736</Characters>
  <Application>Microsoft Office Word</Application>
  <DocSecurity>0</DocSecurity>
  <Lines>175</Lines>
  <Paragraphs>87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WIPO</dc:creator>
  <cp:keywords>FOR OFFICIAL USE ONLY</cp:keywords>
  <cp:lastModifiedBy>CHAVAS Louison</cp:lastModifiedBy>
  <cp:revision>2</cp:revision>
  <cp:lastPrinted>2014-07-10T16:05:00Z</cp:lastPrinted>
  <dcterms:created xsi:type="dcterms:W3CDTF">2020-11-17T17:09:00Z</dcterms:created>
  <dcterms:modified xsi:type="dcterms:W3CDTF">2020-11-17T17:09:00Z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dae4be4b-da48-461a-ab62-a6f45d3853ba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