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5E57" w:rsidRPr="000814F0" w:rsidRDefault="00472A6E" w:rsidP="006173A5">
      <w:pPr>
        <w:pBdr>
          <w:bottom w:val="single" w:sz="4" w:space="11" w:color="auto"/>
        </w:pBdr>
        <w:spacing w:after="120"/>
        <w:ind w:right="-57"/>
        <w:jc w:val="right"/>
        <w:rPr>
          <w:lang w:val="es-419"/>
        </w:rPr>
      </w:pPr>
      <w:bookmarkStart w:id="0" w:name="_GoBack"/>
      <w:bookmarkEnd w:id="0"/>
      <w:r w:rsidRPr="000814F0">
        <w:rPr>
          <w:noProof/>
          <w:lang w:val="en-US" w:eastAsia="en-US"/>
        </w:rPr>
        <w:drawing>
          <wp:inline distT="0" distB="0" distL="0" distR="0">
            <wp:extent cx="3147729" cy="1353054"/>
            <wp:effectExtent l="0" t="0" r="0" b="0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7729" cy="13530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5E57" w:rsidRPr="000814F0" w:rsidRDefault="006173A5" w:rsidP="00472A6E">
      <w:pPr>
        <w:jc w:val="right"/>
        <w:rPr>
          <w:rFonts w:ascii="Arial Black" w:hAnsi="Arial Black"/>
          <w:caps/>
          <w:sz w:val="15"/>
          <w:lang w:val="es-419"/>
        </w:rPr>
      </w:pPr>
      <w:r w:rsidRPr="000814F0">
        <w:rPr>
          <w:rFonts w:ascii="Arial Black" w:hAnsi="Arial Black"/>
          <w:caps/>
          <w:sz w:val="15"/>
          <w:lang w:val="es-419"/>
        </w:rPr>
        <w:t>CWS/9/</w:t>
      </w:r>
      <w:bookmarkStart w:id="1" w:name="Code"/>
      <w:bookmarkEnd w:id="1"/>
      <w:r w:rsidR="00AC1E8B" w:rsidRPr="000814F0">
        <w:rPr>
          <w:rFonts w:ascii="Arial Black" w:hAnsi="Arial Black"/>
          <w:caps/>
          <w:sz w:val="15"/>
          <w:lang w:val="es-419"/>
        </w:rPr>
        <w:t>16</w:t>
      </w:r>
    </w:p>
    <w:p w:rsidR="00D05E57" w:rsidRPr="000814F0" w:rsidRDefault="00472A6E" w:rsidP="00472A6E">
      <w:pPr>
        <w:jc w:val="right"/>
        <w:rPr>
          <w:lang w:val="es-419"/>
        </w:rPr>
      </w:pPr>
      <w:r w:rsidRPr="000814F0">
        <w:rPr>
          <w:rFonts w:ascii="Arial Black" w:hAnsi="Arial Black"/>
          <w:caps/>
          <w:sz w:val="15"/>
          <w:lang w:val="es-419"/>
        </w:rPr>
        <w:t xml:space="preserve">ORIGINAL: </w:t>
      </w:r>
      <w:bookmarkStart w:id="2" w:name="Original"/>
      <w:r w:rsidR="00AC1E8B" w:rsidRPr="000814F0">
        <w:rPr>
          <w:rFonts w:ascii="Arial Black" w:hAnsi="Arial Black"/>
          <w:caps/>
          <w:sz w:val="15"/>
          <w:lang w:val="es-419"/>
        </w:rPr>
        <w:t>INGLÉS</w:t>
      </w:r>
    </w:p>
    <w:bookmarkEnd w:id="2"/>
    <w:p w:rsidR="00D05E57" w:rsidRPr="000814F0" w:rsidRDefault="00472A6E" w:rsidP="00472A6E">
      <w:pPr>
        <w:spacing w:after="1200"/>
        <w:jc w:val="right"/>
        <w:rPr>
          <w:lang w:val="es-419"/>
        </w:rPr>
      </w:pPr>
      <w:r w:rsidRPr="000814F0">
        <w:rPr>
          <w:rFonts w:ascii="Arial Black" w:hAnsi="Arial Black"/>
          <w:caps/>
          <w:sz w:val="15"/>
          <w:lang w:val="es-419"/>
        </w:rPr>
        <w:t xml:space="preserve">fecha: </w:t>
      </w:r>
      <w:bookmarkStart w:id="3" w:name="Date"/>
      <w:r w:rsidR="00AC1E8B" w:rsidRPr="000814F0">
        <w:rPr>
          <w:rFonts w:ascii="Arial Black" w:hAnsi="Arial Black"/>
          <w:caps/>
          <w:sz w:val="15"/>
          <w:lang w:val="es-419"/>
        </w:rPr>
        <w:t>10 DE SEPTIEMBRE DE 2021</w:t>
      </w:r>
    </w:p>
    <w:bookmarkEnd w:id="3"/>
    <w:p w:rsidR="00D05E57" w:rsidRPr="000814F0" w:rsidRDefault="00167338" w:rsidP="00472A6E">
      <w:pPr>
        <w:pStyle w:val="Heading1"/>
        <w:spacing w:before="0" w:after="480"/>
        <w:rPr>
          <w:sz w:val="28"/>
          <w:lang w:val="es-419"/>
        </w:rPr>
      </w:pPr>
      <w:r w:rsidRPr="000814F0">
        <w:rPr>
          <w:caps w:val="0"/>
          <w:sz w:val="28"/>
          <w:szCs w:val="28"/>
          <w:lang w:val="es-419"/>
        </w:rPr>
        <w:t>Comité de Normas Técnicas de la OMPI (CWS)</w:t>
      </w:r>
    </w:p>
    <w:p w:rsidR="00D05E57" w:rsidRPr="000814F0" w:rsidRDefault="006173A5" w:rsidP="005B2EAE">
      <w:pPr>
        <w:outlineLvl w:val="1"/>
        <w:rPr>
          <w:b/>
          <w:sz w:val="24"/>
          <w:szCs w:val="24"/>
          <w:lang w:val="es-419"/>
        </w:rPr>
      </w:pPr>
      <w:r w:rsidRPr="000814F0">
        <w:rPr>
          <w:b/>
          <w:sz w:val="24"/>
          <w:szCs w:val="24"/>
          <w:lang w:val="es-419"/>
        </w:rPr>
        <w:t>Novena sesión</w:t>
      </w:r>
    </w:p>
    <w:p w:rsidR="00D05E57" w:rsidRPr="000814F0" w:rsidRDefault="00167338" w:rsidP="00472A6E">
      <w:pPr>
        <w:spacing w:after="720"/>
        <w:outlineLvl w:val="1"/>
        <w:rPr>
          <w:b/>
          <w:sz w:val="24"/>
          <w:szCs w:val="24"/>
          <w:lang w:val="es-419"/>
        </w:rPr>
      </w:pPr>
      <w:r w:rsidRPr="000814F0">
        <w:rPr>
          <w:b/>
          <w:sz w:val="24"/>
          <w:szCs w:val="24"/>
          <w:lang w:val="es-419"/>
        </w:rPr>
        <w:t>Ginebra, 1 a 5 de noviembre de 2021</w:t>
      </w:r>
    </w:p>
    <w:p w:rsidR="00D05E57" w:rsidRPr="000814F0" w:rsidRDefault="00AC1E8B" w:rsidP="00472A6E">
      <w:pPr>
        <w:spacing w:after="360"/>
        <w:rPr>
          <w:caps/>
          <w:sz w:val="24"/>
          <w:lang w:val="es-419"/>
        </w:rPr>
      </w:pPr>
      <w:bookmarkStart w:id="4" w:name="TitleOfDoc"/>
      <w:r w:rsidRPr="000814F0">
        <w:rPr>
          <w:caps/>
          <w:sz w:val="24"/>
          <w:lang w:val="es-419"/>
        </w:rPr>
        <w:t>Publicación de los resultados de la encuesta sobre acceso público a la información contenida en las patentes, parte 2</w:t>
      </w:r>
    </w:p>
    <w:p w:rsidR="00D05E57" w:rsidRPr="000814F0" w:rsidRDefault="00AC1E8B" w:rsidP="00472A6E">
      <w:pPr>
        <w:spacing w:after="1040"/>
        <w:rPr>
          <w:i/>
          <w:lang w:val="es-419"/>
        </w:rPr>
      </w:pPr>
      <w:bookmarkStart w:id="5" w:name="Prepared"/>
      <w:bookmarkEnd w:id="4"/>
      <w:bookmarkEnd w:id="5"/>
      <w:r w:rsidRPr="000814F0">
        <w:rPr>
          <w:i/>
          <w:lang w:val="es-419"/>
        </w:rPr>
        <w:t>Documento preparado por la Oficina Internacional</w:t>
      </w:r>
    </w:p>
    <w:p w:rsidR="00D05E57" w:rsidRPr="000814F0" w:rsidRDefault="00BB5AD1" w:rsidP="00BB5AD1">
      <w:pPr>
        <w:pStyle w:val="Heading2"/>
        <w:spacing w:before="0"/>
        <w:rPr>
          <w:rFonts w:eastAsia="Malgun Gothic"/>
          <w:caps w:val="0"/>
          <w:szCs w:val="22"/>
          <w:lang w:val="es-419"/>
        </w:rPr>
      </w:pPr>
      <w:r w:rsidRPr="000814F0">
        <w:rPr>
          <w:rFonts w:eastAsia="Malgun Gothic"/>
          <w:caps w:val="0"/>
          <w:szCs w:val="22"/>
          <w:lang w:val="es-419"/>
        </w:rPr>
        <w:t>ANTECEDENTES</w:t>
      </w:r>
    </w:p>
    <w:p w:rsidR="00D05E57" w:rsidRPr="000814F0" w:rsidRDefault="00AC1E8B" w:rsidP="00EF5EE8">
      <w:pPr>
        <w:pStyle w:val="ONUMFS"/>
        <w:numPr>
          <w:ilvl w:val="0"/>
          <w:numId w:val="0"/>
        </w:numPr>
        <w:spacing w:after="480"/>
        <w:rPr>
          <w:lang w:val="es-419"/>
        </w:rPr>
      </w:pPr>
      <w:r w:rsidRPr="000814F0">
        <w:rPr>
          <w:lang w:val="es-419" w:eastAsia="en-US"/>
        </w:rPr>
        <w:fldChar w:fldCharType="begin"/>
      </w:r>
      <w:r w:rsidRPr="000814F0">
        <w:rPr>
          <w:lang w:val="es-419" w:eastAsia="en-US"/>
        </w:rPr>
        <w:instrText xml:space="preserve"> AUTONUM  </w:instrText>
      </w:r>
      <w:r w:rsidRPr="000814F0">
        <w:rPr>
          <w:lang w:val="es-419" w:eastAsia="en-US"/>
        </w:rPr>
        <w:fldChar w:fldCharType="end"/>
      </w:r>
      <w:r w:rsidRPr="000814F0">
        <w:rPr>
          <w:lang w:val="es-419" w:eastAsia="en-US"/>
        </w:rPr>
        <w:tab/>
      </w:r>
      <w:r w:rsidR="00BB5AD1" w:rsidRPr="000814F0">
        <w:rPr>
          <w:lang w:val="es-419" w:eastAsia="en-US"/>
        </w:rPr>
        <w:t>En su octava sesión, celebrada en 2020, el Comité de Normas Técnicas de la OMPI (CWS) aprobó la publicación de los resultados de la parte 1 de la encuesta sobre el acceso público a la información contenida en las patentes.</w:t>
      </w:r>
      <w:r w:rsidR="000C2B10" w:rsidRPr="000814F0">
        <w:rPr>
          <w:lang w:val="es-419" w:eastAsia="en-US"/>
        </w:rPr>
        <w:t xml:space="preserve"> </w:t>
      </w:r>
      <w:r w:rsidR="003E03D6" w:rsidRPr="000814F0">
        <w:rPr>
          <w:lang w:val="es-419" w:eastAsia="en-US"/>
        </w:rPr>
        <w:t>El CWS también aprobó el cuestionario revisa</w:t>
      </w:r>
      <w:r w:rsidR="00A57193" w:rsidRPr="000814F0">
        <w:rPr>
          <w:lang w:val="es-419" w:eastAsia="en-US"/>
        </w:rPr>
        <w:t xml:space="preserve">do correspondiente a la </w:t>
      </w:r>
      <w:r w:rsidR="003E03D6" w:rsidRPr="000814F0">
        <w:rPr>
          <w:lang w:val="es-419" w:eastAsia="en-US"/>
        </w:rPr>
        <w:t xml:space="preserve">parte </w:t>
      </w:r>
      <w:r w:rsidR="00A57193" w:rsidRPr="000814F0">
        <w:rPr>
          <w:lang w:val="es-419" w:eastAsia="en-US"/>
        </w:rPr>
        <w:t xml:space="preserve">2 </w:t>
      </w:r>
      <w:r w:rsidR="00BC0842" w:rsidRPr="000814F0">
        <w:rPr>
          <w:lang w:val="es-419" w:eastAsia="en-US"/>
        </w:rPr>
        <w:t>de la encuesta</w:t>
      </w:r>
      <w:r w:rsidR="003E03D6" w:rsidRPr="000814F0">
        <w:rPr>
          <w:lang w:val="es-419" w:eastAsia="en-US"/>
        </w:rPr>
        <w:t xml:space="preserve"> presentado por el Equipo Técnico de Acceso Público a la Información contenida en las Patentes.</w:t>
      </w:r>
      <w:r w:rsidR="000C2B10" w:rsidRPr="000814F0">
        <w:rPr>
          <w:lang w:val="es-419" w:eastAsia="en-US"/>
        </w:rPr>
        <w:t xml:space="preserve"> </w:t>
      </w:r>
      <w:r w:rsidR="00931199" w:rsidRPr="000814F0">
        <w:rPr>
          <w:lang w:val="es-419" w:eastAsia="en-US"/>
        </w:rPr>
        <w:t>Durante la octava sesión del CWS se añadió una pregunta adicional a la encuesta. El CWS pidió a la Secretaría que emita una circ</w:t>
      </w:r>
      <w:r w:rsidR="006C5FD3" w:rsidRPr="000814F0">
        <w:rPr>
          <w:lang w:val="es-419" w:eastAsia="en-US"/>
        </w:rPr>
        <w:t xml:space="preserve">ular en la que se invite a las </w:t>
      </w:r>
      <w:r w:rsidR="00B872EA" w:rsidRPr="000814F0">
        <w:rPr>
          <w:lang w:val="es-419" w:eastAsia="en-US"/>
        </w:rPr>
        <w:t xml:space="preserve">oficinas de propiedad intelectual </w:t>
      </w:r>
      <w:r w:rsidR="00931199" w:rsidRPr="000814F0">
        <w:rPr>
          <w:lang w:val="es-419" w:eastAsia="en-US"/>
        </w:rPr>
        <w:t>(</w:t>
      </w:r>
      <w:r w:rsidR="00A57193" w:rsidRPr="000814F0">
        <w:rPr>
          <w:lang w:val="es-419" w:eastAsia="en-US"/>
        </w:rPr>
        <w:t xml:space="preserve">OPI) a participar en la </w:t>
      </w:r>
      <w:r w:rsidR="00931199" w:rsidRPr="000814F0">
        <w:rPr>
          <w:lang w:val="es-419" w:eastAsia="en-US"/>
        </w:rPr>
        <w:t xml:space="preserve">parte </w:t>
      </w:r>
      <w:r w:rsidR="00A57193" w:rsidRPr="000814F0">
        <w:rPr>
          <w:lang w:val="es-419" w:eastAsia="en-US"/>
        </w:rPr>
        <w:t xml:space="preserve">2 </w:t>
      </w:r>
      <w:r w:rsidR="00931199" w:rsidRPr="000814F0">
        <w:rPr>
          <w:lang w:val="es-419" w:eastAsia="en-US"/>
        </w:rPr>
        <w:t>de la encuesta.</w:t>
      </w:r>
      <w:r w:rsidRPr="000814F0">
        <w:rPr>
          <w:lang w:val="es-419"/>
        </w:rPr>
        <w:t xml:space="preserve"> </w:t>
      </w:r>
      <w:r w:rsidR="00931199" w:rsidRPr="000814F0">
        <w:rPr>
          <w:lang w:val="es-419"/>
        </w:rPr>
        <w:t>(Véanse los párrafos 70 a 72 y 122 a 125 del documento CWS/8/24).</w:t>
      </w:r>
    </w:p>
    <w:p w:rsidR="00D05E57" w:rsidRPr="000814F0" w:rsidRDefault="00931199" w:rsidP="00931199">
      <w:pPr>
        <w:pStyle w:val="Heading2"/>
        <w:spacing w:before="0"/>
        <w:rPr>
          <w:lang w:val="es-419" w:eastAsia="en-US"/>
        </w:rPr>
      </w:pPr>
      <w:r w:rsidRPr="000814F0">
        <w:rPr>
          <w:lang w:val="es-419" w:eastAsia="en-US"/>
        </w:rPr>
        <w:t>RESULTADOS DE LA ENCUESTA</w:t>
      </w:r>
    </w:p>
    <w:p w:rsidR="00D05E57" w:rsidRPr="000814F0" w:rsidRDefault="00AC1E8B" w:rsidP="00F40FF6">
      <w:pPr>
        <w:pStyle w:val="ONUMFS"/>
        <w:numPr>
          <w:ilvl w:val="0"/>
          <w:numId w:val="0"/>
        </w:numPr>
        <w:rPr>
          <w:lang w:val="es-419" w:eastAsia="en-US"/>
        </w:rPr>
      </w:pPr>
      <w:r w:rsidRPr="000814F0">
        <w:rPr>
          <w:lang w:val="es-419"/>
        </w:rPr>
        <w:fldChar w:fldCharType="begin"/>
      </w:r>
      <w:r w:rsidRPr="000814F0">
        <w:rPr>
          <w:lang w:val="es-419"/>
        </w:rPr>
        <w:instrText xml:space="preserve"> AUTONUM  </w:instrText>
      </w:r>
      <w:r w:rsidRPr="000814F0">
        <w:rPr>
          <w:lang w:val="es-419"/>
        </w:rPr>
        <w:fldChar w:fldCharType="end"/>
      </w:r>
      <w:r w:rsidRPr="000814F0">
        <w:rPr>
          <w:lang w:val="es-419"/>
        </w:rPr>
        <w:tab/>
      </w:r>
      <w:r w:rsidR="00931199" w:rsidRPr="000814F0">
        <w:rPr>
          <w:lang w:val="es-419"/>
        </w:rPr>
        <w:t>En mayo de 2021 la Secretaría publicó la circular</w:t>
      </w:r>
      <w:r w:rsidRPr="000814F0">
        <w:rPr>
          <w:lang w:val="es-419"/>
        </w:rPr>
        <w:t xml:space="preserve"> </w:t>
      </w:r>
      <w:hyperlink r:id="rId9" w:history="1">
        <w:r w:rsidRPr="000814F0">
          <w:rPr>
            <w:rStyle w:val="Hyperlink"/>
            <w:lang w:val="es-419"/>
          </w:rPr>
          <w:t>C.CWS.146</w:t>
        </w:r>
      </w:hyperlink>
      <w:r w:rsidRPr="000814F0">
        <w:rPr>
          <w:lang w:val="es-419"/>
        </w:rPr>
        <w:t xml:space="preserve"> </w:t>
      </w:r>
      <w:r w:rsidR="00931199" w:rsidRPr="000814F0">
        <w:rPr>
          <w:lang w:val="es-419"/>
        </w:rPr>
        <w:t>en la que se invita a las</w:t>
      </w:r>
      <w:r w:rsidR="00A57193" w:rsidRPr="000814F0">
        <w:rPr>
          <w:lang w:val="es-419"/>
        </w:rPr>
        <w:t xml:space="preserve"> OPI a participar en la </w:t>
      </w:r>
      <w:r w:rsidR="00931199" w:rsidRPr="000814F0">
        <w:rPr>
          <w:lang w:val="es-419"/>
        </w:rPr>
        <w:t xml:space="preserve">parte </w:t>
      </w:r>
      <w:r w:rsidR="00A57193" w:rsidRPr="000814F0">
        <w:rPr>
          <w:lang w:val="es-419"/>
        </w:rPr>
        <w:t xml:space="preserve">2 </w:t>
      </w:r>
      <w:r w:rsidR="00931199" w:rsidRPr="000814F0">
        <w:rPr>
          <w:lang w:val="es-419"/>
        </w:rPr>
        <w:t xml:space="preserve">de la encuesta sobre </w:t>
      </w:r>
      <w:r w:rsidR="00064626" w:rsidRPr="000814F0">
        <w:rPr>
          <w:lang w:val="es-419"/>
        </w:rPr>
        <w:t>el acceso público a la información contenida en las patentes</w:t>
      </w:r>
      <w:r w:rsidR="000C2B10" w:rsidRPr="000814F0">
        <w:rPr>
          <w:lang w:val="es-419"/>
        </w:rPr>
        <w:t xml:space="preserve">. </w:t>
      </w:r>
      <w:r w:rsidR="00464901" w:rsidRPr="000814F0">
        <w:rPr>
          <w:lang w:val="es-419"/>
        </w:rPr>
        <w:t>Se recibieron respuestas hasta agosto de 2021.</w:t>
      </w:r>
      <w:r w:rsidR="000C2B10" w:rsidRPr="000814F0">
        <w:rPr>
          <w:lang w:val="es-419" w:eastAsia="en-US"/>
        </w:rPr>
        <w:t xml:space="preserve"> </w:t>
      </w:r>
      <w:r w:rsidR="00464901" w:rsidRPr="000814F0">
        <w:rPr>
          <w:lang w:val="es-419" w:eastAsia="en-US"/>
        </w:rPr>
        <w:t>Durante el proceso de publicación, la nueva pregunta añadida en la octava sesión del CWS se omitió por error en la encuesta publicada.</w:t>
      </w:r>
      <w:r w:rsidR="000C2B10" w:rsidRPr="000814F0">
        <w:rPr>
          <w:lang w:val="es-419" w:eastAsia="en-US"/>
        </w:rPr>
        <w:t xml:space="preserve"> </w:t>
      </w:r>
      <w:r w:rsidR="00F40FF6" w:rsidRPr="000814F0">
        <w:rPr>
          <w:lang w:val="es-419" w:eastAsia="en-US"/>
        </w:rPr>
        <w:t>Debido a que la plataforma de encuesta no permite realizar modificaciones en las encuestas activas, la Oficina Internacional decidió publicar una encuesta complementaria por separado que contenía únicamente la pregunta omitida.</w:t>
      </w:r>
      <w:r w:rsidR="000C2B10" w:rsidRPr="000814F0">
        <w:rPr>
          <w:lang w:val="es-419" w:eastAsia="en-US"/>
        </w:rPr>
        <w:t xml:space="preserve"> </w:t>
      </w:r>
      <w:r w:rsidR="00F40FF6" w:rsidRPr="000814F0">
        <w:rPr>
          <w:lang w:val="es-419" w:eastAsia="en-US"/>
        </w:rPr>
        <w:t>A los encuestados que respondieron a la e</w:t>
      </w:r>
      <w:r w:rsidR="00A57193" w:rsidRPr="000814F0">
        <w:rPr>
          <w:lang w:val="es-419" w:eastAsia="en-US"/>
        </w:rPr>
        <w:t xml:space="preserve">ncuesta principal de la </w:t>
      </w:r>
      <w:r w:rsidR="00F40FF6" w:rsidRPr="000814F0">
        <w:rPr>
          <w:lang w:val="es-419" w:eastAsia="en-US"/>
        </w:rPr>
        <w:t xml:space="preserve">parte </w:t>
      </w:r>
      <w:r w:rsidR="00A57193" w:rsidRPr="000814F0">
        <w:rPr>
          <w:lang w:val="es-419" w:eastAsia="en-US"/>
        </w:rPr>
        <w:t xml:space="preserve">2 </w:t>
      </w:r>
      <w:r w:rsidR="00F40FF6" w:rsidRPr="000814F0">
        <w:rPr>
          <w:lang w:val="es-419" w:eastAsia="en-US"/>
        </w:rPr>
        <w:t>se les pidió que respondieran también a la encuesta complementaria.</w:t>
      </w:r>
    </w:p>
    <w:p w:rsidR="00D05E57" w:rsidRPr="000814F0" w:rsidRDefault="00AC1E8B" w:rsidP="00EF5EE8">
      <w:pPr>
        <w:pStyle w:val="ONUMFS"/>
        <w:numPr>
          <w:ilvl w:val="0"/>
          <w:numId w:val="0"/>
        </w:numPr>
        <w:spacing w:after="480"/>
        <w:rPr>
          <w:lang w:val="es-419"/>
        </w:rPr>
      </w:pPr>
      <w:r w:rsidRPr="000814F0">
        <w:rPr>
          <w:lang w:val="es-419"/>
        </w:rPr>
        <w:fldChar w:fldCharType="begin"/>
      </w:r>
      <w:r w:rsidRPr="000814F0">
        <w:rPr>
          <w:lang w:val="es-419"/>
        </w:rPr>
        <w:instrText xml:space="preserve"> AUTONUM  </w:instrText>
      </w:r>
      <w:r w:rsidRPr="000814F0">
        <w:rPr>
          <w:lang w:val="es-419"/>
        </w:rPr>
        <w:fldChar w:fldCharType="end"/>
      </w:r>
      <w:r w:rsidRPr="000814F0">
        <w:rPr>
          <w:lang w:val="es-419"/>
        </w:rPr>
        <w:tab/>
      </w:r>
      <w:r w:rsidR="00F40FF6" w:rsidRPr="000814F0">
        <w:rPr>
          <w:lang w:val="es-419"/>
        </w:rPr>
        <w:t>La Oficina Internacional, en calidad de responsable del Equipo Técnico, analizó las respuestas y publicó los resultados en la wiki del Equipo Técnico.</w:t>
      </w:r>
      <w:r w:rsidR="000C2B10" w:rsidRPr="000814F0">
        <w:rPr>
          <w:lang w:val="es-419"/>
        </w:rPr>
        <w:t xml:space="preserve"> </w:t>
      </w:r>
      <w:r w:rsidR="006B385B" w:rsidRPr="000814F0">
        <w:rPr>
          <w:lang w:val="es-419"/>
        </w:rPr>
        <w:t xml:space="preserve">El Equipo Técnico presenta </w:t>
      </w:r>
      <w:r w:rsidR="006B385B" w:rsidRPr="000814F0">
        <w:rPr>
          <w:lang w:val="es-419"/>
        </w:rPr>
        <w:lastRenderedPageBreak/>
        <w:t>el informe siguiente para que lo examine el CWS.</w:t>
      </w:r>
      <w:r w:rsidRPr="000814F0">
        <w:rPr>
          <w:lang w:val="es-419"/>
        </w:rPr>
        <w:t xml:space="preserve"> </w:t>
      </w:r>
      <w:r w:rsidR="006B385B" w:rsidRPr="000814F0">
        <w:rPr>
          <w:lang w:val="es-419"/>
        </w:rPr>
        <w:t>Las respuestas al cuestionario están disponibles en</w:t>
      </w:r>
      <w:r w:rsidRPr="000814F0">
        <w:rPr>
          <w:lang w:val="es-419"/>
        </w:rPr>
        <w:t xml:space="preserve"> </w:t>
      </w:r>
      <w:hyperlink r:id="rId10" w:history="1">
        <w:r w:rsidRPr="000814F0">
          <w:rPr>
            <w:rStyle w:val="Hyperlink"/>
            <w:lang w:val="es-419"/>
          </w:rPr>
          <w:t>https://www.wipo.int/edocs/mdocs/cws/en/cws_9/cws_9_item_16.zip</w:t>
        </w:r>
      </w:hyperlink>
      <w:r w:rsidR="000C2B10" w:rsidRPr="000814F0">
        <w:rPr>
          <w:lang w:val="es-419"/>
        </w:rPr>
        <w:t xml:space="preserve">. </w:t>
      </w:r>
      <w:r w:rsidR="00CA1638" w:rsidRPr="000814F0">
        <w:rPr>
          <w:lang w:val="es-419"/>
        </w:rPr>
        <w:t>El Equipo Técnico solicita la aprobación del CWS para publicar los r</w:t>
      </w:r>
      <w:r w:rsidR="00B22113" w:rsidRPr="000814F0">
        <w:rPr>
          <w:lang w:val="es-419"/>
        </w:rPr>
        <w:t>esultados de la encuesta en la p</w:t>
      </w:r>
      <w:r w:rsidR="00CA1638" w:rsidRPr="000814F0">
        <w:rPr>
          <w:lang w:val="es-419"/>
        </w:rPr>
        <w:t>arte 7 del Manual de Información y Documentación sobre Propiedad Industrial (Manual de la OMPI).</w:t>
      </w:r>
    </w:p>
    <w:p w:rsidR="00D05E57" w:rsidRPr="000814F0" w:rsidRDefault="00993841" w:rsidP="00993841">
      <w:pPr>
        <w:pStyle w:val="Heading2"/>
        <w:spacing w:before="0"/>
        <w:rPr>
          <w:lang w:val="es-419" w:eastAsia="en-US"/>
        </w:rPr>
      </w:pPr>
      <w:r w:rsidRPr="000814F0">
        <w:rPr>
          <w:lang w:val="es-419" w:eastAsia="en-US"/>
        </w:rPr>
        <w:t>ANÁLISIS</w:t>
      </w:r>
    </w:p>
    <w:p w:rsidR="00D05E57" w:rsidRPr="000814F0" w:rsidRDefault="00AC1E8B" w:rsidP="000448FF">
      <w:pPr>
        <w:pStyle w:val="ONUMFS"/>
        <w:numPr>
          <w:ilvl w:val="0"/>
          <w:numId w:val="0"/>
        </w:numPr>
        <w:rPr>
          <w:szCs w:val="22"/>
          <w:lang w:val="es-419"/>
        </w:rPr>
      </w:pPr>
      <w:r w:rsidRPr="000814F0">
        <w:rPr>
          <w:lang w:val="es-419"/>
        </w:rPr>
        <w:fldChar w:fldCharType="begin"/>
      </w:r>
      <w:r w:rsidRPr="000814F0">
        <w:rPr>
          <w:lang w:val="es-419"/>
        </w:rPr>
        <w:instrText xml:space="preserve"> AUTONUM  </w:instrText>
      </w:r>
      <w:r w:rsidRPr="000814F0">
        <w:rPr>
          <w:lang w:val="es-419"/>
        </w:rPr>
        <w:fldChar w:fldCharType="end"/>
      </w:r>
      <w:r w:rsidRPr="000814F0">
        <w:rPr>
          <w:lang w:val="es-419"/>
        </w:rPr>
        <w:tab/>
      </w:r>
      <w:r w:rsidR="000448FF" w:rsidRPr="000814F0">
        <w:rPr>
          <w:lang w:val="es-419"/>
        </w:rPr>
        <w:t xml:space="preserve">Se recibieron respuestas de 36 </w:t>
      </w:r>
      <w:r w:rsidR="00AA235E" w:rsidRPr="000814F0">
        <w:rPr>
          <w:lang w:val="es-419"/>
        </w:rPr>
        <w:t>OPI</w:t>
      </w:r>
      <w:r w:rsidR="000448FF" w:rsidRPr="000814F0">
        <w:rPr>
          <w:lang w:val="es-419"/>
        </w:rPr>
        <w:t>, a saber: Alemania; Australia; Austria; Azerbaiyán; Bahrein; Brasil; Colombia; Côte d’Ivoire; Ecuador; Eslovaquia; Eslovenia; Estados Unidos de América; Estonia; Federación de Rusia; Filipinas; Finlandia; Georgia; Hungría; Israel; Italia; Japón; Lituania; México; Noruega; Panamá; Papua Nueva Guinea; Polonia; Portugal; Reino Unido; República de Corea; República de Moldova; San Marino; Suecia; Ucrania; Uruguay; y la Ofi</w:t>
      </w:r>
      <w:r w:rsidR="000C2B10" w:rsidRPr="000814F0">
        <w:rPr>
          <w:lang w:val="es-419"/>
        </w:rPr>
        <w:t>cina Europea de Patentes (OEP).</w:t>
      </w:r>
    </w:p>
    <w:p w:rsidR="00D05E57" w:rsidRPr="000814F0" w:rsidRDefault="00AC1E8B" w:rsidP="00A15DB2">
      <w:pPr>
        <w:pStyle w:val="ONUMFS"/>
        <w:numPr>
          <w:ilvl w:val="0"/>
          <w:numId w:val="0"/>
        </w:numPr>
        <w:rPr>
          <w:rFonts w:eastAsia="Times New Roman"/>
          <w:szCs w:val="22"/>
          <w:lang w:val="es-419" w:eastAsia="en-US"/>
        </w:rPr>
      </w:pPr>
      <w:r w:rsidRPr="000814F0">
        <w:rPr>
          <w:szCs w:val="22"/>
          <w:lang w:val="es-419"/>
        </w:rPr>
        <w:fldChar w:fldCharType="begin"/>
      </w:r>
      <w:r w:rsidRPr="000814F0">
        <w:rPr>
          <w:szCs w:val="22"/>
          <w:lang w:val="es-419"/>
        </w:rPr>
        <w:instrText xml:space="preserve"> AUTONUM  </w:instrText>
      </w:r>
      <w:r w:rsidRPr="000814F0">
        <w:rPr>
          <w:szCs w:val="22"/>
          <w:lang w:val="es-419"/>
        </w:rPr>
        <w:fldChar w:fldCharType="end"/>
      </w:r>
      <w:r w:rsidRPr="000814F0">
        <w:rPr>
          <w:szCs w:val="22"/>
          <w:lang w:val="es-419"/>
        </w:rPr>
        <w:tab/>
      </w:r>
      <w:r w:rsidR="00621ECE" w:rsidRPr="000814F0">
        <w:rPr>
          <w:szCs w:val="22"/>
          <w:lang w:val="es-419"/>
        </w:rPr>
        <w:t xml:space="preserve">La mayoría de los encuestados (28) indicaron que no </w:t>
      </w:r>
      <w:r w:rsidR="004F2A1E" w:rsidRPr="000814F0">
        <w:rPr>
          <w:szCs w:val="22"/>
          <w:lang w:val="es-419"/>
        </w:rPr>
        <w:t>se exigen tasas</w:t>
      </w:r>
      <w:r w:rsidR="00621ECE" w:rsidRPr="000814F0">
        <w:rPr>
          <w:szCs w:val="22"/>
          <w:lang w:val="es-419"/>
        </w:rPr>
        <w:t xml:space="preserve"> para acceder a la información sobre patentes.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F658BF" w:rsidRPr="000814F0">
        <w:rPr>
          <w:rFonts w:eastAsia="Times New Roman"/>
          <w:szCs w:val="22"/>
          <w:lang w:val="es-419" w:eastAsia="en-US"/>
        </w:rPr>
        <w:t>Más de la mitad (19) respondieron que las interfaces en línea están disponibles en inglés.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621ECE" w:rsidRPr="000814F0">
        <w:rPr>
          <w:rFonts w:eastAsia="Times New Roman"/>
          <w:szCs w:val="22"/>
          <w:lang w:val="es-419" w:eastAsia="en-US"/>
        </w:rPr>
        <w:t xml:space="preserve">Menos de la mitad de las oficinas proporcionan documentos </w:t>
      </w:r>
      <w:r w:rsidR="00F64C12" w:rsidRPr="000814F0">
        <w:rPr>
          <w:rFonts w:eastAsia="Times New Roman"/>
          <w:szCs w:val="22"/>
          <w:lang w:val="es-419" w:eastAsia="en-US"/>
        </w:rPr>
        <w:t>disponibles para su descarga en un formato de texto que sea susceptible de búsqueda</w:t>
      </w:r>
      <w:r w:rsidR="00621ECE" w:rsidRPr="000814F0">
        <w:rPr>
          <w:rFonts w:eastAsia="Times New Roman"/>
          <w:szCs w:val="22"/>
          <w:lang w:val="es-419" w:eastAsia="en-US"/>
        </w:rPr>
        <w:t xml:space="preserve"> (por ejemplo texto s</w:t>
      </w:r>
      <w:r w:rsidR="00CB2FF5" w:rsidRPr="000814F0">
        <w:rPr>
          <w:rFonts w:eastAsia="Times New Roman"/>
          <w:szCs w:val="22"/>
          <w:lang w:val="es-419" w:eastAsia="en-US"/>
        </w:rPr>
        <w:t>encill</w:t>
      </w:r>
      <w:r w:rsidR="00621ECE" w:rsidRPr="000814F0">
        <w:rPr>
          <w:rFonts w:eastAsia="Times New Roman"/>
          <w:szCs w:val="22"/>
          <w:lang w:val="es-419" w:eastAsia="en-US"/>
        </w:rPr>
        <w:t xml:space="preserve">o, HTML, XML, </w:t>
      </w:r>
      <w:r w:rsidR="00CB2FF5" w:rsidRPr="000814F0">
        <w:rPr>
          <w:rFonts w:eastAsia="Times New Roman"/>
          <w:szCs w:val="22"/>
          <w:lang w:val="es-419" w:eastAsia="en-US"/>
        </w:rPr>
        <w:t>determinad</w:t>
      </w:r>
      <w:r w:rsidR="00621ECE" w:rsidRPr="000814F0">
        <w:rPr>
          <w:rFonts w:eastAsia="Times New Roman"/>
          <w:szCs w:val="22"/>
          <w:lang w:val="es-419" w:eastAsia="en-US"/>
        </w:rPr>
        <w:t xml:space="preserve">os tipos de </w:t>
      </w:r>
      <w:r w:rsidR="00CB2FF5" w:rsidRPr="000814F0">
        <w:rPr>
          <w:rFonts w:eastAsia="Times New Roman"/>
          <w:szCs w:val="22"/>
          <w:lang w:val="es-419" w:eastAsia="en-US"/>
        </w:rPr>
        <w:t xml:space="preserve">documentos </w:t>
      </w:r>
      <w:r w:rsidR="00621ECE" w:rsidRPr="000814F0">
        <w:rPr>
          <w:rFonts w:eastAsia="Times New Roman"/>
          <w:szCs w:val="22"/>
          <w:lang w:val="es-419" w:eastAsia="en-US"/>
        </w:rPr>
        <w:t>PDF), incluidos los relativos a patentes concedidas (15); solicitudes publicadas (13); y modificaciones, correcciones o actualizaciones (13).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F658BF" w:rsidRPr="000814F0">
        <w:rPr>
          <w:rFonts w:eastAsia="Times New Roman"/>
          <w:szCs w:val="22"/>
          <w:lang w:val="es-419" w:eastAsia="en-US"/>
        </w:rPr>
        <w:t>Veinte OPI informa</w:t>
      </w:r>
      <w:r w:rsidR="00555B96" w:rsidRPr="000814F0">
        <w:rPr>
          <w:rFonts w:eastAsia="Times New Roman"/>
          <w:szCs w:val="22"/>
          <w:lang w:val="es-419" w:eastAsia="en-US"/>
        </w:rPr>
        <w:t>ro</w:t>
      </w:r>
      <w:r w:rsidR="00F658BF" w:rsidRPr="000814F0">
        <w:rPr>
          <w:rFonts w:eastAsia="Times New Roman"/>
          <w:szCs w:val="22"/>
          <w:lang w:val="es-419" w:eastAsia="en-US"/>
        </w:rPr>
        <w:t xml:space="preserve">n de que </w:t>
      </w:r>
      <w:r w:rsidR="00C11AA5" w:rsidRPr="000814F0">
        <w:rPr>
          <w:rFonts w:eastAsia="Times New Roman"/>
          <w:szCs w:val="22"/>
          <w:lang w:val="es-419" w:eastAsia="en-US"/>
        </w:rPr>
        <w:t>toda la información</w:t>
      </w:r>
      <w:r w:rsidR="00F658BF" w:rsidRPr="000814F0">
        <w:rPr>
          <w:rFonts w:eastAsia="Times New Roman"/>
          <w:szCs w:val="22"/>
          <w:lang w:val="es-419" w:eastAsia="en-US"/>
        </w:rPr>
        <w:t xml:space="preserve"> disponible sobre patentes </w:t>
      </w:r>
      <w:r w:rsidR="00C11AA5" w:rsidRPr="000814F0">
        <w:rPr>
          <w:rFonts w:eastAsia="Times New Roman"/>
          <w:szCs w:val="22"/>
          <w:lang w:val="es-419" w:eastAsia="en-US"/>
        </w:rPr>
        <w:t>puede consultarse en una única página o portal</w:t>
      </w:r>
      <w:r w:rsidR="00F658BF" w:rsidRPr="000814F0">
        <w:rPr>
          <w:rFonts w:eastAsia="Times New Roman"/>
          <w:szCs w:val="22"/>
          <w:lang w:val="es-419" w:eastAsia="en-US"/>
        </w:rPr>
        <w:t xml:space="preserve"> web.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F658BF" w:rsidRPr="000814F0">
        <w:rPr>
          <w:rFonts w:eastAsia="Times New Roman"/>
          <w:szCs w:val="22"/>
          <w:lang w:val="es-419" w:eastAsia="en-US"/>
        </w:rPr>
        <w:t xml:space="preserve">Quince OPI señalaron que </w:t>
      </w:r>
      <w:r w:rsidR="00E616FA" w:rsidRPr="000814F0">
        <w:rPr>
          <w:rFonts w:eastAsia="Times New Roman"/>
          <w:szCs w:val="22"/>
          <w:lang w:val="es-419" w:eastAsia="en-US"/>
        </w:rPr>
        <w:t xml:space="preserve">se puede acceder a </w:t>
      </w:r>
      <w:r w:rsidR="00F658BF" w:rsidRPr="000814F0">
        <w:rPr>
          <w:rFonts w:eastAsia="Times New Roman"/>
          <w:szCs w:val="22"/>
          <w:lang w:val="es-419" w:eastAsia="en-US"/>
        </w:rPr>
        <w:t>documentos regionales o internacionales de PI desde sus sistemas en línea.</w:t>
      </w:r>
    </w:p>
    <w:p w:rsidR="00D05E57" w:rsidRPr="000814F0" w:rsidRDefault="00AC1E8B" w:rsidP="00C1177B">
      <w:pPr>
        <w:pStyle w:val="ONUMFS"/>
        <w:numPr>
          <w:ilvl w:val="0"/>
          <w:numId w:val="0"/>
        </w:numPr>
        <w:rPr>
          <w:rFonts w:eastAsia="Times New Roman"/>
          <w:szCs w:val="22"/>
          <w:lang w:val="es-419" w:eastAsia="en-US"/>
        </w:rPr>
      </w:pPr>
      <w:r w:rsidRPr="000814F0">
        <w:rPr>
          <w:szCs w:val="22"/>
          <w:lang w:val="es-419"/>
        </w:rPr>
        <w:fldChar w:fldCharType="begin"/>
      </w:r>
      <w:r w:rsidRPr="000814F0">
        <w:rPr>
          <w:szCs w:val="22"/>
          <w:lang w:val="es-419"/>
        </w:rPr>
        <w:instrText xml:space="preserve"> AUTONUM  </w:instrText>
      </w:r>
      <w:r w:rsidRPr="000814F0">
        <w:rPr>
          <w:szCs w:val="22"/>
          <w:lang w:val="es-419"/>
        </w:rPr>
        <w:fldChar w:fldCharType="end"/>
      </w:r>
      <w:r w:rsidRPr="000814F0">
        <w:rPr>
          <w:szCs w:val="22"/>
          <w:lang w:val="es-419"/>
        </w:rPr>
        <w:tab/>
      </w:r>
      <w:r w:rsidR="00F658BF" w:rsidRPr="000814F0">
        <w:rPr>
          <w:szCs w:val="22"/>
          <w:lang w:val="es-419"/>
        </w:rPr>
        <w:t xml:space="preserve">Diez </w:t>
      </w:r>
      <w:r w:rsidR="00993AED" w:rsidRPr="000814F0">
        <w:rPr>
          <w:szCs w:val="22"/>
          <w:lang w:val="es-419"/>
        </w:rPr>
        <w:t xml:space="preserve">Oficinas </w:t>
      </w:r>
      <w:r w:rsidR="00F658BF" w:rsidRPr="000814F0">
        <w:rPr>
          <w:szCs w:val="22"/>
          <w:lang w:val="es-419"/>
        </w:rPr>
        <w:t>respondieron que las versiones actualizadas de los documentos de patente no están disponibles en línea cuando se realizan cambios después de la publicación.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C97059" w:rsidRPr="000814F0">
        <w:rPr>
          <w:rFonts w:eastAsia="Times New Roman"/>
          <w:szCs w:val="22"/>
          <w:lang w:val="es-419" w:eastAsia="en-US"/>
        </w:rPr>
        <w:t>En 22 OPI el historial está disponible en línea totalmente (15) o en parte (7) después de la concesión.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C1177B" w:rsidRPr="000814F0">
        <w:rPr>
          <w:rFonts w:eastAsia="Times New Roman"/>
          <w:szCs w:val="22"/>
          <w:lang w:val="es-419" w:eastAsia="en-US"/>
        </w:rPr>
        <w:t>Nueve oficin</w:t>
      </w:r>
      <w:r w:rsidR="00F852FA" w:rsidRPr="000814F0">
        <w:rPr>
          <w:rFonts w:eastAsia="Times New Roman"/>
          <w:szCs w:val="22"/>
          <w:lang w:val="es-419" w:eastAsia="en-US"/>
        </w:rPr>
        <w:t>as tienen previsto utilizar la N</w:t>
      </w:r>
      <w:r w:rsidR="00C1177B" w:rsidRPr="000814F0">
        <w:rPr>
          <w:rFonts w:eastAsia="Times New Roman"/>
          <w:szCs w:val="22"/>
          <w:lang w:val="es-419" w:eastAsia="en-US"/>
        </w:rPr>
        <w:t xml:space="preserve">orma ST.27 </w:t>
      </w:r>
      <w:r w:rsidR="00F852FA" w:rsidRPr="000814F0">
        <w:rPr>
          <w:rFonts w:eastAsia="Times New Roman"/>
          <w:szCs w:val="22"/>
          <w:lang w:val="es-419" w:eastAsia="en-US"/>
        </w:rPr>
        <w:t xml:space="preserve">en el futuro </w:t>
      </w:r>
      <w:r w:rsidR="00C1177B" w:rsidRPr="000814F0">
        <w:rPr>
          <w:rFonts w:eastAsia="Times New Roman"/>
          <w:szCs w:val="22"/>
          <w:lang w:val="es-419" w:eastAsia="en-US"/>
        </w:rPr>
        <w:t>para las incidencias relativas a la situación jurídica</w:t>
      </w:r>
      <w:r w:rsidR="006E2E55" w:rsidRPr="000814F0">
        <w:rPr>
          <w:rFonts w:eastAsia="Times New Roman"/>
          <w:szCs w:val="22"/>
          <w:lang w:val="es-419" w:eastAsia="en-US"/>
        </w:rPr>
        <w:t xml:space="preserve">. </w:t>
      </w:r>
      <w:r w:rsidR="00C1177B" w:rsidRPr="000814F0">
        <w:rPr>
          <w:rFonts w:eastAsia="Times New Roman"/>
          <w:szCs w:val="22"/>
          <w:lang w:val="es-419" w:eastAsia="en-US"/>
        </w:rPr>
        <w:t xml:space="preserve">Por su parte, </w:t>
      </w:r>
      <w:r w:rsidR="000E573F" w:rsidRPr="000814F0">
        <w:rPr>
          <w:rFonts w:eastAsia="Times New Roman"/>
          <w:szCs w:val="22"/>
          <w:lang w:val="es-419" w:eastAsia="en-US"/>
        </w:rPr>
        <w:t>9</w:t>
      </w:r>
      <w:r w:rsidR="00C1177B" w:rsidRPr="000814F0">
        <w:rPr>
          <w:rFonts w:eastAsia="Times New Roman"/>
          <w:szCs w:val="22"/>
          <w:lang w:val="es-419" w:eastAsia="en-US"/>
        </w:rPr>
        <w:t xml:space="preserve"> de las 14 OPI que </w:t>
      </w:r>
      <w:r w:rsidR="00F852FA" w:rsidRPr="000814F0">
        <w:rPr>
          <w:rFonts w:eastAsia="Times New Roman"/>
          <w:szCs w:val="22"/>
          <w:lang w:val="es-419" w:eastAsia="en-US"/>
        </w:rPr>
        <w:t>no tienen previsto utilizar la N</w:t>
      </w:r>
      <w:r w:rsidR="00C1177B" w:rsidRPr="000814F0">
        <w:rPr>
          <w:rFonts w:eastAsia="Times New Roman"/>
          <w:szCs w:val="22"/>
          <w:lang w:val="es-419" w:eastAsia="en-US"/>
        </w:rPr>
        <w:t>orma ST.27 de momento aducen como razón principal la insuficiencia de recursos.</w:t>
      </w:r>
    </w:p>
    <w:p w:rsidR="00D05E57" w:rsidRPr="000814F0" w:rsidRDefault="00AC1E8B" w:rsidP="007E04D1">
      <w:pPr>
        <w:pStyle w:val="ONUMFS"/>
        <w:numPr>
          <w:ilvl w:val="0"/>
          <w:numId w:val="0"/>
        </w:numPr>
        <w:rPr>
          <w:rFonts w:eastAsia="Times New Roman"/>
          <w:szCs w:val="22"/>
          <w:lang w:val="es-419" w:eastAsia="en-US"/>
        </w:rPr>
      </w:pPr>
      <w:r w:rsidRPr="000814F0">
        <w:rPr>
          <w:szCs w:val="22"/>
          <w:lang w:val="es-419"/>
        </w:rPr>
        <w:fldChar w:fldCharType="begin"/>
      </w:r>
      <w:r w:rsidRPr="000814F0">
        <w:rPr>
          <w:szCs w:val="22"/>
          <w:lang w:val="es-419"/>
        </w:rPr>
        <w:instrText xml:space="preserve"> AUTONUM  </w:instrText>
      </w:r>
      <w:r w:rsidRPr="000814F0">
        <w:rPr>
          <w:szCs w:val="22"/>
          <w:lang w:val="es-419"/>
        </w:rPr>
        <w:fldChar w:fldCharType="end"/>
      </w:r>
      <w:r w:rsidRPr="000814F0">
        <w:rPr>
          <w:szCs w:val="22"/>
          <w:lang w:val="es-419"/>
        </w:rPr>
        <w:tab/>
      </w:r>
      <w:r w:rsidR="00581881" w:rsidRPr="000814F0">
        <w:rPr>
          <w:szCs w:val="22"/>
          <w:lang w:val="es-419"/>
        </w:rPr>
        <w:t>Trece OPI informa</w:t>
      </w:r>
      <w:r w:rsidR="001610A6" w:rsidRPr="000814F0">
        <w:rPr>
          <w:szCs w:val="22"/>
          <w:lang w:val="es-419"/>
        </w:rPr>
        <w:t>ro</w:t>
      </w:r>
      <w:r w:rsidR="00581881" w:rsidRPr="000814F0">
        <w:rPr>
          <w:szCs w:val="22"/>
          <w:lang w:val="es-419"/>
        </w:rPr>
        <w:t>n de que ofrecen un fichero de referencia conforme a la Norma ST.37 a través del portal de ficheros de referencia de la OMPI, mientras que cinco OPI ofrecen un fichero de referencia que no se encuentra en el portal de la OMPI.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7E04D1" w:rsidRPr="000814F0">
        <w:rPr>
          <w:rFonts w:eastAsia="Times New Roman"/>
          <w:szCs w:val="22"/>
          <w:lang w:val="es-419" w:eastAsia="en-US"/>
        </w:rPr>
        <w:t>Las OPI que no cumplen la Norma ST.37 respecto de sus ficheros de referencia señalan como razones principales la falta de recursos (7) y la dificultad de los requisitos técnicos (5).</w:t>
      </w:r>
    </w:p>
    <w:p w:rsidR="00D05E57" w:rsidRPr="000814F0" w:rsidRDefault="00AC1E8B" w:rsidP="00201B34">
      <w:pPr>
        <w:pStyle w:val="ONUMFS"/>
        <w:numPr>
          <w:ilvl w:val="0"/>
          <w:numId w:val="0"/>
        </w:numPr>
        <w:rPr>
          <w:rFonts w:eastAsia="Times New Roman"/>
          <w:szCs w:val="22"/>
          <w:lang w:val="es-419" w:eastAsia="en-US"/>
        </w:rPr>
      </w:pPr>
      <w:r w:rsidRPr="000814F0">
        <w:rPr>
          <w:rFonts w:eastAsia="Times New Roman"/>
          <w:szCs w:val="22"/>
          <w:lang w:val="es-419" w:eastAsia="en-US"/>
        </w:rPr>
        <w:fldChar w:fldCharType="begin"/>
      </w:r>
      <w:r w:rsidRPr="000814F0">
        <w:rPr>
          <w:rFonts w:eastAsia="Times New Roman"/>
          <w:szCs w:val="22"/>
          <w:lang w:val="es-419" w:eastAsia="en-US"/>
        </w:rPr>
        <w:instrText xml:space="preserve"> AUTONUM  </w:instrText>
      </w:r>
      <w:r w:rsidRPr="000814F0">
        <w:rPr>
          <w:rFonts w:eastAsia="Times New Roman"/>
          <w:szCs w:val="22"/>
          <w:lang w:val="es-419" w:eastAsia="en-US"/>
        </w:rPr>
        <w:fldChar w:fldCharType="end"/>
      </w:r>
      <w:r w:rsidRPr="000814F0">
        <w:rPr>
          <w:rFonts w:eastAsia="Times New Roman"/>
          <w:szCs w:val="22"/>
          <w:lang w:val="es-419" w:eastAsia="en-US"/>
        </w:rPr>
        <w:tab/>
      </w:r>
      <w:r w:rsidR="007E04D1" w:rsidRPr="000814F0">
        <w:rPr>
          <w:rFonts w:eastAsia="Times New Roman"/>
          <w:szCs w:val="22"/>
          <w:lang w:val="es-419" w:eastAsia="en-US"/>
        </w:rPr>
        <w:t>La Oficina Internacional considera que los resultados de la encuesta serán útiles para actualizar la p</w:t>
      </w:r>
      <w:r w:rsidR="000C2B10" w:rsidRPr="000814F0">
        <w:rPr>
          <w:rFonts w:eastAsia="Times New Roman"/>
          <w:szCs w:val="22"/>
          <w:lang w:val="es-419" w:eastAsia="en-US"/>
        </w:rPr>
        <w:t>arte 6.1 del Manual de la OMPI “</w:t>
      </w:r>
      <w:r w:rsidR="007E04D1" w:rsidRPr="000814F0">
        <w:rPr>
          <w:rFonts w:eastAsia="Times New Roman"/>
          <w:szCs w:val="22"/>
          <w:lang w:val="es-419" w:eastAsia="en-US"/>
        </w:rPr>
        <w:t>Recomendaciones sobre el contenido básico de los sitios web de las of</w:t>
      </w:r>
      <w:r w:rsidR="000C2B10" w:rsidRPr="000814F0">
        <w:rPr>
          <w:rFonts w:eastAsia="Times New Roman"/>
          <w:szCs w:val="22"/>
          <w:lang w:val="es-419" w:eastAsia="en-US"/>
        </w:rPr>
        <w:t>icinas de propiedad intelectual”</w:t>
      </w:r>
      <w:r w:rsidR="007E04D1" w:rsidRPr="000814F0">
        <w:rPr>
          <w:rFonts w:eastAsia="Times New Roman"/>
          <w:szCs w:val="22"/>
          <w:lang w:val="es-419" w:eastAsia="en-US"/>
        </w:rPr>
        <w:t>.</w:t>
      </w:r>
      <w:r w:rsidR="000C2B10" w:rsidRPr="000814F0">
        <w:rPr>
          <w:rFonts w:eastAsia="Times New Roman"/>
          <w:szCs w:val="22"/>
          <w:lang w:val="es-419" w:eastAsia="en-US"/>
        </w:rPr>
        <w:t xml:space="preserve"> </w:t>
      </w:r>
      <w:r w:rsidR="00201B34" w:rsidRPr="000814F0">
        <w:rPr>
          <w:rFonts w:eastAsia="Times New Roman"/>
          <w:szCs w:val="22"/>
          <w:lang w:val="es-419" w:eastAsia="en-US"/>
        </w:rPr>
        <w:t>Los resultados son pertinentes asimismo para la Tarea N.º</w:t>
      </w:r>
      <w:r w:rsidRPr="000814F0">
        <w:rPr>
          <w:rFonts w:eastAsia="Times New Roman"/>
          <w:szCs w:val="22"/>
          <w:lang w:val="es-419" w:eastAsia="en-US"/>
        </w:rPr>
        <w:t xml:space="preserve"> 62</w:t>
      </w:r>
      <w:r w:rsidR="00201B34" w:rsidRPr="000814F0">
        <w:rPr>
          <w:rFonts w:eastAsia="Times New Roman"/>
          <w:szCs w:val="22"/>
          <w:lang w:val="es-419" w:eastAsia="en-US"/>
        </w:rPr>
        <w:t xml:space="preserve">, relativa a la publicación electrónica </w:t>
      </w:r>
      <w:r w:rsidR="0001183C" w:rsidRPr="000814F0">
        <w:rPr>
          <w:rFonts w:eastAsia="Times New Roman"/>
          <w:szCs w:val="22"/>
          <w:lang w:val="es-419" w:eastAsia="en-US"/>
        </w:rPr>
        <w:t>de documentos</w:t>
      </w:r>
      <w:r w:rsidR="00201B34" w:rsidRPr="000814F0">
        <w:rPr>
          <w:rFonts w:eastAsia="Times New Roman"/>
          <w:szCs w:val="22"/>
          <w:lang w:val="es-419" w:eastAsia="en-US"/>
        </w:rPr>
        <w:t xml:space="preserve"> sobre PI, que está asignada al Equipo Técnico de la Transformación Digital.</w:t>
      </w:r>
    </w:p>
    <w:p w:rsidR="00D05E57" w:rsidRPr="000814F0" w:rsidRDefault="00AC1E8B" w:rsidP="00387270">
      <w:pPr>
        <w:pStyle w:val="ONUMFS"/>
        <w:numPr>
          <w:ilvl w:val="0"/>
          <w:numId w:val="0"/>
        </w:numPr>
        <w:rPr>
          <w:szCs w:val="22"/>
          <w:lang w:val="es-419" w:eastAsia="en-US"/>
        </w:rPr>
      </w:pPr>
      <w:r w:rsidRPr="000814F0">
        <w:rPr>
          <w:szCs w:val="22"/>
          <w:lang w:val="es-419"/>
        </w:rPr>
        <w:fldChar w:fldCharType="begin"/>
      </w:r>
      <w:r w:rsidRPr="000814F0">
        <w:rPr>
          <w:szCs w:val="22"/>
          <w:lang w:val="es-419"/>
        </w:rPr>
        <w:instrText xml:space="preserve"> AUTONUM  </w:instrText>
      </w:r>
      <w:r w:rsidRPr="000814F0">
        <w:rPr>
          <w:szCs w:val="22"/>
          <w:lang w:val="es-419"/>
        </w:rPr>
        <w:fldChar w:fldCharType="end"/>
      </w:r>
      <w:r w:rsidRPr="000814F0">
        <w:rPr>
          <w:szCs w:val="22"/>
          <w:lang w:val="es-419"/>
        </w:rPr>
        <w:tab/>
      </w:r>
      <w:r w:rsidR="00387270" w:rsidRPr="000814F0">
        <w:rPr>
          <w:szCs w:val="22"/>
          <w:lang w:val="es-419"/>
        </w:rPr>
        <w:t>Ahora que el estudio está terminado, el Equipo Técnico recomienda actualizar la descripción de la Tarea N.º 52 como sigue:</w:t>
      </w:r>
    </w:p>
    <w:p w:rsidR="00D05E57" w:rsidRPr="000814F0" w:rsidRDefault="000C2B10" w:rsidP="00387270">
      <w:pPr>
        <w:pStyle w:val="ONUMFS"/>
        <w:numPr>
          <w:ilvl w:val="0"/>
          <w:numId w:val="0"/>
        </w:numPr>
        <w:ind w:left="567"/>
        <w:rPr>
          <w:szCs w:val="22"/>
          <w:lang w:val="es-419" w:eastAsia="en-US"/>
        </w:rPr>
      </w:pPr>
      <w:r w:rsidRPr="000814F0">
        <w:rPr>
          <w:szCs w:val="22"/>
          <w:lang w:val="es-419" w:eastAsia="en-US"/>
        </w:rPr>
        <w:t>“</w:t>
      </w:r>
      <w:r w:rsidR="00387270" w:rsidRPr="000814F0">
        <w:rPr>
          <w:strike/>
          <w:szCs w:val="22"/>
          <w:lang w:val="es-419" w:eastAsia="en-US"/>
        </w:rPr>
        <w:t xml:space="preserve">Encuesta sobre el contenido y las funcionalidades de los sistemas para facilitar el acceso a la información contenida en las patentes que publican las oficinas de propiedad industrial, así como sus planes para el futuro en relación con sus prácticas en materia de publicación; </w:t>
      </w:r>
      <w:r w:rsidR="00387270" w:rsidRPr="000814F0">
        <w:rPr>
          <w:szCs w:val="22"/>
          <w:lang w:val="es-419" w:eastAsia="en-US"/>
        </w:rPr>
        <w:t xml:space="preserve">preparar recomendaciones relativas a los sistemas para facilitar el acceso a la información contenida en las patentes que publican las oficinas de propiedad </w:t>
      </w:r>
      <w:r w:rsidR="00387270" w:rsidRPr="000814F0">
        <w:rPr>
          <w:szCs w:val="22"/>
          <w:u w:val="single"/>
          <w:lang w:val="es-419" w:eastAsia="en-US"/>
        </w:rPr>
        <w:t>intelectual</w:t>
      </w:r>
      <w:r w:rsidR="00387270" w:rsidRPr="000814F0">
        <w:rPr>
          <w:strike/>
          <w:szCs w:val="22"/>
          <w:lang w:val="es-419" w:eastAsia="en-US"/>
        </w:rPr>
        <w:t xml:space="preserve"> industrial</w:t>
      </w:r>
      <w:r w:rsidRPr="000814F0">
        <w:rPr>
          <w:szCs w:val="22"/>
          <w:lang w:val="es-419" w:eastAsia="en-US"/>
        </w:rPr>
        <w:t>”</w:t>
      </w:r>
      <w:r w:rsidR="00387270" w:rsidRPr="000814F0">
        <w:rPr>
          <w:szCs w:val="22"/>
          <w:lang w:val="es-419" w:eastAsia="en-US"/>
        </w:rPr>
        <w:t>.</w:t>
      </w:r>
    </w:p>
    <w:p w:rsidR="00D05E57" w:rsidRPr="000814F0" w:rsidRDefault="00AC1E8B" w:rsidP="00EF5EE8">
      <w:pPr>
        <w:pStyle w:val="ONUMFS"/>
        <w:keepNext/>
        <w:keepLines/>
        <w:numPr>
          <w:ilvl w:val="0"/>
          <w:numId w:val="0"/>
        </w:numPr>
        <w:spacing w:after="120"/>
        <w:ind w:left="5528"/>
        <w:rPr>
          <w:i/>
          <w:szCs w:val="22"/>
          <w:lang w:val="es-419"/>
        </w:rPr>
      </w:pPr>
      <w:r w:rsidRPr="000814F0">
        <w:rPr>
          <w:i/>
          <w:szCs w:val="22"/>
          <w:lang w:val="es-419"/>
        </w:rPr>
        <w:lastRenderedPageBreak/>
        <w:fldChar w:fldCharType="begin"/>
      </w:r>
      <w:r w:rsidRPr="000814F0">
        <w:rPr>
          <w:i/>
          <w:szCs w:val="22"/>
          <w:lang w:val="es-419"/>
        </w:rPr>
        <w:instrText xml:space="preserve"> AUTONUM  </w:instrText>
      </w:r>
      <w:r w:rsidRPr="000814F0">
        <w:rPr>
          <w:i/>
          <w:szCs w:val="22"/>
          <w:lang w:val="es-419"/>
        </w:rPr>
        <w:fldChar w:fldCharType="end"/>
      </w:r>
      <w:r w:rsidRPr="000814F0">
        <w:rPr>
          <w:i/>
          <w:szCs w:val="22"/>
          <w:lang w:val="es-419"/>
        </w:rPr>
        <w:tab/>
      </w:r>
      <w:r w:rsidR="000C2B10" w:rsidRPr="000814F0">
        <w:rPr>
          <w:i/>
          <w:szCs w:val="22"/>
          <w:lang w:val="es-419"/>
        </w:rPr>
        <w:t>Se invita al CWS a:</w:t>
      </w:r>
    </w:p>
    <w:p w:rsidR="00D05E57" w:rsidRPr="000814F0" w:rsidRDefault="00AC1E8B" w:rsidP="00D05E57">
      <w:pPr>
        <w:pStyle w:val="BodyText"/>
        <w:tabs>
          <w:tab w:val="left" w:pos="6160"/>
          <w:tab w:val="left" w:pos="6710"/>
        </w:tabs>
        <w:ind w:left="5530"/>
        <w:rPr>
          <w:i/>
          <w:szCs w:val="22"/>
          <w:lang w:val="es-419"/>
        </w:rPr>
      </w:pPr>
      <w:r w:rsidRPr="000814F0">
        <w:rPr>
          <w:i/>
          <w:szCs w:val="22"/>
          <w:lang w:val="es-419"/>
        </w:rPr>
        <w:tab/>
      </w:r>
      <w:r w:rsidR="00D05E57" w:rsidRPr="000814F0">
        <w:rPr>
          <w:i/>
          <w:szCs w:val="22"/>
          <w:lang w:val="es-419"/>
        </w:rPr>
        <w:t>a)</w:t>
      </w:r>
      <w:r w:rsidR="00D05E57" w:rsidRPr="000814F0">
        <w:rPr>
          <w:i/>
          <w:szCs w:val="22"/>
          <w:lang w:val="es-419"/>
        </w:rPr>
        <w:tab/>
        <w:t xml:space="preserve"> tomar nota del contenido del presente documento;</w:t>
      </w:r>
    </w:p>
    <w:p w:rsidR="00D05E57" w:rsidRPr="000814F0" w:rsidRDefault="00AC1E8B" w:rsidP="00EF5EE8">
      <w:pPr>
        <w:pStyle w:val="BodyText"/>
        <w:tabs>
          <w:tab w:val="left" w:pos="6160"/>
          <w:tab w:val="left" w:pos="6710"/>
        </w:tabs>
        <w:ind w:left="5528"/>
        <w:rPr>
          <w:i/>
          <w:szCs w:val="22"/>
          <w:lang w:val="es-419"/>
        </w:rPr>
      </w:pPr>
      <w:r w:rsidRPr="000814F0">
        <w:rPr>
          <w:i/>
          <w:szCs w:val="22"/>
          <w:lang w:val="es-419"/>
        </w:rPr>
        <w:tab/>
      </w:r>
      <w:r w:rsidR="009C641D" w:rsidRPr="000814F0">
        <w:rPr>
          <w:i/>
          <w:szCs w:val="22"/>
          <w:lang w:val="es-419"/>
        </w:rPr>
        <w:t>b)</w:t>
      </w:r>
      <w:r w:rsidR="009C641D" w:rsidRPr="000814F0">
        <w:rPr>
          <w:i/>
          <w:szCs w:val="22"/>
          <w:lang w:val="es-419"/>
        </w:rPr>
        <w:tab/>
        <w:t>pedir a la Secretaría que publique los r</w:t>
      </w:r>
      <w:r w:rsidR="00B22113" w:rsidRPr="000814F0">
        <w:rPr>
          <w:i/>
          <w:szCs w:val="22"/>
          <w:lang w:val="es-419"/>
        </w:rPr>
        <w:t>esultados de la encuesta en la p</w:t>
      </w:r>
      <w:r w:rsidR="009C641D" w:rsidRPr="000814F0">
        <w:rPr>
          <w:i/>
          <w:szCs w:val="22"/>
          <w:lang w:val="es-419"/>
        </w:rPr>
        <w:t xml:space="preserve">arte 7 del Manual de la OMPI como se indica en el párrafo 3, junto con el análisis de los resultados de la encuesta expuesto en los párrafos 4 a 7; y </w:t>
      </w:r>
    </w:p>
    <w:p w:rsidR="00D05E57" w:rsidRPr="000814F0" w:rsidRDefault="00AC1E8B" w:rsidP="00EF5EE8">
      <w:pPr>
        <w:pStyle w:val="BodyText"/>
        <w:tabs>
          <w:tab w:val="left" w:pos="6160"/>
          <w:tab w:val="left" w:pos="6710"/>
        </w:tabs>
        <w:spacing w:after="600"/>
        <w:ind w:left="5528"/>
        <w:rPr>
          <w:i/>
          <w:szCs w:val="22"/>
          <w:lang w:val="es-419"/>
        </w:rPr>
      </w:pPr>
      <w:r w:rsidRPr="000814F0">
        <w:rPr>
          <w:i/>
          <w:szCs w:val="22"/>
          <w:lang w:val="es-419"/>
        </w:rPr>
        <w:tab/>
      </w:r>
      <w:r w:rsidR="009C641D" w:rsidRPr="000814F0">
        <w:rPr>
          <w:i/>
          <w:szCs w:val="22"/>
          <w:lang w:val="es-419"/>
        </w:rPr>
        <w:t>c)</w:t>
      </w:r>
      <w:r w:rsidR="009C641D" w:rsidRPr="000814F0">
        <w:rPr>
          <w:i/>
          <w:szCs w:val="22"/>
          <w:lang w:val="es-419"/>
        </w:rPr>
        <w:tab/>
        <w:t xml:space="preserve">considerar y aprobar la revisión de la Tarea N.º 52 </w:t>
      </w:r>
      <w:r w:rsidR="0019347F" w:rsidRPr="000814F0">
        <w:rPr>
          <w:i/>
          <w:szCs w:val="22"/>
          <w:lang w:val="es-419"/>
        </w:rPr>
        <w:t>expues</w:t>
      </w:r>
      <w:r w:rsidR="009C641D" w:rsidRPr="000814F0">
        <w:rPr>
          <w:i/>
          <w:szCs w:val="22"/>
          <w:lang w:val="es-419"/>
        </w:rPr>
        <w:t>ta en el párrafo 9.</w:t>
      </w:r>
    </w:p>
    <w:p w:rsidR="00152CEA" w:rsidRPr="000814F0" w:rsidRDefault="009C641D" w:rsidP="00EF5EE8">
      <w:pPr>
        <w:pStyle w:val="Endofdocument"/>
        <w:spacing w:line="240" w:lineRule="auto"/>
        <w:ind w:left="5528"/>
        <w:rPr>
          <w:rFonts w:cs="Arial"/>
          <w:sz w:val="22"/>
          <w:szCs w:val="22"/>
          <w:lang w:val="es-419"/>
        </w:rPr>
      </w:pPr>
      <w:r w:rsidRPr="000814F0">
        <w:rPr>
          <w:rFonts w:cs="Arial"/>
          <w:sz w:val="22"/>
          <w:szCs w:val="22"/>
          <w:lang w:val="es-419"/>
        </w:rPr>
        <w:t>[Fin del documento]</w:t>
      </w:r>
    </w:p>
    <w:sectPr w:rsidR="00152CEA" w:rsidRPr="000814F0" w:rsidSect="00AC1E8B">
      <w:headerReference w:type="default" r:id="rId11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4B03" w:rsidRDefault="00264B03">
      <w:r>
        <w:separator/>
      </w:r>
    </w:p>
  </w:endnote>
  <w:endnote w:type="continuationSeparator" w:id="0">
    <w:p w:rsidR="00264B03" w:rsidRPr="009D30E6" w:rsidRDefault="00264B0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4B03" w:rsidRPr="007E663E" w:rsidRDefault="00264B0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264B03" w:rsidRPr="007E663E" w:rsidRDefault="00264B03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altName w:val="Leelawadee U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4B03" w:rsidRDefault="00264B03">
      <w:r>
        <w:separator/>
      </w:r>
    </w:p>
  </w:footnote>
  <w:footnote w:type="continuationSeparator" w:id="0">
    <w:p w:rsidR="00264B03" w:rsidRPr="009D30E6" w:rsidRDefault="00264B03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264B03" w:rsidRPr="007E663E" w:rsidRDefault="00264B03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264B03" w:rsidRPr="007E663E" w:rsidRDefault="00264B03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7F20" w:rsidRPr="000814F0" w:rsidRDefault="009C641D" w:rsidP="009C641D">
    <w:pPr>
      <w:jc w:val="right"/>
      <w:rPr>
        <w:caps/>
      </w:rPr>
    </w:pPr>
    <w:r w:rsidRPr="000814F0">
      <w:rPr>
        <w:caps/>
        <w:lang w:val="es-ES_tradnl"/>
      </w:rPr>
      <w:t>CWS/9/16</w:t>
    </w:r>
  </w:p>
  <w:p w:rsidR="00AE7F20" w:rsidRPr="000814F0" w:rsidRDefault="009C641D" w:rsidP="009C641D">
    <w:pPr>
      <w:jc w:val="right"/>
    </w:pPr>
    <w:r w:rsidRPr="000814F0">
      <w:rPr>
        <w:lang w:val="es-ES_tradnl"/>
      </w:rPr>
      <w:t>página</w:t>
    </w:r>
    <w:r w:rsidR="00AE7F20" w:rsidRPr="000814F0">
      <w:t xml:space="preserve"> </w:t>
    </w:r>
    <w:r w:rsidR="00AE7F20" w:rsidRPr="000814F0">
      <w:fldChar w:fldCharType="begin"/>
    </w:r>
    <w:r w:rsidR="00AE7F20" w:rsidRPr="000814F0">
      <w:instrText xml:space="preserve"> PAGE  \* MERGEFORMAT </w:instrText>
    </w:r>
    <w:r w:rsidR="00AE7F20" w:rsidRPr="000814F0">
      <w:fldChar w:fldCharType="separate"/>
    </w:r>
    <w:r w:rsidR="006066FB">
      <w:rPr>
        <w:noProof/>
      </w:rPr>
      <w:t>3</w:t>
    </w:r>
    <w:r w:rsidR="00AE7F20" w:rsidRPr="000814F0">
      <w:fldChar w:fldCharType="end"/>
    </w:r>
  </w:p>
  <w:p w:rsidR="00AE7F20" w:rsidRPr="000814F0" w:rsidRDefault="00AE7F20" w:rsidP="00477D6B">
    <w:pPr>
      <w:jc w:val="right"/>
    </w:pPr>
  </w:p>
  <w:p w:rsidR="00EC1AA7" w:rsidRPr="000814F0" w:rsidRDefault="00EC1AA7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SourceLng" w:val="eng"/>
    <w:docVar w:name="TargetLng" w:val="spa"/>
    <w:docVar w:name="TermBases" w:val="WIPOLDTERM"/>
    <w:docVar w:name="TermBaseURL" w:val="empty"/>
    <w:docVar w:name="TextBases" w:val="TextBase TMs\WorkspaceSTS\Patents &amp; Innovation\Patents Main|TextBase TMs\WorkspaceSTS\Patents &amp; Innovation\P Instruments|TextBase TMs\WorkspaceSTS\Outreach\POW Main|TextBase TMs\WorkspaceSTS\Development\Dev_Agenda|TextBase TMs\WorkspaceSTS\Outreach\IP Advantage|TextBase TMs\WorkspaceSTS\Outreach\Economist|Team Server TMs\Spanish"/>
    <w:docVar w:name="TextBaseURL" w:val="empty"/>
    <w:docVar w:name="UILng" w:val="en"/>
  </w:docVars>
  <w:rsids>
    <w:rsidRoot w:val="00AC1E8B"/>
    <w:rsid w:val="00010686"/>
    <w:rsid w:val="0001183C"/>
    <w:rsid w:val="000448FF"/>
    <w:rsid w:val="00052915"/>
    <w:rsid w:val="00064626"/>
    <w:rsid w:val="000814F0"/>
    <w:rsid w:val="000C2B10"/>
    <w:rsid w:val="000E3BB3"/>
    <w:rsid w:val="000E573F"/>
    <w:rsid w:val="000F5E56"/>
    <w:rsid w:val="001362EE"/>
    <w:rsid w:val="001433BE"/>
    <w:rsid w:val="00152CEA"/>
    <w:rsid w:val="001610A6"/>
    <w:rsid w:val="00167338"/>
    <w:rsid w:val="001832A6"/>
    <w:rsid w:val="0019347F"/>
    <w:rsid w:val="00201B34"/>
    <w:rsid w:val="002634C4"/>
    <w:rsid w:val="00264B03"/>
    <w:rsid w:val="002C2E2F"/>
    <w:rsid w:val="002D23B5"/>
    <w:rsid w:val="002E0F47"/>
    <w:rsid w:val="002F4E68"/>
    <w:rsid w:val="0030259D"/>
    <w:rsid w:val="00310826"/>
    <w:rsid w:val="00354647"/>
    <w:rsid w:val="00377273"/>
    <w:rsid w:val="003845C1"/>
    <w:rsid w:val="00387270"/>
    <w:rsid w:val="00387287"/>
    <w:rsid w:val="003E03D6"/>
    <w:rsid w:val="003E48F1"/>
    <w:rsid w:val="003F347A"/>
    <w:rsid w:val="00423E3E"/>
    <w:rsid w:val="00427AF4"/>
    <w:rsid w:val="00441F20"/>
    <w:rsid w:val="0045231F"/>
    <w:rsid w:val="004647DA"/>
    <w:rsid w:val="00464901"/>
    <w:rsid w:val="0046793F"/>
    <w:rsid w:val="00472A6E"/>
    <w:rsid w:val="00477808"/>
    <w:rsid w:val="00477D6B"/>
    <w:rsid w:val="004851C7"/>
    <w:rsid w:val="004920AE"/>
    <w:rsid w:val="004A6C37"/>
    <w:rsid w:val="004D54EF"/>
    <w:rsid w:val="004E297D"/>
    <w:rsid w:val="004F2A1E"/>
    <w:rsid w:val="005061BC"/>
    <w:rsid w:val="0052615A"/>
    <w:rsid w:val="00531B02"/>
    <w:rsid w:val="005332F0"/>
    <w:rsid w:val="0055013B"/>
    <w:rsid w:val="00555B96"/>
    <w:rsid w:val="00571B99"/>
    <w:rsid w:val="00581881"/>
    <w:rsid w:val="00591774"/>
    <w:rsid w:val="005B2EAE"/>
    <w:rsid w:val="00605827"/>
    <w:rsid w:val="006066FB"/>
    <w:rsid w:val="00614EC5"/>
    <w:rsid w:val="006173A5"/>
    <w:rsid w:val="00621ECE"/>
    <w:rsid w:val="00646C5D"/>
    <w:rsid w:val="00675021"/>
    <w:rsid w:val="006A06C6"/>
    <w:rsid w:val="006A2980"/>
    <w:rsid w:val="006B385B"/>
    <w:rsid w:val="006C5FD3"/>
    <w:rsid w:val="006D4322"/>
    <w:rsid w:val="006E2E55"/>
    <w:rsid w:val="007224C8"/>
    <w:rsid w:val="00794BE2"/>
    <w:rsid w:val="00795B60"/>
    <w:rsid w:val="007A5581"/>
    <w:rsid w:val="007B71FE"/>
    <w:rsid w:val="007D356E"/>
    <w:rsid w:val="007D781E"/>
    <w:rsid w:val="007E04D1"/>
    <w:rsid w:val="007E3842"/>
    <w:rsid w:val="007E663E"/>
    <w:rsid w:val="00815082"/>
    <w:rsid w:val="00823A80"/>
    <w:rsid w:val="0088395E"/>
    <w:rsid w:val="008B02AD"/>
    <w:rsid w:val="008B22D1"/>
    <w:rsid w:val="008B2CC1"/>
    <w:rsid w:val="008E6BD6"/>
    <w:rsid w:val="0090731E"/>
    <w:rsid w:val="00931199"/>
    <w:rsid w:val="00954F6A"/>
    <w:rsid w:val="00966A22"/>
    <w:rsid w:val="00972F03"/>
    <w:rsid w:val="0098367F"/>
    <w:rsid w:val="00993841"/>
    <w:rsid w:val="00993AED"/>
    <w:rsid w:val="009A0C8B"/>
    <w:rsid w:val="009A20CD"/>
    <w:rsid w:val="009B6241"/>
    <w:rsid w:val="009C641D"/>
    <w:rsid w:val="009E280A"/>
    <w:rsid w:val="00A05ED4"/>
    <w:rsid w:val="00A15DB2"/>
    <w:rsid w:val="00A16FC0"/>
    <w:rsid w:val="00A32C9E"/>
    <w:rsid w:val="00A57193"/>
    <w:rsid w:val="00AA235E"/>
    <w:rsid w:val="00AB613D"/>
    <w:rsid w:val="00AC1E8B"/>
    <w:rsid w:val="00AE7F20"/>
    <w:rsid w:val="00B22113"/>
    <w:rsid w:val="00B534D5"/>
    <w:rsid w:val="00B65A0A"/>
    <w:rsid w:val="00B67CDC"/>
    <w:rsid w:val="00B72D36"/>
    <w:rsid w:val="00B872EA"/>
    <w:rsid w:val="00B91004"/>
    <w:rsid w:val="00BB5AD1"/>
    <w:rsid w:val="00BC0842"/>
    <w:rsid w:val="00BC4164"/>
    <w:rsid w:val="00BD2DCC"/>
    <w:rsid w:val="00BF3BF1"/>
    <w:rsid w:val="00BF5A8E"/>
    <w:rsid w:val="00C1177B"/>
    <w:rsid w:val="00C11AA5"/>
    <w:rsid w:val="00C90559"/>
    <w:rsid w:val="00C97059"/>
    <w:rsid w:val="00CA0500"/>
    <w:rsid w:val="00CA1638"/>
    <w:rsid w:val="00CA2251"/>
    <w:rsid w:val="00CB2FF5"/>
    <w:rsid w:val="00CF34CB"/>
    <w:rsid w:val="00D05E57"/>
    <w:rsid w:val="00D56C7C"/>
    <w:rsid w:val="00D71B4D"/>
    <w:rsid w:val="00D90289"/>
    <w:rsid w:val="00D93D55"/>
    <w:rsid w:val="00DC4C60"/>
    <w:rsid w:val="00DD6CF4"/>
    <w:rsid w:val="00E0079A"/>
    <w:rsid w:val="00E23EDE"/>
    <w:rsid w:val="00E36128"/>
    <w:rsid w:val="00E444DA"/>
    <w:rsid w:val="00E45C84"/>
    <w:rsid w:val="00E504E5"/>
    <w:rsid w:val="00E616FA"/>
    <w:rsid w:val="00EA3E01"/>
    <w:rsid w:val="00EB0D93"/>
    <w:rsid w:val="00EB4463"/>
    <w:rsid w:val="00EB7A3E"/>
    <w:rsid w:val="00EC1AA7"/>
    <w:rsid w:val="00EC401A"/>
    <w:rsid w:val="00EC74B9"/>
    <w:rsid w:val="00EF530A"/>
    <w:rsid w:val="00EF5EE8"/>
    <w:rsid w:val="00EF6622"/>
    <w:rsid w:val="00EF78A9"/>
    <w:rsid w:val="00F40FF6"/>
    <w:rsid w:val="00F55408"/>
    <w:rsid w:val="00F64C12"/>
    <w:rsid w:val="00F658BF"/>
    <w:rsid w:val="00F66152"/>
    <w:rsid w:val="00F80845"/>
    <w:rsid w:val="00F84474"/>
    <w:rsid w:val="00F852FA"/>
    <w:rsid w:val="00F8574E"/>
    <w:rsid w:val="00F86576"/>
    <w:rsid w:val="00FA0F0D"/>
    <w:rsid w:val="00FD59D1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61FC2592-AF58-4729-8619-9CBDDE60E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character" w:styleId="Hyperlink">
    <w:name w:val="Hyperlink"/>
    <w:uiPriority w:val="99"/>
    <w:unhideWhenUsed/>
    <w:rsid w:val="00AC1E8B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AC1E8B"/>
    <w:rPr>
      <w:rFonts w:ascii="Arial" w:eastAsia="SimSun" w:hAnsi="Arial" w:cs="Arial"/>
      <w:bCs/>
      <w:iCs/>
      <w:caps/>
      <w:sz w:val="22"/>
      <w:szCs w:val="28"/>
      <w:lang w:val="es-ES" w:eastAsia="zh-CN"/>
    </w:rPr>
  </w:style>
  <w:style w:type="character" w:customStyle="1" w:styleId="BodyTextChar">
    <w:name w:val="Body Text Char"/>
    <w:basedOn w:val="DefaultParagraphFont"/>
    <w:link w:val="BodyText"/>
    <w:rsid w:val="00AC1E8B"/>
    <w:rPr>
      <w:rFonts w:ascii="Arial" w:eastAsia="SimSun" w:hAnsi="Arial" w:cs="Arial"/>
      <w:sz w:val="22"/>
      <w:lang w:val="es-ES" w:eastAsia="zh-CN"/>
    </w:rPr>
  </w:style>
  <w:style w:type="paragraph" w:customStyle="1" w:styleId="Endofdocument">
    <w:name w:val="End of document"/>
    <w:basedOn w:val="Normal"/>
    <w:rsid w:val="00AC1E8B"/>
    <w:pPr>
      <w:spacing w:line="260" w:lineRule="atLeast"/>
      <w:ind w:left="5534"/>
    </w:pPr>
    <w:rPr>
      <w:rFonts w:eastAsia="Times New Roman" w:cs="Times New Roman"/>
      <w:sz w:val="20"/>
      <w:lang w:val="en-US" w:eastAsia="en-US"/>
    </w:rPr>
  </w:style>
  <w:style w:type="character" w:styleId="FollowedHyperlink">
    <w:name w:val="FollowedHyperlink"/>
    <w:basedOn w:val="DefaultParagraphFont"/>
    <w:semiHidden/>
    <w:unhideWhenUsed/>
    <w:rsid w:val="004649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wipo.int/edocs/mdocs/cws/en/cws_9/cws_9_item_16.zip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wipo.int/cws/es/circulars/index.html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8BAEE6-A417-42E7-9A72-A2D950999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CWS_9 (S)</Template>
  <TotalTime>1</TotalTime>
  <Pages>3</Pages>
  <Words>945</Words>
  <Characters>5392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CWS/9/16</vt:lpstr>
    </vt:vector>
  </TitlesOfParts>
  <Company>WIPO</Company>
  <LinksUpToDate>false</LinksUpToDate>
  <CharactersWithSpaces>6325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CWS/9/16</dc:title>
  <dc:creator>WIPO</dc:creator>
  <cp:keywords>FOR OFFICIAL USE ONLY</cp:keywords>
  <cp:lastModifiedBy>CHAVAS Louison</cp:lastModifiedBy>
  <cp:revision>2</cp:revision>
  <dcterms:created xsi:type="dcterms:W3CDTF">2021-09-20T08:06:00Z</dcterms:created>
  <dcterms:modified xsi:type="dcterms:W3CDTF">2021-09-20T08:06:00Z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a1e221de-db75-40c6-810a-dd79dc187600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