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096" w:rsidRPr="00AB2AA1" w:rsidRDefault="00472A6E" w:rsidP="006173A5">
      <w:pPr>
        <w:pBdr>
          <w:bottom w:val="single" w:sz="4" w:space="11" w:color="auto"/>
        </w:pBdr>
        <w:spacing w:after="120"/>
        <w:ind w:right="-57"/>
        <w:jc w:val="right"/>
        <w:rPr>
          <w:lang w:val="es-419"/>
        </w:rPr>
      </w:pPr>
      <w:r w:rsidRPr="00AB2AA1">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5D5096" w:rsidRPr="00AB2AA1" w:rsidRDefault="006173A5" w:rsidP="00472A6E">
      <w:pPr>
        <w:jc w:val="right"/>
        <w:rPr>
          <w:rFonts w:ascii="Arial Black" w:hAnsi="Arial Black"/>
          <w:caps/>
          <w:sz w:val="15"/>
          <w:lang w:val="es-419"/>
        </w:rPr>
      </w:pPr>
      <w:r w:rsidRPr="00AB2AA1">
        <w:rPr>
          <w:rFonts w:ascii="Arial Black" w:hAnsi="Arial Black"/>
          <w:caps/>
          <w:sz w:val="15"/>
          <w:lang w:val="es-419"/>
        </w:rPr>
        <w:t>CWS/9/</w:t>
      </w:r>
      <w:bookmarkStart w:id="0" w:name="Code"/>
      <w:bookmarkEnd w:id="0"/>
      <w:r w:rsidR="00D6236F" w:rsidRPr="00AB2AA1">
        <w:rPr>
          <w:rFonts w:ascii="Arial Black" w:hAnsi="Arial Black"/>
          <w:caps/>
          <w:sz w:val="15"/>
          <w:lang w:val="es-419"/>
        </w:rPr>
        <w:t>18</w:t>
      </w:r>
    </w:p>
    <w:p w:rsidR="005D5096" w:rsidRPr="00AB2AA1" w:rsidRDefault="00472A6E" w:rsidP="00472A6E">
      <w:pPr>
        <w:jc w:val="right"/>
        <w:rPr>
          <w:lang w:val="es-419"/>
        </w:rPr>
      </w:pPr>
      <w:r w:rsidRPr="00AB2AA1">
        <w:rPr>
          <w:rFonts w:ascii="Arial Black" w:hAnsi="Arial Black"/>
          <w:caps/>
          <w:sz w:val="15"/>
          <w:lang w:val="es-419"/>
        </w:rPr>
        <w:t xml:space="preserve">ORIGINAL: </w:t>
      </w:r>
      <w:bookmarkStart w:id="1" w:name="Original"/>
      <w:r w:rsidR="00D6236F" w:rsidRPr="00AB2AA1">
        <w:rPr>
          <w:rFonts w:ascii="Arial Black" w:hAnsi="Arial Black"/>
          <w:caps/>
          <w:sz w:val="15"/>
          <w:lang w:val="es-419"/>
        </w:rPr>
        <w:t>inglés</w:t>
      </w:r>
    </w:p>
    <w:bookmarkEnd w:id="1"/>
    <w:p w:rsidR="005D5096" w:rsidRPr="00AB2AA1" w:rsidRDefault="00472A6E" w:rsidP="00472A6E">
      <w:pPr>
        <w:spacing w:after="1200"/>
        <w:jc w:val="right"/>
        <w:rPr>
          <w:lang w:val="es-419"/>
        </w:rPr>
      </w:pPr>
      <w:r w:rsidRPr="00AB2AA1">
        <w:rPr>
          <w:rFonts w:ascii="Arial Black" w:hAnsi="Arial Black"/>
          <w:caps/>
          <w:sz w:val="15"/>
          <w:lang w:val="es-419"/>
        </w:rPr>
        <w:t xml:space="preserve">fecha: </w:t>
      </w:r>
      <w:bookmarkStart w:id="2" w:name="Date"/>
      <w:r w:rsidR="00D6236F" w:rsidRPr="00AB2AA1">
        <w:rPr>
          <w:rFonts w:ascii="Arial Black" w:hAnsi="Arial Black"/>
          <w:caps/>
          <w:sz w:val="15"/>
          <w:lang w:val="es-419"/>
        </w:rPr>
        <w:t>23 de septiembre de 2021</w:t>
      </w:r>
    </w:p>
    <w:bookmarkEnd w:id="2"/>
    <w:p w:rsidR="005D5096" w:rsidRPr="00AB2AA1" w:rsidRDefault="00167338" w:rsidP="00472A6E">
      <w:pPr>
        <w:pStyle w:val="Heading1"/>
        <w:spacing w:before="0" w:after="480"/>
        <w:rPr>
          <w:sz w:val="28"/>
          <w:lang w:val="es-419"/>
        </w:rPr>
      </w:pPr>
      <w:r w:rsidRPr="00AB2AA1">
        <w:rPr>
          <w:caps w:val="0"/>
          <w:sz w:val="28"/>
          <w:szCs w:val="28"/>
          <w:lang w:val="es-419"/>
        </w:rPr>
        <w:t>Comité de Normas Técnicas de la OMPI (CWS)</w:t>
      </w:r>
    </w:p>
    <w:p w:rsidR="005D5096" w:rsidRPr="00AB2AA1" w:rsidRDefault="006173A5" w:rsidP="005B2EAE">
      <w:pPr>
        <w:outlineLvl w:val="1"/>
        <w:rPr>
          <w:b/>
          <w:sz w:val="24"/>
          <w:szCs w:val="24"/>
          <w:lang w:val="es-419"/>
        </w:rPr>
      </w:pPr>
      <w:r w:rsidRPr="00AB2AA1">
        <w:rPr>
          <w:b/>
          <w:sz w:val="24"/>
          <w:szCs w:val="24"/>
          <w:lang w:val="es-419"/>
        </w:rPr>
        <w:t>Novena sesión</w:t>
      </w:r>
    </w:p>
    <w:p w:rsidR="005D5096" w:rsidRPr="00AB2AA1" w:rsidRDefault="00167338" w:rsidP="00472A6E">
      <w:pPr>
        <w:spacing w:after="720"/>
        <w:outlineLvl w:val="1"/>
        <w:rPr>
          <w:b/>
          <w:sz w:val="24"/>
          <w:szCs w:val="24"/>
          <w:lang w:val="es-419"/>
        </w:rPr>
      </w:pPr>
      <w:r w:rsidRPr="00AB2AA1">
        <w:rPr>
          <w:b/>
          <w:sz w:val="24"/>
          <w:szCs w:val="24"/>
          <w:lang w:val="es-419"/>
        </w:rPr>
        <w:t>Ginebra, 1 a 5 de noviembre de 2021</w:t>
      </w:r>
    </w:p>
    <w:p w:rsidR="005D5096" w:rsidRPr="00AB2AA1" w:rsidRDefault="00D6236F" w:rsidP="00472A6E">
      <w:pPr>
        <w:spacing w:after="360"/>
        <w:rPr>
          <w:caps/>
          <w:sz w:val="24"/>
          <w:lang w:val="es-419"/>
        </w:rPr>
      </w:pPr>
      <w:bookmarkStart w:id="3" w:name="TitleOfDoc"/>
      <w:r w:rsidRPr="00AB2AA1">
        <w:rPr>
          <w:caps/>
          <w:sz w:val="24"/>
          <w:lang w:val="es-419"/>
        </w:rPr>
        <w:t>Propuesta de mejora de los informes técnicos anuales (ATR)</w:t>
      </w:r>
    </w:p>
    <w:p w:rsidR="005D5096" w:rsidRPr="00AB2AA1" w:rsidRDefault="00D6236F" w:rsidP="00472A6E">
      <w:pPr>
        <w:spacing w:after="1040"/>
        <w:rPr>
          <w:i/>
          <w:lang w:val="es-419"/>
        </w:rPr>
      </w:pPr>
      <w:bookmarkStart w:id="4" w:name="Prepared"/>
      <w:bookmarkEnd w:id="3"/>
      <w:bookmarkEnd w:id="4"/>
      <w:r w:rsidRPr="00AB2AA1">
        <w:rPr>
          <w:i/>
          <w:lang w:val="es-419"/>
        </w:rPr>
        <w:t>preparada por la Oficina Internacional</w:t>
      </w:r>
    </w:p>
    <w:p w:rsidR="005D5096" w:rsidRPr="00AB2AA1" w:rsidRDefault="00633304" w:rsidP="00773394">
      <w:pPr>
        <w:pStyle w:val="Heading2"/>
        <w:spacing w:before="0" w:after="120"/>
        <w:rPr>
          <w:rFonts w:eastAsia="Malgun Gothic"/>
          <w:caps w:val="0"/>
          <w:szCs w:val="22"/>
          <w:lang w:val="es-419"/>
        </w:rPr>
      </w:pPr>
      <w:r w:rsidRPr="00AB2AA1">
        <w:rPr>
          <w:rFonts w:eastAsia="Malgun Gothic"/>
          <w:caps w:val="0"/>
          <w:szCs w:val="22"/>
          <w:lang w:val="es-419"/>
        </w:rPr>
        <w:t>ANTECEDENTES</w:t>
      </w:r>
    </w:p>
    <w:p w:rsidR="005D5096" w:rsidRPr="00AB2AA1" w:rsidRDefault="00D6236F" w:rsidP="009024F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633304" w:rsidRPr="00AB2AA1">
        <w:rPr>
          <w:lang w:val="es-419"/>
        </w:rPr>
        <w:t>En su séptima sesión, celebrada en 2019, el CWS tomó nota del descenso en los índices de participación de las Oficinas de Propiedad Intelectual (OPI) en los informes técnicos anuales (ATR) y pidió que se formulen comentarios sobre las maneras de mejorar los ATR.</w:t>
      </w:r>
      <w:r w:rsidR="00093837" w:rsidRPr="00AB2AA1">
        <w:rPr>
          <w:lang w:val="es-419"/>
        </w:rPr>
        <w:t xml:space="preserve"> </w:t>
      </w:r>
      <w:r w:rsidR="00633304" w:rsidRPr="00AB2AA1">
        <w:rPr>
          <w:lang w:val="es-419"/>
        </w:rPr>
        <w:t>Varias delegaciones señalaron que la información que se solicita en los ATR ya está disponible en los informes anuales de sus Oficinas.</w:t>
      </w:r>
      <w:r w:rsidR="00093837" w:rsidRPr="00AB2AA1">
        <w:rPr>
          <w:lang w:val="es-419"/>
        </w:rPr>
        <w:t xml:space="preserve"> </w:t>
      </w:r>
      <w:r w:rsidR="009024FF" w:rsidRPr="00AB2AA1">
        <w:rPr>
          <w:lang w:val="es-419"/>
        </w:rPr>
        <w:t>El CWS solicitó que la Oficina Internacional prepare una propuesta para mejorar los ATR.</w:t>
      </w:r>
      <w:r w:rsidRPr="00AB2AA1">
        <w:rPr>
          <w:lang w:val="es-419"/>
        </w:rPr>
        <w:t xml:space="preserve"> </w:t>
      </w:r>
      <w:r w:rsidR="009024FF" w:rsidRPr="00AB2AA1">
        <w:rPr>
          <w:lang w:val="es-419"/>
        </w:rPr>
        <w:t>(Véanse los párrafos 206 a 208 del documento CWS/7/29.)</w:t>
      </w:r>
    </w:p>
    <w:p w:rsidR="005D5096" w:rsidRPr="00AB2AA1" w:rsidRDefault="00F602FC" w:rsidP="00773394">
      <w:pPr>
        <w:pStyle w:val="Heading2"/>
        <w:spacing w:before="0" w:after="120"/>
        <w:rPr>
          <w:rFonts w:eastAsia="Malgun Gothic"/>
          <w:caps w:val="0"/>
          <w:szCs w:val="22"/>
          <w:lang w:val="es-419"/>
        </w:rPr>
      </w:pPr>
      <w:r w:rsidRPr="00AB2AA1">
        <w:rPr>
          <w:rFonts w:eastAsia="Malgun Gothic"/>
          <w:caps w:val="0"/>
          <w:szCs w:val="22"/>
          <w:lang w:val="es-419"/>
        </w:rPr>
        <w:t>HISTORIA</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0622FB" w:rsidRPr="00AB2AA1">
        <w:rPr>
          <w:lang w:val="es-419"/>
        </w:rPr>
        <w:t xml:space="preserve">La Oficina Internacional lleva </w:t>
      </w:r>
      <w:r w:rsidR="0030434D" w:rsidRPr="00AB2AA1">
        <w:rPr>
          <w:lang w:val="es-419"/>
        </w:rPr>
        <w:t xml:space="preserve">compilando los ATR desde 1978. </w:t>
      </w:r>
      <w:r w:rsidR="000622FB" w:rsidRPr="00AB2AA1">
        <w:rPr>
          <w:lang w:val="es-419"/>
        </w:rPr>
        <w:t>La estructura de los ATR fue aprobada por los Estados miembros y se revisa periódicamente, siendo las principales revisiones</w:t>
      </w:r>
      <w:r w:rsidR="00093837" w:rsidRPr="00AB2AA1">
        <w:rPr>
          <w:lang w:val="es-419"/>
        </w:rPr>
        <w:t xml:space="preserve"> las de 1996, 2007-2008 y 2010.</w:t>
      </w:r>
      <w:r w:rsidR="000622FB" w:rsidRPr="00AB2AA1">
        <w:rPr>
          <w:lang w:val="es-419"/>
        </w:rPr>
        <w:t xml:space="preserve"> Desde 1998 los ATR se publican en el sitio web de la OMPI.</w:t>
      </w:r>
    </w:p>
    <w:p w:rsidR="005D5096" w:rsidRPr="00AB2AA1" w:rsidRDefault="00D6236F" w:rsidP="00C11152">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C11152" w:rsidRPr="00AB2AA1">
        <w:rPr>
          <w:lang w:val="es-419"/>
        </w:rPr>
        <w:t>Los ATR se concibieron con el fin de hacer llegar información sobre las actividades, los planes y las estadísticas de la</w:t>
      </w:r>
      <w:r w:rsidR="00093837" w:rsidRPr="00AB2AA1">
        <w:rPr>
          <w:lang w:val="es-419"/>
        </w:rPr>
        <w:t xml:space="preserve">s OPI a un público más amplio. </w:t>
      </w:r>
      <w:r w:rsidR="00C11152" w:rsidRPr="00AB2AA1">
        <w:rPr>
          <w:lang w:val="es-419"/>
        </w:rPr>
        <w:t>Cuando se crearon los ATR las publicaciones en línea no existían y era difícil accede</w:t>
      </w:r>
      <w:r w:rsidR="00F36389">
        <w:rPr>
          <w:lang w:val="es-419"/>
        </w:rPr>
        <w:t xml:space="preserve">r a la información de las OPI. </w:t>
      </w:r>
      <w:r w:rsidR="00C11152" w:rsidRPr="00AB2AA1">
        <w:rPr>
          <w:lang w:val="es-419"/>
        </w:rPr>
        <w:t>Además, el gran número de idiomas que utilizaban las OPI en los informes anuales hacía que la información fuera más difícil de localizar y comprender.</w:t>
      </w:r>
    </w:p>
    <w:p w:rsidR="005D5096" w:rsidRPr="00AB2AA1" w:rsidRDefault="00D6236F" w:rsidP="00D75F95">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D75F95" w:rsidRPr="00AB2AA1">
        <w:rPr>
          <w:lang w:val="es-419"/>
        </w:rPr>
        <w:t xml:space="preserve">La utilidad de los ATR ya fue objeto de estudio por parte de los </w:t>
      </w:r>
      <w:r w:rsidR="00817BF1">
        <w:rPr>
          <w:lang w:val="es-419"/>
        </w:rPr>
        <w:t>órganos que precedieron a</w:t>
      </w:r>
      <w:r w:rsidR="00D75F95" w:rsidRPr="00AB2AA1">
        <w:rPr>
          <w:lang w:val="es-419"/>
        </w:rPr>
        <w:t xml:space="preserve">l CWS, el Comité Permanente de Tecnologías de la Información (SCIT) y su Grupo de Trabajo sobre </w:t>
      </w:r>
      <w:r w:rsidR="00093837" w:rsidRPr="00AB2AA1">
        <w:rPr>
          <w:lang w:val="es-419"/>
        </w:rPr>
        <w:t xml:space="preserve">Normas y Documentación (SDWG). </w:t>
      </w:r>
      <w:r w:rsidR="00D75F95" w:rsidRPr="00AB2AA1">
        <w:rPr>
          <w:lang w:val="es-419"/>
        </w:rPr>
        <w:t xml:space="preserve">El aumento del uso de los sitios web de las OPI para difundir información implica la posibilidad de que gran parte de la información recogida en los </w:t>
      </w:r>
      <w:r w:rsidR="00D75F95" w:rsidRPr="00AB2AA1">
        <w:rPr>
          <w:lang w:val="es-419"/>
        </w:rPr>
        <w:lastRenderedPageBreak/>
        <w:t xml:space="preserve">ATR </w:t>
      </w:r>
      <w:r w:rsidR="00093837" w:rsidRPr="00AB2AA1">
        <w:rPr>
          <w:lang w:val="es-419"/>
        </w:rPr>
        <w:t>ya esté</w:t>
      </w:r>
      <w:r w:rsidR="00D75F95" w:rsidRPr="00AB2AA1">
        <w:rPr>
          <w:lang w:val="es-419"/>
        </w:rPr>
        <w:t xml:space="preserve"> disponible </w:t>
      </w:r>
      <w:r w:rsidR="00093837" w:rsidRPr="00AB2AA1">
        <w:rPr>
          <w:lang w:val="es-419"/>
        </w:rPr>
        <w:t xml:space="preserve">en los sitios web de las OPI. </w:t>
      </w:r>
      <w:r w:rsidR="00D75F95" w:rsidRPr="00AB2AA1">
        <w:rPr>
          <w:lang w:val="es-419"/>
        </w:rPr>
        <w:t>En una carta de 2003, el Instituto Federal Suizo d</w:t>
      </w:r>
      <w:r w:rsidR="009B58E3">
        <w:rPr>
          <w:lang w:val="es-419"/>
        </w:rPr>
        <w:t>e Propiedad Intelectual señaló</w:t>
      </w:r>
      <w:r w:rsidR="00D75F95" w:rsidRPr="00AB2AA1">
        <w:rPr>
          <w:lang w:val="es-419"/>
        </w:rPr>
        <w:t xml:space="preserve"> lo siguiente:</w:t>
      </w:r>
    </w:p>
    <w:p w:rsidR="005D5096" w:rsidRPr="00AB2AA1" w:rsidRDefault="00021C35" w:rsidP="002A4783">
      <w:pPr>
        <w:pStyle w:val="ONUMFS"/>
        <w:numPr>
          <w:ilvl w:val="0"/>
          <w:numId w:val="0"/>
        </w:numPr>
        <w:ind w:left="567"/>
        <w:rPr>
          <w:lang w:val="es-419"/>
        </w:rPr>
      </w:pPr>
      <w:r w:rsidRPr="00AB2AA1">
        <w:rPr>
          <w:color w:val="000000"/>
          <w:lang w:val="es-419"/>
        </w:rPr>
        <w:t>“</w:t>
      </w:r>
      <w:r w:rsidR="002A4783" w:rsidRPr="00AB2AA1">
        <w:rPr>
          <w:color w:val="000000"/>
          <w:lang w:val="es-419"/>
        </w:rPr>
        <w:t>Después de consultar los informes [técnicos anuales] existentes, el Instituto ha observado que el número de Estados que ha presentado informes ha disminuido regularmente durante los últimos años hasta alcanzar en la actualidad un nivel mínimo.</w:t>
      </w:r>
      <w:r w:rsidR="00D6236F" w:rsidRPr="00AB2AA1">
        <w:rPr>
          <w:lang w:val="es-419"/>
        </w:rPr>
        <w:t xml:space="preserve"> </w:t>
      </w:r>
      <w:r w:rsidR="002A4783" w:rsidRPr="00AB2AA1">
        <w:rPr>
          <w:color w:val="000000"/>
          <w:lang w:val="es-419"/>
        </w:rPr>
        <w:t>Además, la utilidad práctica de esos inf</w:t>
      </w:r>
      <w:r w:rsidRPr="00AB2AA1">
        <w:rPr>
          <w:color w:val="000000"/>
          <w:lang w:val="es-419"/>
        </w:rPr>
        <w:t xml:space="preserve">ormes parece ser muy limitada: </w:t>
      </w:r>
      <w:r w:rsidR="002A4783" w:rsidRPr="00AB2AA1">
        <w:rPr>
          <w:color w:val="000000"/>
          <w:lang w:val="es-419"/>
        </w:rPr>
        <w:t xml:space="preserve">dejando a un lado una mención eventual en la publicación </w:t>
      </w:r>
      <w:r w:rsidR="002A4783" w:rsidRPr="00AB2AA1">
        <w:rPr>
          <w:i/>
          <w:color w:val="000000"/>
          <w:lang w:val="es-419"/>
        </w:rPr>
        <w:t>World Patent Information</w:t>
      </w:r>
      <w:r w:rsidR="002A4783" w:rsidRPr="00AB2AA1">
        <w:rPr>
          <w:color w:val="000000"/>
          <w:lang w:val="es-419"/>
        </w:rPr>
        <w:t xml:space="preserve">, al parecer apenas se utilizan en </w:t>
      </w:r>
      <w:r w:rsidRPr="00AB2AA1">
        <w:rPr>
          <w:color w:val="000000"/>
          <w:lang w:val="es-419"/>
        </w:rPr>
        <w:t>la actualidad</w:t>
      </w:r>
      <w:r w:rsidRPr="00AB2AA1">
        <w:rPr>
          <w:lang w:val="es-419"/>
        </w:rPr>
        <w:t>”</w:t>
      </w:r>
      <w:r w:rsidR="002A4783" w:rsidRPr="00AB2AA1">
        <w:rPr>
          <w:lang w:val="es-419"/>
        </w:rPr>
        <w:t>.</w:t>
      </w:r>
      <w:r w:rsidR="00447335" w:rsidRPr="00AB2AA1">
        <w:rPr>
          <w:lang w:val="es-419"/>
        </w:rPr>
        <w:t xml:space="preserve"> </w:t>
      </w:r>
      <w:r w:rsidR="002A4783" w:rsidRPr="00AB2AA1">
        <w:rPr>
          <w:lang w:val="es-419"/>
        </w:rPr>
        <w:t>(Véase el Anexo I</w:t>
      </w:r>
      <w:r w:rsidR="00057472" w:rsidRPr="00AB2AA1">
        <w:rPr>
          <w:lang w:val="es-419"/>
        </w:rPr>
        <w:t xml:space="preserve"> del documento SCIT/SDWG/6/7.</w:t>
      </w:r>
    </w:p>
    <w:p w:rsidR="005D5096" w:rsidRPr="00AB2AA1" w:rsidRDefault="00D6236F" w:rsidP="00057472">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057472" w:rsidRPr="00AB2AA1">
        <w:rPr>
          <w:lang w:val="es-419"/>
        </w:rPr>
        <w:t xml:space="preserve">En 2005 la Oficina Internacional propuso que se </w:t>
      </w:r>
      <w:r w:rsidR="007175C9">
        <w:rPr>
          <w:lang w:val="es-419"/>
        </w:rPr>
        <w:t>dejaran de elaborar</w:t>
      </w:r>
      <w:r w:rsidR="00057472" w:rsidRPr="00AB2AA1">
        <w:rPr>
          <w:lang w:val="es-419"/>
        </w:rPr>
        <w:t xml:space="preserve"> los ATR debido a la disminución de la participación y la utilidad de su examen por el antiguo SDWG (véanse los párrafos 5 a 8</w:t>
      </w:r>
      <w:r w:rsidR="000D1D63" w:rsidRPr="00AB2AA1">
        <w:rPr>
          <w:lang w:val="es-419"/>
        </w:rPr>
        <w:t xml:space="preserve"> del documento SCIT/SDWG/6/7). </w:t>
      </w:r>
      <w:r w:rsidR="00057472" w:rsidRPr="00AB2AA1">
        <w:rPr>
          <w:lang w:val="es-419"/>
        </w:rPr>
        <w:t>En su lugar, el SDWG decidió crear el Equipo Técnico sobre los ATR</w:t>
      </w:r>
      <w:r w:rsidR="00F660A1">
        <w:rPr>
          <w:lang w:val="es-419"/>
        </w:rPr>
        <w:t>,</w:t>
      </w:r>
      <w:r w:rsidR="00057472" w:rsidRPr="00AB2AA1">
        <w:rPr>
          <w:lang w:val="es-419"/>
        </w:rPr>
        <w:t xml:space="preserve"> con el objeto de estudiar las cuestiones y recomendar mejoras (véanse los párrafos 59 a 61 </w:t>
      </w:r>
      <w:r w:rsidR="000D1D63" w:rsidRPr="00AB2AA1">
        <w:rPr>
          <w:lang w:val="es-419"/>
        </w:rPr>
        <w:t xml:space="preserve">del documento SCIT/SDWG/6/11). </w:t>
      </w:r>
      <w:r w:rsidR="00057472" w:rsidRPr="00AB2AA1">
        <w:rPr>
          <w:lang w:val="es-419"/>
        </w:rPr>
        <w:t>Esto dio lugar a las revisiones estructurales de los cuestionarios de los ATR en 2007-2008 y 2010, que fueron las últimas actualizaciones importantes de l</w:t>
      </w:r>
      <w:r w:rsidR="00900D7B" w:rsidRPr="00AB2AA1">
        <w:rPr>
          <w:lang w:val="es-419"/>
        </w:rPr>
        <w:t>os ATR (véanse los párrafos 47 y</w:t>
      </w:r>
      <w:r w:rsidR="00057472" w:rsidRPr="00AB2AA1">
        <w:rPr>
          <w:lang w:val="es-419"/>
        </w:rPr>
        <w:t xml:space="preserve"> 48 del documento CWS/1/10).</w:t>
      </w:r>
    </w:p>
    <w:p w:rsidR="005D5096" w:rsidRPr="00AB2AA1" w:rsidRDefault="00D6236F" w:rsidP="00773394">
      <w:pPr>
        <w:pStyle w:val="ONUMFS"/>
        <w:numPr>
          <w:ilvl w:val="0"/>
          <w:numId w:val="0"/>
        </w:numPr>
        <w:spacing w:after="480"/>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EA2AF3" w:rsidRPr="00AB2AA1">
        <w:rPr>
          <w:lang w:val="es-419"/>
        </w:rPr>
        <w:t xml:space="preserve">Según estos documentos, las mismas cuestiones que el CWS está examinando actualmente ya fueron objeto de estudio en el pasado. Se introdujeron cambios en varias ocasiones para tratar de mejorar el acceso, la visibilidad y la utilidad de los ATR, como el paso a la publicación en línea, la </w:t>
      </w:r>
      <w:r w:rsidR="0030268E">
        <w:rPr>
          <w:lang w:val="es-419"/>
        </w:rPr>
        <w:t>com</w:t>
      </w:r>
      <w:r w:rsidR="00EA2AF3" w:rsidRPr="00AB2AA1">
        <w:rPr>
          <w:lang w:val="es-419"/>
        </w:rPr>
        <w:t xml:space="preserve">pilación a través </w:t>
      </w:r>
      <w:r w:rsidR="0030268E">
        <w:rPr>
          <w:lang w:val="es-419"/>
        </w:rPr>
        <w:t>del espacio</w:t>
      </w:r>
      <w:r w:rsidR="00EA2AF3" w:rsidRPr="00AB2AA1">
        <w:rPr>
          <w:lang w:val="es-419"/>
        </w:rPr>
        <w:t xml:space="preserve"> wiki, la mejora de la visibilidad de los motores de búsqueda y la modificación del contenido de los ATR. La pregunta clave en este pu</w:t>
      </w:r>
      <w:bookmarkStart w:id="5" w:name="_GoBack"/>
      <w:bookmarkEnd w:id="5"/>
      <w:r w:rsidR="00EA2AF3" w:rsidRPr="00AB2AA1">
        <w:rPr>
          <w:lang w:val="es-419"/>
        </w:rPr>
        <w:t>nto es si estos cambios han tenido un efecto positivo en los ATR.</w:t>
      </w:r>
    </w:p>
    <w:p w:rsidR="005D5096" w:rsidRPr="00AB2AA1" w:rsidRDefault="00D6236F" w:rsidP="00773394">
      <w:pPr>
        <w:pStyle w:val="Heading2"/>
        <w:spacing w:before="0" w:after="120"/>
        <w:rPr>
          <w:lang w:val="es-419"/>
        </w:rPr>
      </w:pPr>
      <w:r w:rsidRPr="00AB2AA1">
        <w:rPr>
          <w:lang w:val="es-419"/>
        </w:rPr>
        <w:t>SITUA</w:t>
      </w:r>
      <w:r w:rsidR="00EA2AF3" w:rsidRPr="00AB2AA1">
        <w:rPr>
          <w:lang w:val="es-419"/>
        </w:rPr>
        <w:t>CIÓN ACTUAL</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BF4096" w:rsidRPr="00AB2AA1">
        <w:rPr>
          <w:lang w:val="es-419"/>
        </w:rPr>
        <w:t>En 2021 el entorno de los ATR ha cambiado considerablemente con</w:t>
      </w:r>
      <w:r w:rsidR="00F36389">
        <w:rPr>
          <w:lang w:val="es-419"/>
        </w:rPr>
        <w:t xml:space="preserve"> respecto a </w:t>
      </w:r>
      <w:r w:rsidR="00206E71">
        <w:rPr>
          <w:lang w:val="es-419"/>
        </w:rPr>
        <w:t>cua</w:t>
      </w:r>
      <w:r w:rsidR="00630846">
        <w:rPr>
          <w:lang w:val="es-419"/>
        </w:rPr>
        <w:t>ndo</w:t>
      </w:r>
      <w:r w:rsidR="00F36389">
        <w:rPr>
          <w:lang w:val="es-419"/>
        </w:rPr>
        <w:t xml:space="preserve"> se crearon. </w:t>
      </w:r>
      <w:r w:rsidR="00BF4096" w:rsidRPr="00AB2AA1">
        <w:rPr>
          <w:lang w:val="es-419"/>
        </w:rPr>
        <w:t>Las publicaciones en línea son habituales y muchas OPI publican informes anuales que contienen gran parte</w:t>
      </w:r>
      <w:r w:rsidR="00F36389">
        <w:rPr>
          <w:lang w:val="es-419"/>
        </w:rPr>
        <w:t xml:space="preserve"> de la información de los ATR. </w:t>
      </w:r>
      <w:r w:rsidR="00BF4096" w:rsidRPr="00AB2AA1">
        <w:rPr>
          <w:lang w:val="es-419"/>
        </w:rPr>
        <w:t>Las herramientas de traducción automática están muy extendidas y son cada vez más sofisticadas, lo que facilita el acceso de los hablantes de otro</w:t>
      </w:r>
      <w:r w:rsidR="00F36389">
        <w:rPr>
          <w:lang w:val="es-419"/>
        </w:rPr>
        <w:t xml:space="preserve">s idiomas a las publicaciones. </w:t>
      </w:r>
      <w:r w:rsidR="00BF4096" w:rsidRPr="00AB2AA1">
        <w:rPr>
          <w:lang w:val="es-419"/>
        </w:rPr>
        <w:t>Estos factores cubren muchas de las necesidades que en un principio debían satisfacer los ATR.</w:t>
      </w:r>
    </w:p>
    <w:p w:rsidR="005D5096" w:rsidRPr="00AB2AA1" w:rsidRDefault="00D6236F" w:rsidP="00773394">
      <w:pPr>
        <w:pStyle w:val="ONUMFS"/>
        <w:numPr>
          <w:ilvl w:val="0"/>
          <w:numId w:val="0"/>
        </w:numPr>
        <w:spacing w:after="480"/>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A04541" w:rsidRPr="00AB2AA1">
        <w:rPr>
          <w:lang w:val="es-419"/>
        </w:rPr>
        <w:t>La pregunta que se plantea es la siguiente: ¿en qué medida se han utilizad</w:t>
      </w:r>
      <w:r w:rsidR="00B94FC8" w:rsidRPr="00AB2AA1">
        <w:rPr>
          <w:lang w:val="es-419"/>
        </w:rPr>
        <w:t xml:space="preserve">o los ATR en los últimos años? </w:t>
      </w:r>
      <w:r w:rsidR="00A04541" w:rsidRPr="00AB2AA1">
        <w:rPr>
          <w:lang w:val="es-419"/>
        </w:rPr>
        <w:t>Una gran demanda de ATR indicaría que pueden seguir satisfaciendo necesidades importantes, aunque sean disti</w:t>
      </w:r>
      <w:r w:rsidR="00B94FC8" w:rsidRPr="00AB2AA1">
        <w:rPr>
          <w:lang w:val="es-419"/>
        </w:rPr>
        <w:t xml:space="preserve">ntas de su propósito original. </w:t>
      </w:r>
      <w:r w:rsidR="00A04541" w:rsidRPr="00AB2AA1">
        <w:rPr>
          <w:lang w:val="es-419"/>
        </w:rPr>
        <w:t>En cambio, una demanda baj</w:t>
      </w:r>
      <w:r w:rsidR="00D1457F">
        <w:rPr>
          <w:lang w:val="es-419"/>
        </w:rPr>
        <w:t>a podría ser una señal de que lo</w:t>
      </w:r>
      <w:r w:rsidR="00A04541" w:rsidRPr="00AB2AA1">
        <w:rPr>
          <w:lang w:val="es-419"/>
        </w:rPr>
        <w:t>s ATR ya no son tan útile</w:t>
      </w:r>
      <w:r w:rsidR="00D3013D">
        <w:rPr>
          <w:lang w:val="es-419"/>
        </w:rPr>
        <w:t xml:space="preserve">s como </w:t>
      </w:r>
      <w:r w:rsidR="00B94FC8" w:rsidRPr="00AB2AA1">
        <w:rPr>
          <w:lang w:val="es-419"/>
        </w:rPr>
        <w:t xml:space="preserve">en el pasado. </w:t>
      </w:r>
      <w:r w:rsidR="00A04541" w:rsidRPr="00AB2AA1">
        <w:rPr>
          <w:lang w:val="es-419"/>
        </w:rPr>
        <w:t>Esta pregunta la podemos responder con los datos empíricos que obtenemos de dos fuentes, a saber: quienes elaboran los ATR (las OPI) y quienes los consumen (los usuarios finales).</w:t>
      </w:r>
    </w:p>
    <w:p w:rsidR="005D5096" w:rsidRPr="00AB2AA1" w:rsidRDefault="004D6E51" w:rsidP="00773394">
      <w:pPr>
        <w:pStyle w:val="Heading2"/>
        <w:spacing w:before="0" w:after="120"/>
        <w:rPr>
          <w:lang w:val="es-419"/>
        </w:rPr>
      </w:pPr>
      <w:r>
        <w:rPr>
          <w:lang w:val="es-419"/>
        </w:rPr>
        <w:t xml:space="preserve">LOS </w:t>
      </w:r>
      <w:r w:rsidR="002E7660" w:rsidRPr="00AB2AA1">
        <w:rPr>
          <w:lang w:val="es-419"/>
        </w:rPr>
        <w:t>PRODUCTORES DE LOS ATR</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2E7660" w:rsidRPr="00AB2AA1">
        <w:rPr>
          <w:lang w:val="es-419"/>
        </w:rPr>
        <w:t xml:space="preserve">En el lado de </w:t>
      </w:r>
      <w:r w:rsidR="00F85A62">
        <w:rPr>
          <w:lang w:val="es-419"/>
        </w:rPr>
        <w:t>quienes los elaboran</w:t>
      </w:r>
      <w:r w:rsidR="002E7660" w:rsidRPr="00AB2AA1">
        <w:rPr>
          <w:lang w:val="es-419"/>
        </w:rPr>
        <w:t>, la presentación de ATR ha disminuido de forma constante a lo largo de los años. Entre 1998 y 2001 más de 50 Oficinas</w:t>
      </w:r>
      <w:r w:rsidR="002366A2" w:rsidRPr="00AB2AA1">
        <w:rPr>
          <w:lang w:val="es-419"/>
        </w:rPr>
        <w:t xml:space="preserve"> presentaban los ATR cada año. </w:t>
      </w:r>
      <w:r w:rsidR="002E7660" w:rsidRPr="00AB2AA1">
        <w:rPr>
          <w:lang w:val="es-419"/>
        </w:rPr>
        <w:t xml:space="preserve">De 2002 a 2007 lo hacían una media de 42 Oficinas. Esta cifra se redujo a </w:t>
      </w:r>
      <w:r w:rsidR="002366A2" w:rsidRPr="00AB2AA1">
        <w:rPr>
          <w:lang w:val="es-419"/>
        </w:rPr>
        <w:t xml:space="preserve">31 Oficinas entre 2008 y 2013. </w:t>
      </w:r>
      <w:r w:rsidR="002E7660" w:rsidRPr="00AB2AA1">
        <w:rPr>
          <w:lang w:val="es-419"/>
        </w:rPr>
        <w:t xml:space="preserve">De 2014 a 2018 el número de Oficinas </w:t>
      </w:r>
      <w:r w:rsidR="00FD7B1F">
        <w:rPr>
          <w:lang w:val="es-419"/>
        </w:rPr>
        <w:t>se redujo</w:t>
      </w:r>
      <w:r w:rsidR="002E7660" w:rsidRPr="00AB2AA1">
        <w:rPr>
          <w:lang w:val="es-419"/>
        </w:rPr>
        <w:t xml:space="preserve"> constantemente, de</w:t>
      </w:r>
      <w:r w:rsidR="002366A2" w:rsidRPr="00AB2AA1">
        <w:rPr>
          <w:lang w:val="es-419"/>
        </w:rPr>
        <w:t xml:space="preserve"> 23 en 2014 a solo 11 en 2018. </w:t>
      </w:r>
      <w:r w:rsidR="002E7660" w:rsidRPr="00AB2AA1">
        <w:rPr>
          <w:lang w:val="es-419"/>
        </w:rPr>
        <w:t>En 2020 los ATR se han vu</w:t>
      </w:r>
      <w:r w:rsidR="00773394">
        <w:rPr>
          <w:lang w:val="es-419"/>
        </w:rPr>
        <w:t>elto a situar en los niveles de </w:t>
      </w:r>
      <w:r w:rsidR="002E7660" w:rsidRPr="00AB2AA1">
        <w:rPr>
          <w:lang w:val="es-419"/>
        </w:rPr>
        <w:t>2018, y solo 11 Oficinas los han presentado. En el siguiente gráfico se muestra el descenso registrado desde 1998.</w:t>
      </w:r>
    </w:p>
    <w:p w:rsidR="005D5096" w:rsidRPr="00AB2AA1" w:rsidRDefault="00D6236F" w:rsidP="00773394">
      <w:pPr>
        <w:pStyle w:val="ONUMFS"/>
        <w:numPr>
          <w:ilvl w:val="0"/>
          <w:numId w:val="0"/>
        </w:numPr>
        <w:spacing w:after="360"/>
        <w:rPr>
          <w:lang w:val="es-419"/>
        </w:rPr>
      </w:pPr>
      <w:r w:rsidRPr="00AB2AA1">
        <w:rPr>
          <w:noProof/>
          <w:lang w:val="en-US"/>
        </w:rPr>
        <w:drawing>
          <wp:inline distT="0" distB="0" distL="0" distR="0" wp14:anchorId="456E6CBC" wp14:editId="384E50BF">
            <wp:extent cx="5942330" cy="3413125"/>
            <wp:effectExtent l="0" t="0" r="1270"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1A7637" w:rsidRPr="00AB2AA1">
        <w:rPr>
          <w:lang w:val="es-419"/>
        </w:rPr>
        <w:t>El año 2019 fue una excepción con respecto a la tendencia, ya que ese año 18 Oficinas presentaron sus ATR, lo que supuso un ligero aumento. Estos informes se compilaron en 2020, durante la pandemia de COVID-19. El aumento registrado en 2019 parece ser temporal</w:t>
      </w:r>
      <w:r w:rsidR="008972B3">
        <w:rPr>
          <w:lang w:val="es-419"/>
        </w:rPr>
        <w:t>,</w:t>
      </w:r>
      <w:r w:rsidR="001A7637" w:rsidRPr="00AB2AA1">
        <w:rPr>
          <w:lang w:val="es-419"/>
        </w:rPr>
        <w:t xml:space="preserve"> ya que no </w:t>
      </w:r>
      <w:r w:rsidR="00093637">
        <w:rPr>
          <w:lang w:val="es-419"/>
        </w:rPr>
        <w:t>se ha prolongado en el tiempo. El número de</w:t>
      </w:r>
      <w:r w:rsidR="001A7637" w:rsidRPr="00AB2AA1">
        <w:rPr>
          <w:lang w:val="es-419"/>
        </w:rPr>
        <w:t xml:space="preserve"> </w:t>
      </w:r>
      <w:r w:rsidR="00630846">
        <w:rPr>
          <w:lang w:val="es-419"/>
        </w:rPr>
        <w:t>inform</w:t>
      </w:r>
      <w:r w:rsidR="001A7637" w:rsidRPr="00AB2AA1">
        <w:rPr>
          <w:lang w:val="es-419"/>
        </w:rPr>
        <w:t>es co</w:t>
      </w:r>
      <w:r w:rsidR="00630846">
        <w:rPr>
          <w:lang w:val="es-419"/>
        </w:rPr>
        <w:t>rrespondientes a 2020 (compilado</w:t>
      </w:r>
      <w:r w:rsidR="001A7637" w:rsidRPr="00AB2AA1">
        <w:rPr>
          <w:lang w:val="es-419"/>
        </w:rPr>
        <w:t xml:space="preserve">s en 2021) ha vuelto a caer hasta alcanzar casi </w:t>
      </w:r>
      <w:r w:rsidR="00D306D9">
        <w:rPr>
          <w:lang w:val="es-419"/>
        </w:rPr>
        <w:t>el mínimo histórico</w:t>
      </w:r>
      <w:r w:rsidRPr="00AB2AA1">
        <w:rPr>
          <w:lang w:val="es-419"/>
        </w:rPr>
        <w:t>.</w:t>
      </w:r>
    </w:p>
    <w:p w:rsidR="005D5096" w:rsidRPr="00AB2AA1" w:rsidRDefault="00D6236F" w:rsidP="00773394">
      <w:pPr>
        <w:pStyle w:val="ONUMFS"/>
        <w:numPr>
          <w:ilvl w:val="0"/>
          <w:numId w:val="0"/>
        </w:numPr>
        <w:spacing w:after="480"/>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1A250D" w:rsidRPr="00AB2AA1">
        <w:rPr>
          <w:lang w:val="es-419"/>
        </w:rPr>
        <w:t>A partir de estos datos, el descenso en la participación de las OPI parece indicar que</w:t>
      </w:r>
      <w:r w:rsidR="003D7684">
        <w:rPr>
          <w:lang w:val="es-419"/>
        </w:rPr>
        <w:t>,</w:t>
      </w:r>
      <w:r w:rsidR="001A250D" w:rsidRPr="00AB2AA1">
        <w:rPr>
          <w:lang w:val="es-419"/>
        </w:rPr>
        <w:t xml:space="preserve"> desde la perspectiva de quienes elaboran los ATR (las OPI)</w:t>
      </w:r>
      <w:r w:rsidR="003D7684">
        <w:rPr>
          <w:lang w:val="es-419"/>
        </w:rPr>
        <w:t>,</w:t>
      </w:r>
      <w:r w:rsidR="001A250D" w:rsidRPr="00AB2AA1">
        <w:rPr>
          <w:lang w:val="es-419"/>
        </w:rPr>
        <w:t xml:space="preserve"> estos no tienen la misma importancia que hace 20 años.</w:t>
      </w:r>
    </w:p>
    <w:p w:rsidR="005D5096" w:rsidRPr="00AB2AA1" w:rsidRDefault="004D6E51" w:rsidP="00773394">
      <w:pPr>
        <w:pStyle w:val="Heading2"/>
        <w:spacing w:before="0" w:after="120"/>
        <w:rPr>
          <w:lang w:val="es-419"/>
        </w:rPr>
      </w:pPr>
      <w:r>
        <w:rPr>
          <w:lang w:val="es-419"/>
        </w:rPr>
        <w:t xml:space="preserve">LOS </w:t>
      </w:r>
      <w:r w:rsidR="0094657C" w:rsidRPr="00AB2AA1">
        <w:rPr>
          <w:lang w:val="es-419"/>
        </w:rPr>
        <w:t xml:space="preserve">USUARIOS DE LOS </w:t>
      </w:r>
      <w:r w:rsidR="00D6236F" w:rsidRPr="00AB2AA1">
        <w:rPr>
          <w:lang w:val="es-419"/>
        </w:rPr>
        <w:t>ATR</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0C4EE4" w:rsidRPr="00AB2AA1">
        <w:rPr>
          <w:lang w:val="es-419"/>
        </w:rPr>
        <w:t xml:space="preserve">Por lo que respecta a los usuarios, las estadísticas web sobre las visitas a las páginas de los ATR muestran </w:t>
      </w:r>
      <w:r w:rsidR="004C4924">
        <w:rPr>
          <w:lang w:val="es-419"/>
        </w:rPr>
        <w:t>una tendencia</w:t>
      </w:r>
      <w:r w:rsidR="000C4EE4" w:rsidRPr="00AB2AA1">
        <w:rPr>
          <w:lang w:val="es-419"/>
        </w:rPr>
        <w:t xml:space="preserve"> similar. La Secretaría dispone de estadísticas web desde el año civil 2017 hasta el presente. Las estadísticas de 2021 se excluyen de los cálculos porque solo se dispone de los datos de siete meses, pero las cifras hasta </w:t>
      </w:r>
      <w:r w:rsidR="00F2069C">
        <w:rPr>
          <w:lang w:val="es-419"/>
        </w:rPr>
        <w:t>la fecha</w:t>
      </w:r>
      <w:r w:rsidR="000C4EE4" w:rsidRPr="00AB2AA1">
        <w:rPr>
          <w:lang w:val="es-419"/>
        </w:rPr>
        <w:t xml:space="preserve"> coinciden con las de años anteriores.</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0C4EE4" w:rsidRPr="00AB2AA1">
        <w:rPr>
          <w:lang w:val="es-419"/>
        </w:rPr>
        <w:t>Las visitas a las páginas de los ATR presentan el mismo comportamiento todos los años. En el gráfico siguiente se muestran las visitas recibidas en 2019 por las páginas de tod</w:t>
      </w:r>
      <w:r w:rsidR="007B4D4A">
        <w:rPr>
          <w:lang w:val="es-419"/>
        </w:rPr>
        <w:t>o</w:t>
      </w:r>
      <w:r w:rsidR="000C4EE4" w:rsidRPr="00AB2AA1">
        <w:rPr>
          <w:lang w:val="es-419"/>
        </w:rPr>
        <w:t>s l</w:t>
      </w:r>
      <w:r w:rsidR="007B4D4A">
        <w:rPr>
          <w:lang w:val="es-419"/>
        </w:rPr>
        <w:t>os ATR compilado</w:t>
      </w:r>
      <w:r w:rsidR="000C4EE4" w:rsidRPr="00AB2AA1">
        <w:rPr>
          <w:lang w:val="es-419"/>
        </w:rPr>
        <w:t>s ese año:</w:t>
      </w:r>
    </w:p>
    <w:p w:rsidR="005D5096" w:rsidRPr="00AB2AA1" w:rsidRDefault="00D6236F" w:rsidP="00773394">
      <w:pPr>
        <w:pStyle w:val="ONUMFS"/>
        <w:numPr>
          <w:ilvl w:val="0"/>
          <w:numId w:val="0"/>
        </w:numPr>
        <w:spacing w:after="360"/>
        <w:jc w:val="center"/>
        <w:rPr>
          <w:lang w:val="es-419"/>
        </w:rPr>
      </w:pPr>
      <w:r w:rsidRPr="00AB2AA1">
        <w:rPr>
          <w:noProof/>
          <w:lang w:val="en-US"/>
        </w:rPr>
        <w:drawing>
          <wp:inline distT="0" distB="0" distL="0" distR="0" wp14:anchorId="2F7C912B" wp14:editId="58D9FA08">
            <wp:extent cx="4953000" cy="24765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605D93" w:rsidRPr="00AB2AA1">
        <w:rPr>
          <w:lang w:val="es-419"/>
        </w:rPr>
        <w:t xml:space="preserve">En 2019 se compilaron los ATR correspondientes al año civil anterior (2018). Estos ATR presentan el segundo mayor número de visitas en las estadísticas web de 2019 debido a que las páginas se publican a mitad de año. Los ATR del año anterior (2017) son los que tienen el mayor número de vistas porque están disponibles para todo 2019 y son los ATR más recientes para una parte del año (hasta la publicación de los nuevos ATR de 2018). Los ATR de los años anteriores (2016 a 2014) muestran un número mucho menor de visitas a las páginas </w:t>
      </w:r>
      <w:r w:rsidR="00AB5E54">
        <w:rPr>
          <w:lang w:val="es-419"/>
        </w:rPr>
        <w:t>a media que</w:t>
      </w:r>
      <w:r w:rsidR="00605D93" w:rsidRPr="00AB2AA1">
        <w:rPr>
          <w:lang w:val="es-419"/>
        </w:rPr>
        <w:t xml:space="preserve"> la información </w:t>
      </w:r>
      <w:r w:rsidR="008E2FDF">
        <w:rPr>
          <w:lang w:val="es-419"/>
        </w:rPr>
        <w:t>va siendo</w:t>
      </w:r>
      <w:r w:rsidR="00605D93" w:rsidRPr="00AB2AA1">
        <w:rPr>
          <w:lang w:val="es-419"/>
        </w:rPr>
        <w:t xml:space="preserve"> más obsoleta.</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961B09" w:rsidRPr="00AB2AA1">
        <w:rPr>
          <w:lang w:val="es-419"/>
        </w:rPr>
        <w:t>La tendencia es la misma para todos los años respecto de los que disponemos de estadísticas web (de 2017 a 2</w:t>
      </w:r>
      <w:r w:rsidR="00F36389">
        <w:rPr>
          <w:lang w:val="es-419"/>
        </w:rPr>
        <w:t xml:space="preserve">020). </w:t>
      </w:r>
      <w:r w:rsidR="00961B09" w:rsidRPr="00AB2AA1">
        <w:rPr>
          <w:lang w:val="es-419"/>
        </w:rPr>
        <w:t xml:space="preserve">La mayor parte de las visitas a los ATR se producen en los dos primeros años </w:t>
      </w:r>
      <w:r w:rsidR="000D5747">
        <w:rPr>
          <w:lang w:val="es-419"/>
        </w:rPr>
        <w:t>de</w:t>
      </w:r>
      <w:r w:rsidR="00961B09" w:rsidRPr="00AB2AA1">
        <w:rPr>
          <w:lang w:val="es-419"/>
        </w:rPr>
        <w:t xml:space="preserve"> publicación. Después de eso el número de vistas desciend</w:t>
      </w:r>
      <w:r w:rsidR="00F36389">
        <w:rPr>
          <w:lang w:val="es-419"/>
        </w:rPr>
        <w:t xml:space="preserve">e rápidamente hasta casi cero. </w:t>
      </w:r>
      <w:r w:rsidR="00961B09" w:rsidRPr="00AB2AA1">
        <w:rPr>
          <w:lang w:val="es-419"/>
        </w:rPr>
        <w:t>Este documento se centrará en los dos primeros años, que es cuando se registran la mayor p</w:t>
      </w:r>
      <w:r w:rsidR="00F36389">
        <w:rPr>
          <w:lang w:val="es-419"/>
        </w:rPr>
        <w:t xml:space="preserve">arte de las visitas a los ATR. </w:t>
      </w:r>
      <w:r w:rsidR="00961B09" w:rsidRPr="00AB2AA1">
        <w:rPr>
          <w:lang w:val="es-419"/>
        </w:rPr>
        <w:t xml:space="preserve">En el cuadro siguiente se muestra el total de visitas que reciben las páginas de los ATR durante los dos primeros años </w:t>
      </w:r>
      <w:r w:rsidR="000D5747">
        <w:rPr>
          <w:lang w:val="es-419"/>
        </w:rPr>
        <w:t>de</w:t>
      </w:r>
      <w:r w:rsidR="00961B09" w:rsidRPr="00AB2AA1">
        <w:rPr>
          <w:lang w:val="es-419"/>
        </w:rPr>
        <w:t xml:space="preserve"> publicación (se excluyen los ATR de 2019 porque se publicaron en febrero de 2021, por lo que solo se dispone de los datos correspondientes a seis meses).</w:t>
      </w:r>
    </w:p>
    <w:p w:rsidR="005D5096" w:rsidRPr="00AB2AA1" w:rsidRDefault="00D6236F" w:rsidP="00D6236F">
      <w:pPr>
        <w:pStyle w:val="ONUMFS"/>
        <w:numPr>
          <w:ilvl w:val="0"/>
          <w:numId w:val="0"/>
        </w:numPr>
        <w:jc w:val="center"/>
        <w:rPr>
          <w:lang w:val="es-419"/>
        </w:rPr>
      </w:pPr>
      <w:r w:rsidRPr="00AB2AA1">
        <w:rPr>
          <w:noProof/>
          <w:lang w:val="en-US"/>
        </w:rPr>
        <w:drawing>
          <wp:inline distT="0" distB="0" distL="0" distR="0" wp14:anchorId="3D59F5D3" wp14:editId="3F386F3A">
            <wp:extent cx="4683760" cy="2674620"/>
            <wp:effectExtent l="0" t="0" r="254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5096" w:rsidRPr="00AB2AA1" w:rsidRDefault="000B5CBA" w:rsidP="00361BC3">
      <w:pPr>
        <w:pStyle w:val="ONUMFS"/>
        <w:numPr>
          <w:ilvl w:val="0"/>
          <w:numId w:val="0"/>
        </w:numPr>
        <w:spacing w:after="0"/>
        <w:rPr>
          <w:highlight w:val="yellow"/>
          <w:lang w:val="es-419"/>
        </w:rPr>
      </w:pPr>
      <w:r w:rsidRPr="00AB2AA1">
        <w:rPr>
          <w:highlight w:val="yellow"/>
          <w:lang w:val="es-419"/>
        </w:rPr>
        <w:t>[Leyenda:</w:t>
      </w:r>
    </w:p>
    <w:p w:rsidR="005D5096" w:rsidRPr="00AB2AA1" w:rsidRDefault="00361BC3" w:rsidP="00361BC3">
      <w:pPr>
        <w:pStyle w:val="ONUMFS"/>
        <w:numPr>
          <w:ilvl w:val="0"/>
          <w:numId w:val="0"/>
        </w:numPr>
        <w:spacing w:after="0"/>
        <w:rPr>
          <w:highlight w:val="yellow"/>
          <w:lang w:val="es-419"/>
        </w:rPr>
      </w:pPr>
      <w:r w:rsidRPr="00AB2AA1">
        <w:rPr>
          <w:highlight w:val="yellow"/>
          <w:lang w:val="es-419"/>
        </w:rPr>
        <w:t>ATR de 2018</w:t>
      </w:r>
      <w:r w:rsidRPr="00AB2AA1">
        <w:rPr>
          <w:highlight w:val="yellow"/>
          <w:lang w:val="es-419"/>
        </w:rPr>
        <w:tab/>
        <w:t>ATR de 2017</w:t>
      </w:r>
      <w:r w:rsidRPr="00AB2AA1">
        <w:rPr>
          <w:highlight w:val="yellow"/>
          <w:lang w:val="es-419"/>
        </w:rPr>
        <w:tab/>
        <w:t>ATR de 2016</w:t>
      </w:r>
    </w:p>
    <w:p w:rsidR="005D5096" w:rsidRPr="00AB2AA1" w:rsidRDefault="00361BC3" w:rsidP="000B5CBA">
      <w:pPr>
        <w:pStyle w:val="ONUMFS"/>
        <w:numPr>
          <w:ilvl w:val="0"/>
          <w:numId w:val="0"/>
        </w:numPr>
        <w:rPr>
          <w:lang w:val="es-419"/>
        </w:rPr>
      </w:pPr>
      <w:r w:rsidRPr="00AB2AA1">
        <w:rPr>
          <w:highlight w:val="yellow"/>
          <w:lang w:val="es-419"/>
        </w:rPr>
        <w:t>primer año</w:t>
      </w:r>
      <w:r w:rsidRPr="00AB2AA1">
        <w:rPr>
          <w:highlight w:val="yellow"/>
          <w:lang w:val="es-419"/>
        </w:rPr>
        <w:tab/>
        <w:t>segundo año]</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1C4932" w:rsidRPr="00AB2AA1">
        <w:rPr>
          <w:lang w:val="es-419"/>
        </w:rPr>
        <w:t xml:space="preserve">El año más reciente para el que </w:t>
      </w:r>
      <w:r w:rsidR="00F712D6">
        <w:rPr>
          <w:lang w:val="es-419"/>
        </w:rPr>
        <w:t>se dispone</w:t>
      </w:r>
      <w:r w:rsidR="001C4932" w:rsidRPr="00AB2AA1">
        <w:rPr>
          <w:lang w:val="es-419"/>
        </w:rPr>
        <w:t xml:space="preserve"> de dos años completos (correspondientes a los años civiles 2019 y 2020) de estadísti</w:t>
      </w:r>
      <w:r w:rsidR="00B4422B" w:rsidRPr="00AB2AA1">
        <w:rPr>
          <w:lang w:val="es-419"/>
        </w:rPr>
        <w:t xml:space="preserve">cas web sobre los ATR es 2018. </w:t>
      </w:r>
      <w:r w:rsidR="001C4932" w:rsidRPr="00AB2AA1">
        <w:rPr>
          <w:lang w:val="es-419"/>
        </w:rPr>
        <w:t>En 2019, el primer año en que se publicaron, las páginas de todos los ATR de 2018 recib</w:t>
      </w:r>
      <w:r w:rsidR="00B4422B" w:rsidRPr="00AB2AA1">
        <w:rPr>
          <w:lang w:val="es-419"/>
        </w:rPr>
        <w:t xml:space="preserve">ieron un total de 105 visitas. </w:t>
      </w:r>
      <w:r w:rsidR="001C4932" w:rsidRPr="00AB2AA1">
        <w:rPr>
          <w:lang w:val="es-419"/>
        </w:rPr>
        <w:t xml:space="preserve">En 2020, segundo año de publicación, las páginas de todos los ATR de 2018 recibieron </w:t>
      </w:r>
      <w:r w:rsidR="00B4422B" w:rsidRPr="00AB2AA1">
        <w:rPr>
          <w:lang w:val="es-419"/>
        </w:rPr>
        <w:t xml:space="preserve">265 visitas. </w:t>
      </w:r>
      <w:r w:rsidR="001C4932" w:rsidRPr="00AB2AA1">
        <w:rPr>
          <w:lang w:val="es-419"/>
        </w:rPr>
        <w:t>Esto supone un total de 370 visitas en los dos primeros años de publica</w:t>
      </w:r>
      <w:r w:rsidR="00B4422B" w:rsidRPr="00AB2AA1">
        <w:rPr>
          <w:lang w:val="es-419"/>
        </w:rPr>
        <w:t xml:space="preserve">ción. </w:t>
      </w:r>
      <w:r w:rsidR="001C4932" w:rsidRPr="00AB2AA1">
        <w:rPr>
          <w:lang w:val="es-419"/>
        </w:rPr>
        <w:t>Las cifras totales de otros ATR en sus dos primeros años</w:t>
      </w:r>
      <w:r w:rsidR="00B4422B" w:rsidRPr="00AB2AA1">
        <w:rPr>
          <w:lang w:val="es-419"/>
        </w:rPr>
        <w:t xml:space="preserve"> de publicación son similares. </w:t>
      </w:r>
      <w:r w:rsidR="001C4932" w:rsidRPr="00AB2AA1">
        <w:rPr>
          <w:lang w:val="es-419"/>
        </w:rPr>
        <w:t>La distribución de las visitas entre el primer año y el segundo varía en función del momento en que se publican los ATR, pero el total de los dos años se mantiene entre 360 y 440 visitas.</w:t>
      </w:r>
    </w:p>
    <w:p w:rsidR="005D5096" w:rsidRPr="00AB2AA1" w:rsidRDefault="00D6236F" w:rsidP="00D6236F">
      <w:pPr>
        <w:pStyle w:val="ONUMFS"/>
        <w:numPr>
          <w:ilvl w:val="0"/>
          <w:numId w:val="0"/>
        </w:numPr>
        <w:spacing w:after="120"/>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5C2C3D" w:rsidRPr="00AB2AA1">
        <w:rPr>
          <w:lang w:val="es-419"/>
        </w:rPr>
        <w:t>Según estos datos, los ATR reciben una media de 180 visitas al año en sus dos primeros año</w:t>
      </w:r>
      <w:r w:rsidR="00F36389">
        <w:rPr>
          <w:lang w:val="es-419"/>
        </w:rPr>
        <w:t xml:space="preserve">s. Esta es una cifra muy baja. </w:t>
      </w:r>
      <w:r w:rsidR="005C2C3D" w:rsidRPr="00AB2AA1">
        <w:rPr>
          <w:lang w:val="es-419"/>
        </w:rPr>
        <w:t>A modo de comparación, esta</w:t>
      </w:r>
      <w:r w:rsidR="00773394">
        <w:rPr>
          <w:lang w:val="es-419"/>
        </w:rPr>
        <w:t xml:space="preserve">s son las visitas recibidas </w:t>
      </w:r>
      <w:r w:rsidR="00773394" w:rsidRPr="00773394">
        <w:t>en</w:t>
      </w:r>
      <w:r w:rsidR="00773394">
        <w:t> </w:t>
      </w:r>
      <w:r w:rsidR="005C2C3D" w:rsidRPr="00773394">
        <w:t>2020</w:t>
      </w:r>
      <w:r w:rsidR="005C2C3D" w:rsidRPr="00AB2AA1">
        <w:rPr>
          <w:lang w:val="es-419"/>
        </w:rPr>
        <w:t xml:space="preserve"> por las páginas de otros contenidos relacionados con el CWS:</w:t>
      </w:r>
    </w:p>
    <w:p w:rsidR="005D5096" w:rsidRPr="00AB2AA1" w:rsidRDefault="00D6236F" w:rsidP="00D6236F">
      <w:pPr>
        <w:pStyle w:val="ONUMFS"/>
        <w:numPr>
          <w:ilvl w:val="0"/>
          <w:numId w:val="0"/>
        </w:numPr>
        <w:jc w:val="center"/>
        <w:rPr>
          <w:lang w:val="es-419"/>
        </w:rPr>
      </w:pPr>
      <w:r w:rsidRPr="00AB2AA1">
        <w:rPr>
          <w:noProof/>
          <w:lang w:val="en-US"/>
        </w:rPr>
        <w:drawing>
          <wp:inline distT="0" distB="0" distL="0" distR="0" wp14:anchorId="730FDA29" wp14:editId="42314BC8">
            <wp:extent cx="4869180" cy="2194560"/>
            <wp:effectExtent l="0" t="0" r="762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5096" w:rsidRPr="00AB2AA1" w:rsidRDefault="006730CE" w:rsidP="001E7C64">
      <w:pPr>
        <w:pStyle w:val="ONUMFS"/>
        <w:numPr>
          <w:ilvl w:val="0"/>
          <w:numId w:val="0"/>
        </w:numPr>
        <w:spacing w:after="0"/>
        <w:rPr>
          <w:highlight w:val="yellow"/>
          <w:lang w:val="es-419"/>
        </w:rPr>
      </w:pPr>
      <w:r w:rsidRPr="00AB2AA1">
        <w:rPr>
          <w:highlight w:val="yellow"/>
          <w:lang w:val="es-419"/>
        </w:rPr>
        <w:t>[Leyenda:</w:t>
      </w:r>
    </w:p>
    <w:p w:rsidR="005D5096" w:rsidRPr="00AB2AA1" w:rsidRDefault="006730CE" w:rsidP="006730CE">
      <w:pPr>
        <w:pStyle w:val="ONUMFS"/>
        <w:numPr>
          <w:ilvl w:val="0"/>
          <w:numId w:val="0"/>
        </w:numPr>
        <w:rPr>
          <w:lang w:val="es-419"/>
        </w:rPr>
      </w:pPr>
      <w:r w:rsidRPr="00AB2AA1">
        <w:rPr>
          <w:highlight w:val="yellow"/>
          <w:lang w:val="es-419"/>
        </w:rPr>
        <w:t>ST.3</w:t>
      </w:r>
      <w:r w:rsidRPr="00AB2AA1">
        <w:rPr>
          <w:highlight w:val="yellow"/>
          <w:lang w:val="es-419"/>
        </w:rPr>
        <w:tab/>
        <w:t>Página de inicio de las Normas</w:t>
      </w:r>
      <w:r w:rsidRPr="00AB2AA1">
        <w:rPr>
          <w:highlight w:val="yellow"/>
          <w:lang w:val="es-419"/>
        </w:rPr>
        <w:tab/>
        <w:t>ST.96</w:t>
      </w:r>
      <w:r w:rsidRPr="00AB2AA1">
        <w:rPr>
          <w:highlight w:val="yellow"/>
          <w:lang w:val="es-419"/>
        </w:rPr>
        <w:tab/>
        <w:t>ST.</w:t>
      </w:r>
      <w:r w:rsidR="00773394">
        <w:rPr>
          <w:highlight w:val="yellow"/>
          <w:lang w:val="es-419"/>
        </w:rPr>
        <w:t>26</w:t>
      </w:r>
      <w:r w:rsidR="00773394">
        <w:rPr>
          <w:highlight w:val="yellow"/>
          <w:lang w:val="es-419"/>
        </w:rPr>
        <w:tab/>
        <w:t>Apéndice 3 ST.9 archivado en </w:t>
      </w:r>
      <w:r w:rsidRPr="00AB2AA1">
        <w:rPr>
          <w:highlight w:val="yellow"/>
          <w:lang w:val="es-419"/>
        </w:rPr>
        <w:t>2008</w:t>
      </w:r>
      <w:r w:rsidRPr="00AB2AA1">
        <w:rPr>
          <w:highlight w:val="yellow"/>
          <w:lang w:val="es-419"/>
        </w:rPr>
        <w:tab/>
        <w:t>Circular 2001</w:t>
      </w:r>
      <w:r w:rsidRPr="00AB2AA1">
        <w:rPr>
          <w:highlight w:val="yellow"/>
          <w:lang w:val="es-419"/>
        </w:rPr>
        <w:tab/>
        <w:t>Todos los ATR anuales]</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146B1F" w:rsidRPr="00AB2AA1">
        <w:rPr>
          <w:lang w:val="es-419"/>
        </w:rPr>
        <w:t>La Norma ST.3 de la OMPI, relativa a los códigos de dos letras para Estados y organizaciones, es la que más visitas recibe, c</w:t>
      </w:r>
      <w:r w:rsidR="00F36389">
        <w:rPr>
          <w:lang w:val="es-419"/>
        </w:rPr>
        <w:t xml:space="preserve">on unas 30.000 visitas al año. </w:t>
      </w:r>
      <w:r w:rsidR="00F2328C">
        <w:rPr>
          <w:lang w:val="es-419"/>
        </w:rPr>
        <w:t>La página de inicio de las N</w:t>
      </w:r>
      <w:r w:rsidR="00146B1F" w:rsidRPr="00AB2AA1">
        <w:rPr>
          <w:lang w:val="es-419"/>
        </w:rPr>
        <w:t xml:space="preserve">ormas, nuestra página web más popular, recibe </w:t>
      </w:r>
      <w:r w:rsidR="00633B71">
        <w:rPr>
          <w:lang w:val="es-419"/>
        </w:rPr>
        <w:t>aproximadamente</w:t>
      </w:r>
      <w:r w:rsidR="00146B1F" w:rsidRPr="00AB2AA1">
        <w:rPr>
          <w:lang w:val="es-419"/>
        </w:rPr>
        <w:t xml:space="preserve"> 10.000 visitas al año. La Norma ST.96 de la OMPI, relativa al almacenamiento de datos de PI mediante XML, también recibe 10.000 visitas al año. La Norma ST.26, relativa a secuencias de </w:t>
      </w:r>
      <w:r w:rsidR="00630846" w:rsidRPr="00AB2AA1">
        <w:rPr>
          <w:lang w:val="es-419"/>
        </w:rPr>
        <w:t>nucleótidos</w:t>
      </w:r>
      <w:r w:rsidR="00146B1F" w:rsidRPr="00AB2AA1">
        <w:rPr>
          <w:lang w:val="es-419"/>
        </w:rPr>
        <w:t xml:space="preserve">, recibe más de 5.000 visitas al año. Estos elementos se encuentran entre </w:t>
      </w:r>
      <w:r w:rsidR="000250E7">
        <w:rPr>
          <w:lang w:val="es-419"/>
        </w:rPr>
        <w:t>l</w:t>
      </w:r>
      <w:r w:rsidR="00146B1F" w:rsidRPr="00AB2AA1">
        <w:rPr>
          <w:lang w:val="es-419"/>
        </w:rPr>
        <w:t>os contenidos más populares relacionados con el CWS.</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146B1F" w:rsidRPr="00AB2AA1">
        <w:rPr>
          <w:lang w:val="es-419"/>
        </w:rPr>
        <w:t>A modo de comparación, hay incluso contenidos obsoletos que siguen recibie</w:t>
      </w:r>
      <w:r w:rsidR="00B86E7C" w:rsidRPr="00AB2AA1">
        <w:rPr>
          <w:lang w:val="es-419"/>
        </w:rPr>
        <w:t xml:space="preserve">ndo un buen número de visitas. </w:t>
      </w:r>
      <w:r w:rsidR="00146B1F" w:rsidRPr="00AB2AA1">
        <w:rPr>
          <w:lang w:val="es-419"/>
        </w:rPr>
        <w:t xml:space="preserve">El </w:t>
      </w:r>
      <w:hyperlink r:id="rId13" w:history="1">
        <w:r w:rsidR="00146B1F" w:rsidRPr="00AB2AA1">
          <w:rPr>
            <w:rStyle w:val="Hyperlink"/>
            <w:lang w:val="es-419"/>
          </w:rPr>
          <w:t>Apéndice 3 de la Norma ST.9</w:t>
        </w:r>
      </w:hyperlink>
      <w:r w:rsidRPr="00AB2AA1">
        <w:rPr>
          <w:lang w:val="es-419"/>
        </w:rPr>
        <w:t xml:space="preserve">, </w:t>
      </w:r>
      <w:r w:rsidR="00146B1F" w:rsidRPr="00AB2AA1">
        <w:rPr>
          <w:lang w:val="es-419"/>
        </w:rPr>
        <w:t xml:space="preserve">que se archivó en 2008 y se actualizó por última vez en 1996, </w:t>
      </w:r>
      <w:r w:rsidR="00343452">
        <w:rPr>
          <w:lang w:val="es-419"/>
        </w:rPr>
        <w:t>aún recibió</w:t>
      </w:r>
      <w:r w:rsidR="00B86E7C" w:rsidRPr="00AB2AA1">
        <w:rPr>
          <w:lang w:val="es-419"/>
        </w:rPr>
        <w:t xml:space="preserve"> 700 visitas en 2020. </w:t>
      </w:r>
      <w:r w:rsidR="00146B1F" w:rsidRPr="00AB2AA1">
        <w:rPr>
          <w:lang w:val="es-419"/>
        </w:rPr>
        <w:t xml:space="preserve">Una </w:t>
      </w:r>
      <w:hyperlink r:id="rId14" w:history="1">
        <w:r w:rsidR="00B86E7C" w:rsidRPr="00AB2AA1">
          <w:rPr>
            <w:rStyle w:val="Hyperlink"/>
            <w:lang w:val="es-419"/>
          </w:rPr>
          <w:t>circular</w:t>
        </w:r>
      </w:hyperlink>
      <w:r w:rsidRPr="00AB2AA1">
        <w:rPr>
          <w:lang w:val="es-419"/>
        </w:rPr>
        <w:t xml:space="preserve"> </w:t>
      </w:r>
      <w:r w:rsidR="00B86E7C" w:rsidRPr="00AB2AA1">
        <w:rPr>
          <w:lang w:val="es-419"/>
        </w:rPr>
        <w:t xml:space="preserve">publicada </w:t>
      </w:r>
      <w:r w:rsidR="00773394">
        <w:rPr>
          <w:lang w:val="es-419"/>
        </w:rPr>
        <w:t>por el SCIT en </w:t>
      </w:r>
      <w:r w:rsidR="00B86E7C" w:rsidRPr="00AB2AA1">
        <w:rPr>
          <w:lang w:val="es-419"/>
        </w:rPr>
        <w:t xml:space="preserve">2001 recibió 800 visitas en el año 2020. A la luz de esto, </w:t>
      </w:r>
      <w:r w:rsidR="00630846" w:rsidRPr="00AB2AA1">
        <w:rPr>
          <w:lang w:val="es-419"/>
        </w:rPr>
        <w:t>las 180 visitas al año de media de los ATR representan</w:t>
      </w:r>
      <w:r w:rsidR="00B86E7C" w:rsidRPr="00AB2AA1">
        <w:rPr>
          <w:lang w:val="es-419"/>
        </w:rPr>
        <w:t xml:space="preserve"> una cifra excesivamente baja. Se trata de un orden de magnitud inferior incluso a los contenidos obsoletos.</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3A468F" w:rsidRPr="00AB2AA1">
        <w:rPr>
          <w:lang w:val="es-419"/>
        </w:rPr>
        <w:t>Además, 180 es la media de todas las páginas d</w:t>
      </w:r>
      <w:r w:rsidR="00827010" w:rsidRPr="00AB2AA1">
        <w:rPr>
          <w:lang w:val="es-419"/>
        </w:rPr>
        <w:t>e los ATR en un año específico.</w:t>
      </w:r>
      <w:r w:rsidR="003A468F" w:rsidRPr="00AB2AA1">
        <w:rPr>
          <w:lang w:val="es-419"/>
        </w:rPr>
        <w:t xml:space="preserve"> El número de visitas de cada página de los ATR suele se</w:t>
      </w:r>
      <w:r w:rsidR="00827010" w:rsidRPr="00AB2AA1">
        <w:rPr>
          <w:lang w:val="es-419"/>
        </w:rPr>
        <w:t xml:space="preserve">r una cifra de un solo dígito. </w:t>
      </w:r>
      <w:r w:rsidR="003A468F" w:rsidRPr="00AB2AA1">
        <w:rPr>
          <w:lang w:val="es-419"/>
        </w:rPr>
        <w:t>De las 164 páginas de los ATR que recibieron visitas en 2020, solo 15 tuvieron 10 visitas o más.</w:t>
      </w:r>
      <w:r w:rsidR="00827010" w:rsidRPr="00AB2AA1">
        <w:rPr>
          <w:lang w:val="es-419"/>
        </w:rPr>
        <w:t xml:space="preserve"> </w:t>
      </w:r>
      <w:r w:rsidR="003A468F" w:rsidRPr="00AB2AA1">
        <w:rPr>
          <w:lang w:val="es-419"/>
        </w:rPr>
        <w:t xml:space="preserve">De </w:t>
      </w:r>
      <w:r w:rsidR="008C7B52">
        <w:rPr>
          <w:lang w:val="es-419"/>
        </w:rPr>
        <w:t xml:space="preserve">entre </w:t>
      </w:r>
      <w:r w:rsidR="003A468F" w:rsidRPr="00AB2AA1">
        <w:rPr>
          <w:lang w:val="es-419"/>
        </w:rPr>
        <w:t>esas páginas, 95 tuvieron 1 so</w:t>
      </w:r>
      <w:r w:rsidR="00827010" w:rsidRPr="00AB2AA1">
        <w:rPr>
          <w:lang w:val="es-419"/>
        </w:rPr>
        <w:t xml:space="preserve">la visita en todo el año 2020. </w:t>
      </w:r>
      <w:r w:rsidR="00773394">
        <w:rPr>
          <w:lang w:val="es-419"/>
        </w:rPr>
        <w:t>De los 31 ATR presentados en </w:t>
      </w:r>
      <w:r w:rsidR="003A468F" w:rsidRPr="00AB2AA1">
        <w:rPr>
          <w:lang w:val="es-419"/>
        </w:rPr>
        <w:t>2018, 22 recibieron men</w:t>
      </w:r>
      <w:r w:rsidR="00827010" w:rsidRPr="00AB2AA1">
        <w:rPr>
          <w:lang w:val="es-419"/>
        </w:rPr>
        <w:t xml:space="preserve">os de 10 visitas en todo 2020. </w:t>
      </w:r>
      <w:r w:rsidR="003A468F" w:rsidRPr="00AB2AA1">
        <w:rPr>
          <w:lang w:val="es-419"/>
        </w:rPr>
        <w:t>Esto supone que esas páginas fueron visitadas por menos de una persona al mes.</w:t>
      </w:r>
    </w:p>
    <w:p w:rsidR="005D5096" w:rsidRPr="00AB2AA1" w:rsidRDefault="00D6236F" w:rsidP="00D6236F">
      <w:pPr>
        <w:pStyle w:val="ONUMFS"/>
        <w:numPr>
          <w:ilvl w:val="0"/>
          <w:numId w:val="0"/>
        </w:numPr>
        <w:rPr>
          <w:lang w:val="es-419"/>
        </w:rPr>
      </w:pPr>
      <w:r w:rsidRPr="00AB2AA1">
        <w:rPr>
          <w:noProof/>
          <w:lang w:val="en-US"/>
        </w:rPr>
        <w:drawing>
          <wp:inline distT="0" distB="0" distL="0" distR="0" wp14:anchorId="78351F47" wp14:editId="28FDEF04">
            <wp:extent cx="5940425" cy="2862632"/>
            <wp:effectExtent l="0" t="0" r="317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5096" w:rsidRPr="00AB2AA1" w:rsidRDefault="00D6236F" w:rsidP="00773394">
      <w:pPr>
        <w:pStyle w:val="ONUMFS"/>
        <w:numPr>
          <w:ilvl w:val="0"/>
          <w:numId w:val="0"/>
        </w:numPr>
        <w:spacing w:after="480"/>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A5332C" w:rsidRPr="00AB2AA1">
        <w:rPr>
          <w:lang w:val="es-419"/>
        </w:rPr>
        <w:t xml:space="preserve">Esto significa que la mayoría de las páginas de los </w:t>
      </w:r>
      <w:r w:rsidR="00F36389">
        <w:rPr>
          <w:lang w:val="es-419"/>
        </w:rPr>
        <w:t xml:space="preserve">ATR reciben muy pocas visitas. </w:t>
      </w:r>
      <w:r w:rsidR="00A5332C" w:rsidRPr="00AB2AA1">
        <w:rPr>
          <w:lang w:val="es-419"/>
        </w:rPr>
        <w:t>Teniendo en cuenta el esfuerzo que realizan las OPI para redactar y publicar los ATR, parecería que el número de visitas no justifica el nivel de esfuerzo que invierten actualmente quienes los elaboran.</w:t>
      </w:r>
    </w:p>
    <w:p w:rsidR="005D5096" w:rsidRPr="00AB2AA1" w:rsidRDefault="00063D21" w:rsidP="00773394">
      <w:pPr>
        <w:pStyle w:val="Heading2"/>
        <w:spacing w:before="0" w:after="120"/>
        <w:rPr>
          <w:lang w:val="es-419"/>
        </w:rPr>
      </w:pPr>
      <w:r w:rsidRPr="00AB2AA1">
        <w:rPr>
          <w:lang w:val="es-419"/>
        </w:rPr>
        <w:t>ORIGEN DE LAS VISITAS</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511DED" w:rsidRPr="00AB2AA1">
        <w:rPr>
          <w:lang w:val="es-419"/>
        </w:rPr>
        <w:t>Las estadísticas web no revelan la procedencia</w:t>
      </w:r>
      <w:r w:rsidR="003A3F7C" w:rsidRPr="00AB2AA1">
        <w:rPr>
          <w:lang w:val="es-419"/>
        </w:rPr>
        <w:t xml:space="preserve"> de las visitas a las páginas. </w:t>
      </w:r>
      <w:r w:rsidR="00511DED" w:rsidRPr="00AB2AA1">
        <w:rPr>
          <w:lang w:val="es-419"/>
        </w:rPr>
        <w:t>Cada vez que una OPI accede a la página de un ATR durante la preparación para su publicación, la visita a la página queda registrada en las estadísticas web internas de la OMP</w:t>
      </w:r>
      <w:r w:rsidR="003A3F7C" w:rsidRPr="00AB2AA1">
        <w:rPr>
          <w:lang w:val="es-419"/>
        </w:rPr>
        <w:t xml:space="preserve">I. </w:t>
      </w:r>
      <w:r w:rsidR="00511DED" w:rsidRPr="00AB2AA1">
        <w:rPr>
          <w:lang w:val="es-419"/>
        </w:rPr>
        <w:t>Estas visitas no son de usuarios de</w:t>
      </w:r>
      <w:r w:rsidR="003A3F7C" w:rsidRPr="00AB2AA1">
        <w:rPr>
          <w:lang w:val="es-419"/>
        </w:rPr>
        <w:t xml:space="preserve"> </w:t>
      </w:r>
      <w:r w:rsidR="00511DED" w:rsidRPr="00AB2AA1">
        <w:rPr>
          <w:lang w:val="es-419"/>
        </w:rPr>
        <w:t>l</w:t>
      </w:r>
      <w:r w:rsidR="003A3F7C" w:rsidRPr="00AB2AA1">
        <w:rPr>
          <w:lang w:val="es-419"/>
        </w:rPr>
        <w:t>os</w:t>
      </w:r>
      <w:r w:rsidR="00511DED" w:rsidRPr="00AB2AA1">
        <w:rPr>
          <w:lang w:val="es-419"/>
        </w:rPr>
        <w:t xml:space="preserve"> ATR, sino de la</w:t>
      </w:r>
      <w:r w:rsidR="003A3F7C" w:rsidRPr="00AB2AA1">
        <w:rPr>
          <w:lang w:val="es-419"/>
        </w:rPr>
        <w:t>s</w:t>
      </w:r>
      <w:r w:rsidR="00511DED" w:rsidRPr="00AB2AA1">
        <w:rPr>
          <w:lang w:val="es-419"/>
        </w:rPr>
        <w:t xml:space="preserve"> O</w:t>
      </w:r>
      <w:r w:rsidR="003A3F7C" w:rsidRPr="00AB2AA1">
        <w:rPr>
          <w:lang w:val="es-419"/>
        </w:rPr>
        <w:t xml:space="preserve">PI que los elaboran. </w:t>
      </w:r>
      <w:r w:rsidR="00511DED" w:rsidRPr="00AB2AA1">
        <w:rPr>
          <w:lang w:val="es-419"/>
        </w:rPr>
        <w:t>Esto infla el número de visitas que recibe</w:t>
      </w:r>
      <w:r w:rsidR="00A70081" w:rsidRPr="00AB2AA1">
        <w:rPr>
          <w:lang w:val="es-419"/>
        </w:rPr>
        <w:t>n</w:t>
      </w:r>
      <w:r w:rsidR="00511DED" w:rsidRPr="00AB2AA1">
        <w:rPr>
          <w:lang w:val="es-419"/>
        </w:rPr>
        <w:t xml:space="preserve"> la</w:t>
      </w:r>
      <w:r w:rsidR="00A70081" w:rsidRPr="00AB2AA1">
        <w:rPr>
          <w:lang w:val="es-419"/>
        </w:rPr>
        <w:t>s</w:t>
      </w:r>
      <w:r w:rsidR="00511DED" w:rsidRPr="00AB2AA1">
        <w:rPr>
          <w:lang w:val="es-419"/>
        </w:rPr>
        <w:t xml:space="preserve"> página</w:t>
      </w:r>
      <w:r w:rsidR="00A70081" w:rsidRPr="00AB2AA1">
        <w:rPr>
          <w:lang w:val="es-419"/>
        </w:rPr>
        <w:t>s</w:t>
      </w:r>
      <w:r w:rsidR="00511DED" w:rsidRPr="00AB2AA1">
        <w:rPr>
          <w:lang w:val="es-419"/>
        </w:rPr>
        <w:t xml:space="preserve"> durante el</w:t>
      </w:r>
      <w:r w:rsidR="003A3F7C" w:rsidRPr="00AB2AA1">
        <w:rPr>
          <w:lang w:val="es-419"/>
        </w:rPr>
        <w:t xml:space="preserve"> año en que se elabora</w:t>
      </w:r>
      <w:r w:rsidR="00A70081" w:rsidRPr="00AB2AA1">
        <w:rPr>
          <w:lang w:val="es-419"/>
        </w:rPr>
        <w:t>n</w:t>
      </w:r>
      <w:r w:rsidR="003A3F7C" w:rsidRPr="00AB2AA1">
        <w:rPr>
          <w:lang w:val="es-419"/>
        </w:rPr>
        <w:t xml:space="preserve"> </w:t>
      </w:r>
      <w:r w:rsidR="00A70081" w:rsidRPr="00AB2AA1">
        <w:rPr>
          <w:lang w:val="es-419"/>
        </w:rPr>
        <w:t>los</w:t>
      </w:r>
      <w:r w:rsidR="003A3F7C" w:rsidRPr="00AB2AA1">
        <w:rPr>
          <w:lang w:val="es-419"/>
        </w:rPr>
        <w:t xml:space="preserve"> ATR. </w:t>
      </w:r>
      <w:r w:rsidR="00511DED" w:rsidRPr="00AB2AA1">
        <w:rPr>
          <w:lang w:val="es-419"/>
        </w:rPr>
        <w:t>También es habitual que las OPI accedan a su</w:t>
      </w:r>
      <w:r w:rsidR="00A70081" w:rsidRPr="00AB2AA1">
        <w:rPr>
          <w:lang w:val="es-419"/>
        </w:rPr>
        <w:t>s</w:t>
      </w:r>
      <w:r w:rsidR="00511DED" w:rsidRPr="00AB2AA1">
        <w:rPr>
          <w:lang w:val="es-419"/>
        </w:rPr>
        <w:t xml:space="preserve"> informe</w:t>
      </w:r>
      <w:r w:rsidR="00A70081" w:rsidRPr="00AB2AA1">
        <w:rPr>
          <w:lang w:val="es-419"/>
        </w:rPr>
        <w:t>s</w:t>
      </w:r>
      <w:r w:rsidR="00511DED" w:rsidRPr="00AB2AA1">
        <w:rPr>
          <w:lang w:val="es-419"/>
        </w:rPr>
        <w:t xml:space="preserve"> anterior</w:t>
      </w:r>
      <w:r w:rsidR="00A70081" w:rsidRPr="00AB2AA1">
        <w:rPr>
          <w:lang w:val="es-419"/>
        </w:rPr>
        <w:t>es</w:t>
      </w:r>
      <w:r w:rsidR="00511DED" w:rsidRPr="00AB2AA1">
        <w:rPr>
          <w:lang w:val="es-419"/>
        </w:rPr>
        <w:t xml:space="preserve"> durante la elaboración de los nuevos ATR, lo que infla asimismo las vi</w:t>
      </w:r>
      <w:r w:rsidR="003A3F7C" w:rsidRPr="00AB2AA1">
        <w:rPr>
          <w:lang w:val="es-419"/>
        </w:rPr>
        <w:t>sitas a</w:t>
      </w:r>
      <w:r w:rsidR="00A70081" w:rsidRPr="00AB2AA1">
        <w:rPr>
          <w:lang w:val="es-419"/>
        </w:rPr>
        <w:t xml:space="preserve"> </w:t>
      </w:r>
      <w:r w:rsidR="003A3F7C" w:rsidRPr="00AB2AA1">
        <w:rPr>
          <w:lang w:val="es-419"/>
        </w:rPr>
        <w:t>l</w:t>
      </w:r>
      <w:r w:rsidR="00A70081" w:rsidRPr="00AB2AA1">
        <w:rPr>
          <w:lang w:val="es-419"/>
        </w:rPr>
        <w:t>os</w:t>
      </w:r>
      <w:r w:rsidR="003A3F7C" w:rsidRPr="00AB2AA1">
        <w:rPr>
          <w:lang w:val="es-419"/>
        </w:rPr>
        <w:t xml:space="preserve"> ATR del año anterior. </w:t>
      </w:r>
      <w:r w:rsidR="00511DED" w:rsidRPr="00AB2AA1">
        <w:rPr>
          <w:lang w:val="es-419"/>
        </w:rPr>
        <w:t>Se desconoce en qué medida estas visitas de la</w:t>
      </w:r>
      <w:r w:rsidR="00A70081" w:rsidRPr="00AB2AA1">
        <w:rPr>
          <w:lang w:val="es-419"/>
        </w:rPr>
        <w:t>s</w:t>
      </w:r>
      <w:r w:rsidR="00511DED" w:rsidRPr="00AB2AA1">
        <w:rPr>
          <w:lang w:val="es-419"/>
        </w:rPr>
        <w:t xml:space="preserve"> OPI responsable</w:t>
      </w:r>
      <w:r w:rsidR="00A70081" w:rsidRPr="00AB2AA1">
        <w:rPr>
          <w:lang w:val="es-419"/>
        </w:rPr>
        <w:t>s</w:t>
      </w:r>
      <w:r w:rsidR="00511DED" w:rsidRPr="00AB2AA1">
        <w:rPr>
          <w:lang w:val="es-419"/>
        </w:rPr>
        <w:t xml:space="preserve"> de los informes inflan las cifras de los ATR, pero podría ser un factor considerable.</w:t>
      </w:r>
    </w:p>
    <w:p w:rsidR="005D5096" w:rsidRPr="00AB2AA1" w:rsidRDefault="00D6236F" w:rsidP="00773394">
      <w:pPr>
        <w:pStyle w:val="ONUMFS"/>
        <w:numPr>
          <w:ilvl w:val="0"/>
          <w:numId w:val="0"/>
        </w:numPr>
        <w:spacing w:after="480"/>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1A212E" w:rsidRPr="00AB2AA1">
        <w:rPr>
          <w:lang w:val="es-419"/>
        </w:rPr>
        <w:t xml:space="preserve">Por ejemplo, los ATR correspondientes a 2019 se presentaron a finales de 2020 y se publicaron en 2021. A pesar de que las páginas no se llegaron a publicar, las estadísticas web de la OMPI de 2020 muestran que las páginas de los ATR de 2019 recibieron 112 visitas en 2020. Estas visitas solo pudieron proceder de las OPI que presentaron las páginas. </w:t>
      </w:r>
      <w:r w:rsidR="00707DAD">
        <w:rPr>
          <w:lang w:val="es-419"/>
        </w:rPr>
        <w:t>Teniendo en cuenta</w:t>
      </w:r>
      <w:r w:rsidR="001A212E" w:rsidRPr="00AB2AA1">
        <w:rPr>
          <w:lang w:val="es-419"/>
        </w:rPr>
        <w:t xml:space="preserve"> que en la mayoría de casos los ATR reciben entre 100 y 200 visitas en el año de publicación, parece que la mayoría de estas visitas podrían provenir de las OPI que los presentan y no de los usuarios finales. No se sabe de dónde proceden las visitas a las páginas en el segundo año después de la publicación de los ATR, pero es posible que muchas procedan de las OPI de origen, que revisan su informe anterior para preparar el del año en curso. Por lo tanto, es probable que el número de veces que los usuarios reales visitan los ATR sea bastante inferior a las cifras que indican las estadísticas web de la OMPI que se muestran más arriba.</w:t>
      </w:r>
    </w:p>
    <w:p w:rsidR="005D5096" w:rsidRPr="00AB2AA1" w:rsidRDefault="00D6236F" w:rsidP="00773394">
      <w:pPr>
        <w:pStyle w:val="Heading2"/>
        <w:spacing w:before="0" w:after="120"/>
        <w:rPr>
          <w:lang w:val="es-419"/>
        </w:rPr>
      </w:pPr>
      <w:r w:rsidRPr="00AB2AA1">
        <w:rPr>
          <w:lang w:val="es-419"/>
        </w:rPr>
        <w:t>PROP</w:t>
      </w:r>
      <w:r w:rsidR="00AC6AD4" w:rsidRPr="00AB2AA1">
        <w:rPr>
          <w:lang w:val="es-419"/>
        </w:rPr>
        <w:t>UESTA</w:t>
      </w:r>
      <w:r w:rsidRPr="00AB2AA1">
        <w:rPr>
          <w:lang w:val="es-419"/>
        </w:rPr>
        <w:t>S</w:t>
      </w:r>
    </w:p>
    <w:p w:rsidR="005D5096" w:rsidRPr="00AB2AA1" w:rsidRDefault="00D6236F" w:rsidP="00D6236F">
      <w:pPr>
        <w:pStyle w:val="ONUMFS"/>
        <w:numPr>
          <w:ilvl w:val="0"/>
          <w:numId w:val="0"/>
        </w:numPr>
        <w:rPr>
          <w:lang w:val="es-419"/>
        </w:rPr>
      </w:pPr>
      <w:r w:rsidRPr="00AB2AA1">
        <w:rPr>
          <w:lang w:val="es-419"/>
        </w:rPr>
        <w:fldChar w:fldCharType="begin"/>
      </w:r>
      <w:r w:rsidRPr="00AB2AA1">
        <w:rPr>
          <w:lang w:val="es-419"/>
        </w:rPr>
        <w:instrText xml:space="preserve"> AUTONUM  </w:instrText>
      </w:r>
      <w:r w:rsidRPr="00AB2AA1">
        <w:rPr>
          <w:lang w:val="es-419"/>
        </w:rPr>
        <w:fldChar w:fldCharType="end"/>
      </w:r>
      <w:r w:rsidRPr="00AB2AA1">
        <w:rPr>
          <w:lang w:val="es-419"/>
        </w:rPr>
        <w:tab/>
      </w:r>
      <w:r w:rsidR="00E755CE" w:rsidRPr="00AB2AA1">
        <w:rPr>
          <w:lang w:val="es-419"/>
        </w:rPr>
        <w:t xml:space="preserve">Sobre la base de las conclusiones anteriores, a saber, la disponibilidad de información en los informes anuales y </w:t>
      </w:r>
      <w:r w:rsidR="00076EF5">
        <w:rPr>
          <w:lang w:val="es-419"/>
        </w:rPr>
        <w:t xml:space="preserve">en los </w:t>
      </w:r>
      <w:r w:rsidR="00E755CE" w:rsidRPr="00AB2AA1">
        <w:rPr>
          <w:lang w:val="es-419"/>
        </w:rPr>
        <w:t>sitios web de las OPI, la disminución del número de ATR presentados y el escaso número de visitas a los ATR, la Oficina Internacional propone las dos opciones siguientes con respecto</w:t>
      </w:r>
      <w:r w:rsidRPr="00AB2AA1">
        <w:rPr>
          <w:lang w:val="es-419"/>
        </w:rPr>
        <w:t xml:space="preserve"> </w:t>
      </w:r>
      <w:r w:rsidR="00E755CE" w:rsidRPr="00AB2AA1">
        <w:rPr>
          <w:lang w:val="es-419"/>
        </w:rPr>
        <w:t>a la introducción de cambios en los informes técnicos anuales</w:t>
      </w:r>
      <w:r w:rsidRPr="00AB2AA1">
        <w:rPr>
          <w:lang w:val="es-419"/>
        </w:rPr>
        <w:t>:</w:t>
      </w:r>
    </w:p>
    <w:p w:rsidR="005D5096" w:rsidRPr="00AB2AA1" w:rsidRDefault="00E755CE" w:rsidP="00EE1ED2">
      <w:pPr>
        <w:pStyle w:val="ONUMFS"/>
        <w:numPr>
          <w:ilvl w:val="0"/>
          <w:numId w:val="7"/>
        </w:numPr>
        <w:rPr>
          <w:lang w:val="es-419"/>
        </w:rPr>
      </w:pPr>
      <w:r w:rsidRPr="00AB2AA1">
        <w:rPr>
          <w:b/>
          <w:lang w:val="es-419"/>
        </w:rPr>
        <w:t>Dejar de elaborar los ATR</w:t>
      </w:r>
      <w:r w:rsidRPr="00AB2AA1">
        <w:rPr>
          <w:lang w:val="es-419"/>
        </w:rPr>
        <w:t>:</w:t>
      </w:r>
      <w:r w:rsidR="00D6236F" w:rsidRPr="00AB2AA1">
        <w:rPr>
          <w:lang w:val="es-419"/>
        </w:rPr>
        <w:t xml:space="preserve"> </w:t>
      </w:r>
      <w:r w:rsidR="00EE1ED2" w:rsidRPr="00AB2AA1">
        <w:rPr>
          <w:lang w:val="es-419"/>
        </w:rPr>
        <w:t xml:space="preserve">ante la aparente falta de interés y de uso, quizás habría que dejar de elaborar los ATR. Se pueden ir suprimiendo de forma progresiva durante un período de </w:t>
      </w:r>
      <w:r w:rsidR="0093206E" w:rsidRPr="00AB2AA1">
        <w:rPr>
          <w:lang w:val="es-419"/>
        </w:rPr>
        <w:t>dos</w:t>
      </w:r>
      <w:r w:rsidR="00EE1ED2" w:rsidRPr="00AB2AA1">
        <w:rPr>
          <w:lang w:val="es-419"/>
        </w:rPr>
        <w:t xml:space="preserve"> años para que los encuestados y los usuarios tengan tiempo de plantear las dudas que puedan tener. Durante el período de supresión progresiva, los ATR publicados seguirán estando disponibles. Dado el exiguo número de compilaciones recibidas en 2021 (solo respondieron seis OPI), la Oficina Internacional recomienda que a partir de 2022 no se comp</w:t>
      </w:r>
      <w:r w:rsidR="007148B6" w:rsidRPr="00AB2AA1">
        <w:rPr>
          <w:lang w:val="es-419"/>
        </w:rPr>
        <w:t>il</w:t>
      </w:r>
      <w:r w:rsidR="00B407BE" w:rsidRPr="00AB2AA1">
        <w:rPr>
          <w:lang w:val="es-419"/>
        </w:rPr>
        <w:t xml:space="preserve">en más ATR. </w:t>
      </w:r>
      <w:r w:rsidR="00EE1ED2" w:rsidRPr="00AB2AA1">
        <w:rPr>
          <w:lang w:val="es-419"/>
        </w:rPr>
        <w:t>Una vez transcurrido el período de supresión progresiva, los ATR publicados se archivarán en línea como el resto de la información histórica.</w:t>
      </w:r>
    </w:p>
    <w:p w:rsidR="005D5096" w:rsidRPr="00AB2AA1" w:rsidRDefault="002031E1" w:rsidP="00BF0728">
      <w:pPr>
        <w:pStyle w:val="ONUMFS"/>
        <w:numPr>
          <w:ilvl w:val="0"/>
          <w:numId w:val="7"/>
        </w:numPr>
        <w:rPr>
          <w:lang w:val="es-419"/>
        </w:rPr>
      </w:pPr>
      <w:r w:rsidRPr="00AB2AA1">
        <w:rPr>
          <w:b/>
          <w:lang w:val="es-419"/>
        </w:rPr>
        <w:t>Simplificar la compilación de los ATR</w:t>
      </w:r>
      <w:r w:rsidR="00BF0728" w:rsidRPr="00AB2AA1">
        <w:rPr>
          <w:lang w:val="es-419"/>
        </w:rPr>
        <w:t>: si el CWS decide seguir compilando los ATR, la Oficina Internacional propone simplificar el proceso de forma considerable. En lugar de pedir a las OPI que proporcionen un texto detallado sobre sus actividades y sistemas, se les pedirá que faciliten enlaces a sus sitios web o a sus informes anuales</w:t>
      </w:r>
      <w:r w:rsidR="005E5071">
        <w:rPr>
          <w:lang w:val="es-419"/>
        </w:rPr>
        <w:t>,</w:t>
      </w:r>
      <w:r w:rsidR="00BF0728" w:rsidRPr="00AB2AA1">
        <w:rPr>
          <w:lang w:val="es-419"/>
        </w:rPr>
        <w:t xml:space="preserve"> que permitan encontrar la información de los cuestionarios de los ATR actuales. La información de los enlaces se deberá facilitar preferentemente en inglés, español o francés, a ser posible. Se </w:t>
      </w:r>
      <w:r w:rsidR="00371AD9">
        <w:rPr>
          <w:lang w:val="es-419"/>
        </w:rPr>
        <w:t>seguirán utilizando el espacio w</w:t>
      </w:r>
      <w:r w:rsidR="00BF0728" w:rsidRPr="00AB2AA1">
        <w:rPr>
          <w:lang w:val="es-419"/>
        </w:rPr>
        <w:t>iki y el formulario actual de los ATR para las compilaciones, pero con enlaces en lugar de texto. Si una Oficina desea que su información se aloje en el sitio web de la OMPI en vez de en el suyo propio, puede proporcionar el texto en inglés, español o francés en lugar de los enlaces.</w:t>
      </w:r>
    </w:p>
    <w:p w:rsidR="005D5096" w:rsidRPr="00AB2AA1" w:rsidRDefault="00D6236F" w:rsidP="005D5096">
      <w:pPr>
        <w:pStyle w:val="ONUMFS"/>
        <w:numPr>
          <w:ilvl w:val="0"/>
          <w:numId w:val="0"/>
        </w:numPr>
        <w:spacing w:after="120"/>
        <w:ind w:left="5530"/>
        <w:rPr>
          <w:i/>
          <w:lang w:val="es-419"/>
        </w:rPr>
      </w:pPr>
      <w:r w:rsidRPr="00AB2AA1">
        <w:rPr>
          <w:i/>
          <w:szCs w:val="22"/>
          <w:lang w:val="es-419"/>
        </w:rPr>
        <w:fldChar w:fldCharType="begin"/>
      </w:r>
      <w:r w:rsidRPr="00AB2AA1">
        <w:rPr>
          <w:i/>
          <w:szCs w:val="22"/>
          <w:lang w:val="es-419"/>
        </w:rPr>
        <w:instrText xml:space="preserve"> AUTONUM  </w:instrText>
      </w:r>
      <w:r w:rsidRPr="00AB2AA1">
        <w:rPr>
          <w:i/>
          <w:szCs w:val="22"/>
          <w:lang w:val="es-419"/>
        </w:rPr>
        <w:fldChar w:fldCharType="end"/>
      </w:r>
      <w:r w:rsidRPr="00AB2AA1">
        <w:rPr>
          <w:i/>
          <w:szCs w:val="22"/>
          <w:lang w:val="es-419"/>
        </w:rPr>
        <w:tab/>
      </w:r>
      <w:r w:rsidR="003F4D0C" w:rsidRPr="00AB2AA1">
        <w:rPr>
          <w:i/>
          <w:szCs w:val="22"/>
          <w:lang w:val="es-419"/>
        </w:rPr>
        <w:t>Se invita al CWS a:</w:t>
      </w:r>
    </w:p>
    <w:p w:rsidR="005D5096" w:rsidRPr="00AB2AA1" w:rsidRDefault="005D5096" w:rsidP="00773394">
      <w:pPr>
        <w:pStyle w:val="BodyText"/>
        <w:ind w:left="6237"/>
        <w:rPr>
          <w:i/>
          <w:lang w:val="es-419"/>
        </w:rPr>
      </w:pPr>
      <w:r w:rsidRPr="00AB2AA1">
        <w:rPr>
          <w:i/>
          <w:lang w:val="es-419"/>
        </w:rPr>
        <w:t>a)</w:t>
      </w:r>
      <w:r w:rsidRPr="00AB2AA1">
        <w:rPr>
          <w:i/>
          <w:lang w:val="es-419"/>
        </w:rPr>
        <w:tab/>
        <w:t>tomar nota del contenido del presente documento;</w:t>
      </w:r>
    </w:p>
    <w:p w:rsidR="005D5096" w:rsidRPr="00AB2AA1" w:rsidRDefault="005D5096" w:rsidP="00773394">
      <w:pPr>
        <w:pStyle w:val="BodyText"/>
        <w:ind w:left="6237"/>
        <w:rPr>
          <w:i/>
          <w:lang w:val="es-419"/>
        </w:rPr>
      </w:pPr>
      <w:r w:rsidRPr="00AB2AA1">
        <w:rPr>
          <w:i/>
          <w:lang w:val="es-419"/>
        </w:rPr>
        <w:t>b</w:t>
      </w:r>
      <w:r w:rsidR="005A7EC3">
        <w:rPr>
          <w:i/>
          <w:lang w:val="es-419"/>
        </w:rPr>
        <w:t>)</w:t>
      </w:r>
      <w:r w:rsidRPr="00AB2AA1">
        <w:rPr>
          <w:i/>
          <w:lang w:val="es-419"/>
        </w:rPr>
        <w:tab/>
        <w:t>examinar y decidir si aprueba la propuesta 1 o la propuesta 2 del párrafo 24; y</w:t>
      </w:r>
    </w:p>
    <w:p w:rsidR="005D5096" w:rsidRPr="00AB2AA1" w:rsidRDefault="00AB4901" w:rsidP="00773394">
      <w:pPr>
        <w:pStyle w:val="BodyText"/>
        <w:spacing w:after="600"/>
        <w:ind w:left="6237"/>
        <w:rPr>
          <w:i/>
          <w:lang w:val="es-419"/>
        </w:rPr>
      </w:pPr>
      <w:r w:rsidRPr="00AB2AA1">
        <w:rPr>
          <w:i/>
          <w:lang w:val="es-419"/>
        </w:rPr>
        <w:t>c)</w:t>
      </w:r>
      <w:r w:rsidRPr="00AB2AA1">
        <w:rPr>
          <w:i/>
          <w:lang w:val="es-419"/>
        </w:rPr>
        <w:tab/>
      </w:r>
      <w:r w:rsidR="004B1ED8">
        <w:rPr>
          <w:i/>
          <w:lang w:val="es-419"/>
        </w:rPr>
        <w:t xml:space="preserve">en caso de que se </w:t>
      </w:r>
      <w:r w:rsidR="00714487">
        <w:rPr>
          <w:i/>
          <w:lang w:val="es-419"/>
        </w:rPr>
        <w:t xml:space="preserve">opte por </w:t>
      </w:r>
      <w:r w:rsidRPr="00AB2AA1">
        <w:rPr>
          <w:i/>
          <w:lang w:val="es-419"/>
        </w:rPr>
        <w:t xml:space="preserve">dejar de elaborar los ATR, decidir si la Tarea N.º 24 se da por concluida y se suprime </w:t>
      </w:r>
      <w:r w:rsidR="003F4D0C" w:rsidRPr="00AB2AA1">
        <w:rPr>
          <w:i/>
          <w:lang w:val="es-419"/>
        </w:rPr>
        <w:t xml:space="preserve">del programa de trabajo </w:t>
      </w:r>
      <w:r w:rsidR="006176F4">
        <w:rPr>
          <w:i/>
          <w:lang w:val="es-419"/>
        </w:rPr>
        <w:t>d</w:t>
      </w:r>
      <w:r w:rsidR="003F4D0C" w:rsidRPr="00AB2AA1">
        <w:rPr>
          <w:i/>
          <w:lang w:val="es-419"/>
        </w:rPr>
        <w:t>el CWS.</w:t>
      </w:r>
    </w:p>
    <w:p w:rsidR="00152CEA" w:rsidRPr="00AB2AA1" w:rsidRDefault="00AB4901" w:rsidP="00AB4901">
      <w:pPr>
        <w:pStyle w:val="Endofdocument"/>
        <w:ind w:left="5530"/>
        <w:rPr>
          <w:szCs w:val="22"/>
          <w:lang w:val="es-419"/>
        </w:rPr>
      </w:pPr>
      <w:r w:rsidRPr="00AB2AA1">
        <w:rPr>
          <w:szCs w:val="22"/>
          <w:lang w:val="es-419"/>
        </w:rPr>
        <w:t>[Fin del documento]</w:t>
      </w:r>
    </w:p>
    <w:sectPr w:rsidR="00152CEA" w:rsidRPr="00AB2AA1" w:rsidSect="00D6236F">
      <w:headerReference w:type="defaul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3EC" w:rsidRDefault="00A213EC">
      <w:r>
        <w:separator/>
      </w:r>
    </w:p>
  </w:endnote>
  <w:endnote w:type="continuationSeparator" w:id="0">
    <w:p w:rsidR="00A213EC" w:rsidRPr="009D30E6" w:rsidRDefault="00A213EC" w:rsidP="007E663E">
      <w:pPr>
        <w:rPr>
          <w:sz w:val="17"/>
          <w:szCs w:val="17"/>
        </w:rPr>
      </w:pPr>
      <w:r w:rsidRPr="009D30E6">
        <w:rPr>
          <w:sz w:val="17"/>
          <w:szCs w:val="17"/>
        </w:rPr>
        <w:separator/>
      </w:r>
    </w:p>
    <w:p w:rsidR="00A213EC" w:rsidRPr="007E663E" w:rsidRDefault="00A213EC" w:rsidP="007E663E">
      <w:pPr>
        <w:spacing w:after="60"/>
        <w:rPr>
          <w:sz w:val="17"/>
          <w:szCs w:val="17"/>
        </w:rPr>
      </w:pPr>
      <w:r>
        <w:rPr>
          <w:sz w:val="17"/>
        </w:rPr>
        <w:t>[Continuación de la nota de la página anterior]</w:t>
      </w:r>
    </w:p>
  </w:endnote>
  <w:endnote w:type="continuationNotice" w:id="1">
    <w:p w:rsidR="00A213EC" w:rsidRPr="007E663E" w:rsidRDefault="00A213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3EC" w:rsidRDefault="00A213EC">
      <w:r>
        <w:separator/>
      </w:r>
    </w:p>
  </w:footnote>
  <w:footnote w:type="continuationSeparator" w:id="0">
    <w:p w:rsidR="00A213EC" w:rsidRPr="009D30E6" w:rsidRDefault="00A213EC" w:rsidP="007E663E">
      <w:pPr>
        <w:rPr>
          <w:sz w:val="17"/>
          <w:szCs w:val="17"/>
        </w:rPr>
      </w:pPr>
      <w:r w:rsidRPr="009D30E6">
        <w:rPr>
          <w:sz w:val="17"/>
          <w:szCs w:val="17"/>
        </w:rPr>
        <w:separator/>
      </w:r>
    </w:p>
    <w:p w:rsidR="00A213EC" w:rsidRPr="007E663E" w:rsidRDefault="00A213EC" w:rsidP="007E663E">
      <w:pPr>
        <w:spacing w:after="60"/>
        <w:rPr>
          <w:sz w:val="17"/>
          <w:szCs w:val="17"/>
        </w:rPr>
      </w:pPr>
      <w:r>
        <w:rPr>
          <w:sz w:val="17"/>
        </w:rPr>
        <w:t>[Continuación de la nota de la página anterior]</w:t>
      </w:r>
    </w:p>
  </w:footnote>
  <w:footnote w:type="continuationNotice" w:id="1">
    <w:p w:rsidR="00A213EC" w:rsidRPr="007E663E" w:rsidRDefault="00A213E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83DB9" w:rsidRDefault="00AB4901" w:rsidP="00AB4901">
    <w:pPr>
      <w:jc w:val="right"/>
      <w:rPr>
        <w:caps/>
        <w:lang w:val="es-419"/>
      </w:rPr>
    </w:pPr>
    <w:r w:rsidRPr="00583DB9">
      <w:rPr>
        <w:caps/>
        <w:lang w:val="es-419"/>
      </w:rPr>
      <w:t>CWS/9/18</w:t>
    </w:r>
  </w:p>
  <w:p w:rsidR="00AE7F20" w:rsidRPr="00583DB9" w:rsidRDefault="00583DB9" w:rsidP="00773394">
    <w:pPr>
      <w:spacing w:after="480"/>
      <w:jc w:val="right"/>
      <w:rPr>
        <w:lang w:val="es-419"/>
      </w:rPr>
    </w:pPr>
    <w:r>
      <w:rPr>
        <w:lang w:val="es-419"/>
      </w:rPr>
      <w:t>página</w:t>
    </w:r>
    <w:r w:rsidR="00AE7F20" w:rsidRPr="00583DB9">
      <w:rPr>
        <w:lang w:val="es-419"/>
      </w:rPr>
      <w:t xml:space="preserve"> </w:t>
    </w:r>
    <w:r w:rsidR="00AE7F20" w:rsidRPr="00583DB9">
      <w:rPr>
        <w:lang w:val="es-419"/>
      </w:rPr>
      <w:fldChar w:fldCharType="begin"/>
    </w:r>
    <w:r w:rsidR="00AE7F20" w:rsidRPr="00583DB9">
      <w:rPr>
        <w:lang w:val="es-419"/>
      </w:rPr>
      <w:instrText xml:space="preserve"> PAGE  \* MERGEFORMAT </w:instrText>
    </w:r>
    <w:r w:rsidR="00AE7F20" w:rsidRPr="00583DB9">
      <w:rPr>
        <w:lang w:val="es-419"/>
      </w:rPr>
      <w:fldChar w:fldCharType="separate"/>
    </w:r>
    <w:r w:rsidR="002475C5">
      <w:rPr>
        <w:noProof/>
        <w:lang w:val="es-419"/>
      </w:rPr>
      <w:t>7</w:t>
    </w:r>
    <w:r w:rsidR="00AE7F20" w:rsidRPr="00583DB9">
      <w:rPr>
        <w:lang w:val="es-41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D868A7"/>
    <w:multiLevelType w:val="hybridMultilevel"/>
    <w:tmpl w:val="D0C6D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Development\Dev_Agenda|TextBase TMs\WorkspaceSTS\Outreach\IP Advantage|TextBase TMs\WorkspaceSTS\Outreach\Economist|Team Server TMs\Spanish"/>
    <w:docVar w:name="TextBaseURL" w:val="empty"/>
    <w:docVar w:name="UILng" w:val="en"/>
  </w:docVars>
  <w:rsids>
    <w:rsidRoot w:val="00D6236F"/>
    <w:rsid w:val="00006A08"/>
    <w:rsid w:val="000102CD"/>
    <w:rsid w:val="00010686"/>
    <w:rsid w:val="00021C35"/>
    <w:rsid w:val="000250E7"/>
    <w:rsid w:val="0003625F"/>
    <w:rsid w:val="00052915"/>
    <w:rsid w:val="00057472"/>
    <w:rsid w:val="000602AC"/>
    <w:rsid w:val="000622FB"/>
    <w:rsid w:val="00063D21"/>
    <w:rsid w:val="00076EF5"/>
    <w:rsid w:val="00093637"/>
    <w:rsid w:val="00093837"/>
    <w:rsid w:val="00095247"/>
    <w:rsid w:val="000A100F"/>
    <w:rsid w:val="000B5CBA"/>
    <w:rsid w:val="000C0769"/>
    <w:rsid w:val="000C4EE4"/>
    <w:rsid w:val="000C7D3D"/>
    <w:rsid w:val="000D1D63"/>
    <w:rsid w:val="000D2BA1"/>
    <w:rsid w:val="000D5747"/>
    <w:rsid w:val="000E3BB3"/>
    <w:rsid w:val="000F0B78"/>
    <w:rsid w:val="000F102E"/>
    <w:rsid w:val="000F4EB5"/>
    <w:rsid w:val="000F5E56"/>
    <w:rsid w:val="001362EE"/>
    <w:rsid w:val="00146B1F"/>
    <w:rsid w:val="00152CEA"/>
    <w:rsid w:val="00152FB2"/>
    <w:rsid w:val="00156B7B"/>
    <w:rsid w:val="00163B3F"/>
    <w:rsid w:val="00167338"/>
    <w:rsid w:val="001832A6"/>
    <w:rsid w:val="00193C76"/>
    <w:rsid w:val="001A212E"/>
    <w:rsid w:val="001A250D"/>
    <w:rsid w:val="001A52F3"/>
    <w:rsid w:val="001A7637"/>
    <w:rsid w:val="001C4932"/>
    <w:rsid w:val="001C4B5D"/>
    <w:rsid w:val="001C6CAF"/>
    <w:rsid w:val="001E7518"/>
    <w:rsid w:val="001E7C64"/>
    <w:rsid w:val="002031E1"/>
    <w:rsid w:val="00206E71"/>
    <w:rsid w:val="00221229"/>
    <w:rsid w:val="0022137F"/>
    <w:rsid w:val="00234591"/>
    <w:rsid w:val="002366A2"/>
    <w:rsid w:val="002475C5"/>
    <w:rsid w:val="002634C4"/>
    <w:rsid w:val="0028120A"/>
    <w:rsid w:val="0029446E"/>
    <w:rsid w:val="002A4783"/>
    <w:rsid w:val="002C2E2F"/>
    <w:rsid w:val="002D23B5"/>
    <w:rsid w:val="002E0F47"/>
    <w:rsid w:val="002E7660"/>
    <w:rsid w:val="002F17C1"/>
    <w:rsid w:val="002F4E68"/>
    <w:rsid w:val="0030268E"/>
    <w:rsid w:val="0030434D"/>
    <w:rsid w:val="00310826"/>
    <w:rsid w:val="00322C76"/>
    <w:rsid w:val="003312C0"/>
    <w:rsid w:val="00343452"/>
    <w:rsid w:val="00354647"/>
    <w:rsid w:val="00361BC3"/>
    <w:rsid w:val="00371AD9"/>
    <w:rsid w:val="00377273"/>
    <w:rsid w:val="003845C1"/>
    <w:rsid w:val="00387287"/>
    <w:rsid w:val="00394EF4"/>
    <w:rsid w:val="003A3F7C"/>
    <w:rsid w:val="003A468F"/>
    <w:rsid w:val="003B1DAA"/>
    <w:rsid w:val="003B6D72"/>
    <w:rsid w:val="003D7684"/>
    <w:rsid w:val="003E34A6"/>
    <w:rsid w:val="003E48F1"/>
    <w:rsid w:val="003E5DF9"/>
    <w:rsid w:val="003F347A"/>
    <w:rsid w:val="003F4D0C"/>
    <w:rsid w:val="00407FA2"/>
    <w:rsid w:val="0042262A"/>
    <w:rsid w:val="00423E3E"/>
    <w:rsid w:val="00427AF4"/>
    <w:rsid w:val="00434CA3"/>
    <w:rsid w:val="00435B70"/>
    <w:rsid w:val="00447335"/>
    <w:rsid w:val="0045231F"/>
    <w:rsid w:val="004629C8"/>
    <w:rsid w:val="004647DA"/>
    <w:rsid w:val="0046793F"/>
    <w:rsid w:val="00472A6E"/>
    <w:rsid w:val="00477808"/>
    <w:rsid w:val="00477D6B"/>
    <w:rsid w:val="00483E80"/>
    <w:rsid w:val="004863BD"/>
    <w:rsid w:val="004A6C37"/>
    <w:rsid w:val="004B1ED8"/>
    <w:rsid w:val="004B4541"/>
    <w:rsid w:val="004C4924"/>
    <w:rsid w:val="004D6E51"/>
    <w:rsid w:val="004E297D"/>
    <w:rsid w:val="004F2EBE"/>
    <w:rsid w:val="00511DED"/>
    <w:rsid w:val="005154DC"/>
    <w:rsid w:val="00521B0C"/>
    <w:rsid w:val="00531B02"/>
    <w:rsid w:val="00532C45"/>
    <w:rsid w:val="005332F0"/>
    <w:rsid w:val="0055013B"/>
    <w:rsid w:val="00571B99"/>
    <w:rsid w:val="00575ADA"/>
    <w:rsid w:val="00583DB9"/>
    <w:rsid w:val="00592A47"/>
    <w:rsid w:val="00596967"/>
    <w:rsid w:val="005A7EC3"/>
    <w:rsid w:val="005B2EAE"/>
    <w:rsid w:val="005C2C3D"/>
    <w:rsid w:val="005D5096"/>
    <w:rsid w:val="005E5071"/>
    <w:rsid w:val="00602D4F"/>
    <w:rsid w:val="00605827"/>
    <w:rsid w:val="00605D93"/>
    <w:rsid w:val="00605FE5"/>
    <w:rsid w:val="006173A5"/>
    <w:rsid w:val="006176F4"/>
    <w:rsid w:val="00630846"/>
    <w:rsid w:val="00633304"/>
    <w:rsid w:val="00633B71"/>
    <w:rsid w:val="00666B26"/>
    <w:rsid w:val="006730CE"/>
    <w:rsid w:val="00675021"/>
    <w:rsid w:val="00690706"/>
    <w:rsid w:val="006A06C6"/>
    <w:rsid w:val="006B0BCB"/>
    <w:rsid w:val="006B5193"/>
    <w:rsid w:val="006D38C3"/>
    <w:rsid w:val="00707DAD"/>
    <w:rsid w:val="00714487"/>
    <w:rsid w:val="0071459A"/>
    <w:rsid w:val="007148B6"/>
    <w:rsid w:val="007175C9"/>
    <w:rsid w:val="007224C8"/>
    <w:rsid w:val="00762EFC"/>
    <w:rsid w:val="0076516C"/>
    <w:rsid w:val="00773394"/>
    <w:rsid w:val="00774DFB"/>
    <w:rsid w:val="00775BF6"/>
    <w:rsid w:val="00794BE2"/>
    <w:rsid w:val="007A5581"/>
    <w:rsid w:val="007B4D4A"/>
    <w:rsid w:val="007B71FE"/>
    <w:rsid w:val="007D781E"/>
    <w:rsid w:val="007E663E"/>
    <w:rsid w:val="008058D4"/>
    <w:rsid w:val="00815082"/>
    <w:rsid w:val="00817BF1"/>
    <w:rsid w:val="00823673"/>
    <w:rsid w:val="00824FEE"/>
    <w:rsid w:val="00827010"/>
    <w:rsid w:val="008402D1"/>
    <w:rsid w:val="00864B1C"/>
    <w:rsid w:val="00882B1C"/>
    <w:rsid w:val="0088395E"/>
    <w:rsid w:val="008972B3"/>
    <w:rsid w:val="008B2CC1"/>
    <w:rsid w:val="008C0E36"/>
    <w:rsid w:val="008C7B52"/>
    <w:rsid w:val="008D386B"/>
    <w:rsid w:val="008E2FDF"/>
    <w:rsid w:val="008E6BD6"/>
    <w:rsid w:val="008E736E"/>
    <w:rsid w:val="00900D7B"/>
    <w:rsid w:val="009024FF"/>
    <w:rsid w:val="00905A91"/>
    <w:rsid w:val="0090731E"/>
    <w:rsid w:val="0093206E"/>
    <w:rsid w:val="00934AFE"/>
    <w:rsid w:val="0094657C"/>
    <w:rsid w:val="009510F1"/>
    <w:rsid w:val="00954F6A"/>
    <w:rsid w:val="00961B09"/>
    <w:rsid w:val="00966A22"/>
    <w:rsid w:val="00972F03"/>
    <w:rsid w:val="0098367F"/>
    <w:rsid w:val="009A0C8B"/>
    <w:rsid w:val="009A20CD"/>
    <w:rsid w:val="009B5460"/>
    <w:rsid w:val="009B58E3"/>
    <w:rsid w:val="009B6241"/>
    <w:rsid w:val="009D2A09"/>
    <w:rsid w:val="009D5312"/>
    <w:rsid w:val="009E61CC"/>
    <w:rsid w:val="009F73E6"/>
    <w:rsid w:val="00A04541"/>
    <w:rsid w:val="00A16221"/>
    <w:rsid w:val="00A16FC0"/>
    <w:rsid w:val="00A213EC"/>
    <w:rsid w:val="00A32C9E"/>
    <w:rsid w:val="00A43BBA"/>
    <w:rsid w:val="00A5332C"/>
    <w:rsid w:val="00A70081"/>
    <w:rsid w:val="00AA2461"/>
    <w:rsid w:val="00AA304E"/>
    <w:rsid w:val="00AA39B7"/>
    <w:rsid w:val="00AB2AA1"/>
    <w:rsid w:val="00AB4901"/>
    <w:rsid w:val="00AB5E54"/>
    <w:rsid w:val="00AB613D"/>
    <w:rsid w:val="00AC69EB"/>
    <w:rsid w:val="00AC6AD4"/>
    <w:rsid w:val="00AD4448"/>
    <w:rsid w:val="00AE6C52"/>
    <w:rsid w:val="00AE7F20"/>
    <w:rsid w:val="00B21BDE"/>
    <w:rsid w:val="00B407BE"/>
    <w:rsid w:val="00B4422B"/>
    <w:rsid w:val="00B534D5"/>
    <w:rsid w:val="00B65A0A"/>
    <w:rsid w:val="00B67CDC"/>
    <w:rsid w:val="00B703DD"/>
    <w:rsid w:val="00B72D36"/>
    <w:rsid w:val="00B86E7C"/>
    <w:rsid w:val="00B94FC8"/>
    <w:rsid w:val="00B976C0"/>
    <w:rsid w:val="00BB6A94"/>
    <w:rsid w:val="00BC33E8"/>
    <w:rsid w:val="00BC4164"/>
    <w:rsid w:val="00BD20A5"/>
    <w:rsid w:val="00BD2DCC"/>
    <w:rsid w:val="00BE3D2D"/>
    <w:rsid w:val="00BF0728"/>
    <w:rsid w:val="00BF4096"/>
    <w:rsid w:val="00BF5A8E"/>
    <w:rsid w:val="00C11152"/>
    <w:rsid w:val="00C2371C"/>
    <w:rsid w:val="00C2764F"/>
    <w:rsid w:val="00C53E40"/>
    <w:rsid w:val="00C63C5B"/>
    <w:rsid w:val="00C84590"/>
    <w:rsid w:val="00C84E26"/>
    <w:rsid w:val="00C90559"/>
    <w:rsid w:val="00CA0500"/>
    <w:rsid w:val="00CA2251"/>
    <w:rsid w:val="00CB3DB0"/>
    <w:rsid w:val="00CC3F61"/>
    <w:rsid w:val="00CD11FB"/>
    <w:rsid w:val="00CE4E3B"/>
    <w:rsid w:val="00CF6C23"/>
    <w:rsid w:val="00D1457F"/>
    <w:rsid w:val="00D3013D"/>
    <w:rsid w:val="00D306D9"/>
    <w:rsid w:val="00D3549D"/>
    <w:rsid w:val="00D56C7C"/>
    <w:rsid w:val="00D6236F"/>
    <w:rsid w:val="00D7069E"/>
    <w:rsid w:val="00D71B4D"/>
    <w:rsid w:val="00D75F95"/>
    <w:rsid w:val="00D812B4"/>
    <w:rsid w:val="00D90289"/>
    <w:rsid w:val="00D93D55"/>
    <w:rsid w:val="00DA11E6"/>
    <w:rsid w:val="00DC4C60"/>
    <w:rsid w:val="00DD6CF4"/>
    <w:rsid w:val="00E0079A"/>
    <w:rsid w:val="00E21970"/>
    <w:rsid w:val="00E3065B"/>
    <w:rsid w:val="00E444DA"/>
    <w:rsid w:val="00E45C84"/>
    <w:rsid w:val="00E504E5"/>
    <w:rsid w:val="00E57984"/>
    <w:rsid w:val="00E755CE"/>
    <w:rsid w:val="00E84A7A"/>
    <w:rsid w:val="00E85106"/>
    <w:rsid w:val="00E92230"/>
    <w:rsid w:val="00E959F4"/>
    <w:rsid w:val="00EA2AF3"/>
    <w:rsid w:val="00EB0D93"/>
    <w:rsid w:val="00EB14E7"/>
    <w:rsid w:val="00EB4463"/>
    <w:rsid w:val="00EB7A3E"/>
    <w:rsid w:val="00EC1AA7"/>
    <w:rsid w:val="00EC401A"/>
    <w:rsid w:val="00EE1ED2"/>
    <w:rsid w:val="00EE2798"/>
    <w:rsid w:val="00EF0725"/>
    <w:rsid w:val="00EF09E4"/>
    <w:rsid w:val="00EF298E"/>
    <w:rsid w:val="00EF530A"/>
    <w:rsid w:val="00EF6622"/>
    <w:rsid w:val="00EF78A9"/>
    <w:rsid w:val="00F2069C"/>
    <w:rsid w:val="00F2328C"/>
    <w:rsid w:val="00F36389"/>
    <w:rsid w:val="00F55408"/>
    <w:rsid w:val="00F602FC"/>
    <w:rsid w:val="00F660A1"/>
    <w:rsid w:val="00F66152"/>
    <w:rsid w:val="00F712D6"/>
    <w:rsid w:val="00F80845"/>
    <w:rsid w:val="00F84474"/>
    <w:rsid w:val="00F85A62"/>
    <w:rsid w:val="00FA0F0D"/>
    <w:rsid w:val="00FB2CE2"/>
    <w:rsid w:val="00FD1214"/>
    <w:rsid w:val="00FD59D1"/>
    <w:rsid w:val="00FD7B1F"/>
    <w:rsid w:val="00FE7116"/>
    <w:rsid w:val="00FF61E7"/>
    <w:rsid w:val="00FF70FB"/>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D961F7-6629-4395-943C-B928066C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6236F"/>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D6236F"/>
    <w:rPr>
      <w:rFonts w:ascii="Arial" w:eastAsia="SimSun" w:hAnsi="Arial" w:cs="Arial"/>
      <w:sz w:val="22"/>
      <w:lang w:val="es-ES" w:eastAsia="zh-CN"/>
    </w:rPr>
  </w:style>
  <w:style w:type="character" w:styleId="Hyperlink">
    <w:name w:val="Hyperlink"/>
    <w:basedOn w:val="DefaultParagraphFont"/>
    <w:unhideWhenUsed/>
    <w:rsid w:val="00D6236F"/>
    <w:rPr>
      <w:color w:val="0000FF" w:themeColor="hyperlink"/>
      <w:u w:val="single"/>
    </w:rPr>
  </w:style>
  <w:style w:type="paragraph" w:customStyle="1" w:styleId="Endofdocument">
    <w:name w:val="End of document"/>
    <w:basedOn w:val="Normal"/>
    <w:rsid w:val="00D6236F"/>
    <w:pPr>
      <w:spacing w:line="260" w:lineRule="atLeast"/>
      <w:ind w:left="5534"/>
    </w:pPr>
    <w:rPr>
      <w:rFonts w:eastAsia="Times New Roman" w:cs="Times New Roman"/>
      <w:sz w:val="20"/>
      <w:lang w:val="en-US" w:eastAsia="en-US"/>
    </w:rPr>
  </w:style>
  <w:style w:type="character" w:styleId="FollowedHyperlink">
    <w:name w:val="FollowedHyperlink"/>
    <w:basedOn w:val="DefaultParagraphFont"/>
    <w:semiHidden/>
    <w:unhideWhenUsed/>
    <w:rsid w:val="00146B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standards/es/pdf/archives/03-09-02arc200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wipo.int/export/sites/www/cws/es/background/circulars/circular/25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usr2\Home\Elliott\Web%20stats\STS%20web%20stats%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baseline="0"/>
              <a:t>ATR por año</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'ATR counts'!$B$3</c:f>
              <c:strCache>
                <c:ptCount val="1"/>
                <c:pt idx="0">
                  <c:v>IPOs Responding</c:v>
                </c:pt>
              </c:strCache>
            </c:strRef>
          </c:tx>
          <c:spPr>
            <a:ln w="25400" cap="rnd">
              <a:solidFill>
                <a:schemeClr val="accent1"/>
              </a:solidFill>
              <a:prstDash val="sysDot"/>
              <a:round/>
            </a:ln>
            <a:effectLst/>
          </c:spPr>
          <c:marker>
            <c:symbol val="diamond"/>
            <c:size val="5"/>
            <c:spPr>
              <a:solidFill>
                <a:schemeClr val="accent1"/>
              </a:solidFill>
              <a:ln w="9525">
                <a:solidFill>
                  <a:schemeClr val="accent1"/>
                </a:solidFill>
              </a:ln>
              <a:effectLst/>
            </c:spPr>
          </c:marker>
          <c:xVal>
            <c:numRef>
              <c:f>'ATR counts'!$A$4:$A$26</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xVal>
          <c:yVal>
            <c:numRef>
              <c:f>'ATR counts'!$B$4:$B$26</c:f>
              <c:numCache>
                <c:formatCode>General</c:formatCode>
                <c:ptCount val="23"/>
                <c:pt idx="0">
                  <c:v>56</c:v>
                </c:pt>
                <c:pt idx="1">
                  <c:v>53</c:v>
                </c:pt>
                <c:pt idx="2">
                  <c:v>53</c:v>
                </c:pt>
                <c:pt idx="3">
                  <c:v>51</c:v>
                </c:pt>
                <c:pt idx="4">
                  <c:v>41</c:v>
                </c:pt>
                <c:pt idx="5">
                  <c:v>44</c:v>
                </c:pt>
                <c:pt idx="6">
                  <c:v>46</c:v>
                </c:pt>
                <c:pt idx="7">
                  <c:v>40</c:v>
                </c:pt>
                <c:pt idx="8">
                  <c:v>38</c:v>
                </c:pt>
                <c:pt idx="9">
                  <c:v>40</c:v>
                </c:pt>
                <c:pt idx="10">
                  <c:v>31</c:v>
                </c:pt>
                <c:pt idx="11">
                  <c:v>36</c:v>
                </c:pt>
                <c:pt idx="12">
                  <c:v>28</c:v>
                </c:pt>
                <c:pt idx="13">
                  <c:v>31</c:v>
                </c:pt>
                <c:pt idx="14">
                  <c:v>30</c:v>
                </c:pt>
                <c:pt idx="15">
                  <c:v>28</c:v>
                </c:pt>
                <c:pt idx="16">
                  <c:v>23</c:v>
                </c:pt>
                <c:pt idx="17">
                  <c:v>23</c:v>
                </c:pt>
                <c:pt idx="18">
                  <c:v>20</c:v>
                </c:pt>
                <c:pt idx="19">
                  <c:v>12</c:v>
                </c:pt>
                <c:pt idx="20">
                  <c:v>11</c:v>
                </c:pt>
                <c:pt idx="21">
                  <c:v>18</c:v>
                </c:pt>
                <c:pt idx="22">
                  <c:v>15</c:v>
                </c:pt>
              </c:numCache>
            </c:numRef>
          </c:yVal>
          <c:smooth val="0"/>
          <c:extLst>
            <c:ext xmlns:c16="http://schemas.microsoft.com/office/drawing/2014/chart" uri="{C3380CC4-5D6E-409C-BE32-E72D297353CC}">
              <c16:uniqueId val="{00000000-5671-4749-9793-C448F3FF213E}"/>
            </c:ext>
          </c:extLst>
        </c:ser>
        <c:dLbls>
          <c:showLegendKey val="0"/>
          <c:showVal val="0"/>
          <c:showCatName val="0"/>
          <c:showSerName val="0"/>
          <c:showPercent val="0"/>
          <c:showBubbleSize val="0"/>
        </c:dLbls>
        <c:axId val="1202122767"/>
        <c:axId val="1202116943"/>
      </c:scatterChart>
      <c:valAx>
        <c:axId val="120212276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Año de los ATR</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02116943"/>
        <c:crosses val="autoZero"/>
        <c:crossBetween val="midCat"/>
      </c:valAx>
      <c:valAx>
        <c:axId val="1202116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Número de OPI que respondieron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02122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dash"/>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Estadísticas web en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'2019'!$I$1:$M$1</c:f>
              <c:numCache>
                <c:formatCode>General</c:formatCode>
                <c:ptCount val="5"/>
                <c:pt idx="0">
                  <c:v>2018</c:v>
                </c:pt>
                <c:pt idx="1">
                  <c:v>2017</c:v>
                </c:pt>
                <c:pt idx="2">
                  <c:v>2016</c:v>
                </c:pt>
                <c:pt idx="3">
                  <c:v>2015</c:v>
                </c:pt>
                <c:pt idx="4">
                  <c:v>2014</c:v>
                </c:pt>
              </c:numCache>
            </c:numRef>
          </c:cat>
          <c:val>
            <c:numRef>
              <c:f>'2019'!$I$2:$M$2</c:f>
              <c:numCache>
                <c:formatCode>General</c:formatCode>
                <c:ptCount val="5"/>
                <c:pt idx="0">
                  <c:v>105</c:v>
                </c:pt>
                <c:pt idx="1">
                  <c:v>176</c:v>
                </c:pt>
                <c:pt idx="2">
                  <c:v>48</c:v>
                </c:pt>
                <c:pt idx="3">
                  <c:v>25</c:v>
                </c:pt>
                <c:pt idx="4">
                  <c:v>9</c:v>
                </c:pt>
              </c:numCache>
            </c:numRef>
          </c:val>
          <c:extLst>
            <c:ext xmlns:c16="http://schemas.microsoft.com/office/drawing/2014/chart" uri="{C3380CC4-5D6E-409C-BE32-E72D297353CC}">
              <c16:uniqueId val="{00000000-6B56-47BB-B536-4C80ACB4B9C5}"/>
            </c:ext>
          </c:extLst>
        </c:ser>
        <c:dLbls>
          <c:showLegendKey val="0"/>
          <c:showVal val="0"/>
          <c:showCatName val="0"/>
          <c:showSerName val="0"/>
          <c:showPercent val="0"/>
          <c:showBubbleSize val="0"/>
        </c:dLbls>
        <c:gapWidth val="219"/>
        <c:overlap val="-27"/>
        <c:axId val="1220441056"/>
        <c:axId val="1220445632"/>
      </c:barChart>
      <c:catAx>
        <c:axId val="122044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Año de los ATR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220445632"/>
        <c:crosses val="autoZero"/>
        <c:auto val="1"/>
        <c:lblAlgn val="ctr"/>
        <c:lblOffset val="100"/>
        <c:noMultiLvlLbl val="0"/>
      </c:catAx>
      <c:valAx>
        <c:axId val="12204456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Visitas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22044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Visitas</a:t>
            </a:r>
            <a:r>
              <a:rPr lang="en-US" baseline="0"/>
              <a:t> a las páginas en los dos primeros años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'Top line'!$L$3</c:f>
              <c:strCache>
                <c:ptCount val="1"/>
                <c:pt idx="0">
                  <c:v>first year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'Top line'!$N$2:$P$2</c:f>
              <c:strCache>
                <c:ptCount val="3"/>
                <c:pt idx="0">
                  <c:v>2018 ATRs</c:v>
                </c:pt>
                <c:pt idx="1">
                  <c:v>2017 ATRs</c:v>
                </c:pt>
                <c:pt idx="2">
                  <c:v>2016 ATRs</c:v>
                </c:pt>
              </c:strCache>
            </c:strRef>
          </c:cat>
          <c:val>
            <c:numRef>
              <c:f>'Top line'!$N$3:$P$3</c:f>
              <c:numCache>
                <c:formatCode>General</c:formatCode>
                <c:ptCount val="3"/>
                <c:pt idx="0">
                  <c:v>105</c:v>
                </c:pt>
                <c:pt idx="1">
                  <c:v>185</c:v>
                </c:pt>
                <c:pt idx="2">
                  <c:v>249</c:v>
                </c:pt>
              </c:numCache>
            </c:numRef>
          </c:val>
          <c:extLst>
            <c:ext xmlns:c16="http://schemas.microsoft.com/office/drawing/2014/chart" uri="{C3380CC4-5D6E-409C-BE32-E72D297353CC}">
              <c16:uniqueId val="{00000000-1CEE-4B97-95D9-7AC0346579E8}"/>
            </c:ext>
          </c:extLst>
        </c:ser>
        <c:ser>
          <c:idx val="1"/>
          <c:order val="1"/>
          <c:tx>
            <c:strRef>
              <c:f>'Top line'!$L$4</c:f>
              <c:strCache>
                <c:ptCount val="1"/>
                <c:pt idx="0">
                  <c:v>second year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'Top line'!$N$2:$P$2</c:f>
              <c:strCache>
                <c:ptCount val="3"/>
                <c:pt idx="0">
                  <c:v>2018 ATRs</c:v>
                </c:pt>
                <c:pt idx="1">
                  <c:v>2017 ATRs</c:v>
                </c:pt>
                <c:pt idx="2">
                  <c:v>2016 ATRs</c:v>
                </c:pt>
              </c:strCache>
            </c:strRef>
          </c:cat>
          <c:val>
            <c:numRef>
              <c:f>'Top line'!$N$4:$P$4</c:f>
              <c:numCache>
                <c:formatCode>General</c:formatCode>
                <c:ptCount val="3"/>
                <c:pt idx="0">
                  <c:v>265</c:v>
                </c:pt>
                <c:pt idx="1">
                  <c:v>176</c:v>
                </c:pt>
                <c:pt idx="2">
                  <c:v>195</c:v>
                </c:pt>
              </c:numCache>
            </c:numRef>
          </c:val>
          <c:extLst>
            <c:ext xmlns:c16="http://schemas.microsoft.com/office/drawing/2014/chart" uri="{C3380CC4-5D6E-409C-BE32-E72D297353CC}">
              <c16:uniqueId val="{00000001-1CEE-4B97-95D9-7AC0346579E8}"/>
            </c:ext>
          </c:extLst>
        </c:ser>
        <c:dLbls>
          <c:showLegendKey val="0"/>
          <c:showVal val="0"/>
          <c:showCatName val="0"/>
          <c:showSerName val="0"/>
          <c:showPercent val="0"/>
          <c:showBubbleSize val="0"/>
        </c:dLbls>
        <c:gapWidth val="219"/>
        <c:overlap val="-27"/>
        <c:axId val="1839688975"/>
        <c:axId val="1839690223"/>
      </c:barChart>
      <c:catAx>
        <c:axId val="183968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39690223"/>
        <c:crosses val="autoZero"/>
        <c:auto val="1"/>
        <c:lblAlgn val="ctr"/>
        <c:lblOffset val="100"/>
        <c:noMultiLvlLbl val="0"/>
      </c:catAx>
      <c:valAx>
        <c:axId val="1839690223"/>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39688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de visitas a páginas en 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'Top line'!$G$3:$G$9</c:f>
              <c:strCache>
                <c:ptCount val="7"/>
                <c:pt idx="0">
                  <c:v>ST 3</c:v>
                </c:pt>
                <c:pt idx="1">
                  <c:v>Standards landing page</c:v>
                </c:pt>
                <c:pt idx="2">
                  <c:v>ST 96</c:v>
                </c:pt>
                <c:pt idx="3">
                  <c:v>ST 26</c:v>
                </c:pt>
                <c:pt idx="4">
                  <c:v>FR ST 9 app 3 archived 2008</c:v>
                </c:pt>
                <c:pt idx="5">
                  <c:v>ES circular 2001</c:v>
                </c:pt>
                <c:pt idx="6">
                  <c:v>All Yearly ATRs</c:v>
                </c:pt>
              </c:strCache>
            </c:strRef>
          </c:cat>
          <c:val>
            <c:numRef>
              <c:f>'Top line'!$I$3:$I$9</c:f>
              <c:numCache>
                <c:formatCode>#,##0</c:formatCode>
                <c:ptCount val="7"/>
                <c:pt idx="0">
                  <c:v>30899</c:v>
                </c:pt>
                <c:pt idx="1">
                  <c:v>10425</c:v>
                </c:pt>
                <c:pt idx="2">
                  <c:v>10806</c:v>
                </c:pt>
                <c:pt idx="3">
                  <c:v>5860</c:v>
                </c:pt>
                <c:pt idx="4">
                  <c:v>707</c:v>
                </c:pt>
                <c:pt idx="5" formatCode="General">
                  <c:v>837</c:v>
                </c:pt>
                <c:pt idx="6">
                  <c:v>180</c:v>
                </c:pt>
              </c:numCache>
            </c:numRef>
          </c:val>
          <c:extLst>
            <c:ext xmlns:c16="http://schemas.microsoft.com/office/drawing/2014/chart" uri="{C3380CC4-5D6E-409C-BE32-E72D297353CC}">
              <c16:uniqueId val="{00000000-C7DA-4948-8399-7CA570449BBE}"/>
            </c:ext>
          </c:extLst>
        </c:ser>
        <c:dLbls>
          <c:showLegendKey val="0"/>
          <c:showVal val="0"/>
          <c:showCatName val="0"/>
          <c:showSerName val="0"/>
          <c:showPercent val="0"/>
          <c:showBubbleSize val="0"/>
        </c:dLbls>
        <c:gapWidth val="219"/>
        <c:overlap val="-27"/>
        <c:axId val="215570192"/>
        <c:axId val="215564784"/>
      </c:barChart>
      <c:catAx>
        <c:axId val="21557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564784"/>
        <c:crosses val="autoZero"/>
        <c:auto val="1"/>
        <c:lblAlgn val="ctr"/>
        <c:lblOffset val="100"/>
        <c:noMultiLvlLbl val="0"/>
      </c:catAx>
      <c:valAx>
        <c:axId val="215564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57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2000"/>
              <a:t>Visitas a las distintas páginas</a:t>
            </a:r>
            <a:r>
              <a:rPr lang="en-US" sz="2000" baseline="0"/>
              <a:t> de los</a:t>
            </a:r>
            <a:r>
              <a:rPr lang="en-US" sz="2000"/>
              <a:t> ATR en 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'2020'!$V$1</c:f>
              <c:strCache>
                <c:ptCount val="1"/>
                <c:pt idx="0">
                  <c:v>Unique</c:v>
                </c:pt>
              </c:strCache>
            </c:strRef>
          </c:tx>
          <c:spPr>
            <a:solidFill>
              <a:schemeClr val="accent1"/>
            </a:solidFill>
            <a:ln>
              <a:noFill/>
            </a:ln>
            <a:effectLst/>
          </c:spPr>
          <c:invertIfNegative val="0"/>
          <c:cat>
            <c:strRef>
              <c:f>'2020'!$U$2:$U$159</c:f>
              <c:strCache>
                <c:ptCount val="158"/>
                <c:pt idx="0">
                  <c:v>PI 2018 JP</c:v>
                </c:pt>
                <c:pt idx="1">
                  <c:v>PI 2016 ES</c:v>
                </c:pt>
                <c:pt idx="2">
                  <c:v>ID 2015 MX</c:v>
                </c:pt>
                <c:pt idx="3">
                  <c:v>TM 2016 ES</c:v>
                </c:pt>
                <c:pt idx="4">
                  <c:v>TM 2018 UA</c:v>
                </c:pt>
                <c:pt idx="5">
                  <c:v>PI 2018 RU</c:v>
                </c:pt>
                <c:pt idx="6">
                  <c:v>ID 2016 ES</c:v>
                </c:pt>
                <c:pt idx="7">
                  <c:v>PI 2018 GB</c:v>
                </c:pt>
                <c:pt idx="8">
                  <c:v>TM 2018 EC</c:v>
                </c:pt>
                <c:pt idx="9">
                  <c:v>PI 2019 EA</c:v>
                </c:pt>
                <c:pt idx="10">
                  <c:v>PI 2018 CZ</c:v>
                </c:pt>
                <c:pt idx="11">
                  <c:v>PI 2018 EC</c:v>
                </c:pt>
                <c:pt idx="12">
                  <c:v>PI 2015 MX</c:v>
                </c:pt>
                <c:pt idx="13">
                  <c:v>ID 2018 EC</c:v>
                </c:pt>
                <c:pt idx="14">
                  <c:v>ID 2015 MD</c:v>
                </c:pt>
                <c:pt idx="15">
                  <c:v>TM 2018 PL</c:v>
                </c:pt>
                <c:pt idx="16">
                  <c:v>TM 2016 BR</c:v>
                </c:pt>
                <c:pt idx="17">
                  <c:v>PI 2016 BR</c:v>
                </c:pt>
                <c:pt idx="18">
                  <c:v>ID 2018 GB</c:v>
                </c:pt>
                <c:pt idx="19">
                  <c:v>PI 2016 GB</c:v>
                </c:pt>
                <c:pt idx="20">
                  <c:v>TM 2018 RS</c:v>
                </c:pt>
                <c:pt idx="21">
                  <c:v>PI 2018 UA</c:v>
                </c:pt>
                <c:pt idx="22">
                  <c:v>PI 2014 UY</c:v>
                </c:pt>
                <c:pt idx="23">
                  <c:v>TM 2018 SK</c:v>
                </c:pt>
                <c:pt idx="24">
                  <c:v>TM 2018 JP</c:v>
                </c:pt>
                <c:pt idx="25">
                  <c:v>PI 2018 PL</c:v>
                </c:pt>
                <c:pt idx="26">
                  <c:v>ID 2018 UA</c:v>
                </c:pt>
                <c:pt idx="27">
                  <c:v>TM 2019 UY</c:v>
                </c:pt>
                <c:pt idx="28">
                  <c:v>TM 2015 MX</c:v>
                </c:pt>
                <c:pt idx="29">
                  <c:v>ID 2018 JP</c:v>
                </c:pt>
                <c:pt idx="30">
                  <c:v>TM 2018 GB</c:v>
                </c:pt>
                <c:pt idx="31">
                  <c:v>TM 2016 RS</c:v>
                </c:pt>
                <c:pt idx="32">
                  <c:v>TM 2018 RU</c:v>
                </c:pt>
                <c:pt idx="33">
                  <c:v>ID 2018 PL</c:v>
                </c:pt>
                <c:pt idx="34">
                  <c:v>TM 2014 UY</c:v>
                </c:pt>
                <c:pt idx="35">
                  <c:v>ID 2014 UY</c:v>
                </c:pt>
                <c:pt idx="36">
                  <c:v>ID 2019 HU</c:v>
                </c:pt>
                <c:pt idx="37">
                  <c:v>ID 2018 SK</c:v>
                </c:pt>
                <c:pt idx="38">
                  <c:v>PI 2019 HU</c:v>
                </c:pt>
                <c:pt idx="39">
                  <c:v>ID 2017 SK</c:v>
                </c:pt>
                <c:pt idx="40">
                  <c:v>TM 2018 BG</c:v>
                </c:pt>
                <c:pt idx="41">
                  <c:v>TM 2016 BG</c:v>
                </c:pt>
                <c:pt idx="42">
                  <c:v>PI 2017 JP</c:v>
                </c:pt>
                <c:pt idx="43">
                  <c:v>PI 2017 CA</c:v>
                </c:pt>
                <c:pt idx="44">
                  <c:v>ID 2018 CZ</c:v>
                </c:pt>
                <c:pt idx="45">
                  <c:v>PI 2019 PL</c:v>
                </c:pt>
                <c:pt idx="46">
                  <c:v>TM 2019 MX</c:v>
                </c:pt>
                <c:pt idx="47">
                  <c:v>PI 2016 EG</c:v>
                </c:pt>
                <c:pt idx="48">
                  <c:v>PI 2017 PL</c:v>
                </c:pt>
                <c:pt idx="49">
                  <c:v>TM 2017 CA</c:v>
                </c:pt>
                <c:pt idx="50">
                  <c:v>ID 2016 BR</c:v>
                </c:pt>
                <c:pt idx="51">
                  <c:v>PI 2018 HU</c:v>
                </c:pt>
                <c:pt idx="52">
                  <c:v>ID 2019 PY</c:v>
                </c:pt>
                <c:pt idx="53">
                  <c:v>PI 2016 PL</c:v>
                </c:pt>
                <c:pt idx="54">
                  <c:v>PI 2018 RS</c:v>
                </c:pt>
                <c:pt idx="55">
                  <c:v>PI 2019 UY</c:v>
                </c:pt>
                <c:pt idx="56">
                  <c:v>ID 2018 HU</c:v>
                </c:pt>
                <c:pt idx="57">
                  <c:v>ID 2016 MG</c:v>
                </c:pt>
                <c:pt idx="58">
                  <c:v>TM 2015 MD</c:v>
                </c:pt>
                <c:pt idx="59">
                  <c:v>ID 2019 PL</c:v>
                </c:pt>
                <c:pt idx="60">
                  <c:v>PI 2018 SK</c:v>
                </c:pt>
                <c:pt idx="61">
                  <c:v>TM 2019 PL</c:v>
                </c:pt>
                <c:pt idx="62">
                  <c:v>PI 2016 RU</c:v>
                </c:pt>
                <c:pt idx="63">
                  <c:v>PI 2019 JP</c:v>
                </c:pt>
                <c:pt idx="64">
                  <c:v>TM 2019 HU</c:v>
                </c:pt>
                <c:pt idx="65">
                  <c:v>ID 2017 EC</c:v>
                </c:pt>
                <c:pt idx="66">
                  <c:v>PI 2015 HR</c:v>
                </c:pt>
                <c:pt idx="67">
                  <c:v>TM 2019 AZ</c:v>
                </c:pt>
                <c:pt idx="68">
                  <c:v>PI 2019 MX</c:v>
                </c:pt>
                <c:pt idx="69">
                  <c:v>ID 2017 CA</c:v>
                </c:pt>
                <c:pt idx="70">
                  <c:v>ID 2014 BA</c:v>
                </c:pt>
                <c:pt idx="71">
                  <c:v>TM 2016 CZ</c:v>
                </c:pt>
                <c:pt idx="72">
                  <c:v>ID 2019 UY</c:v>
                </c:pt>
                <c:pt idx="73">
                  <c:v>ID 2019 RU</c:v>
                </c:pt>
                <c:pt idx="74">
                  <c:v>PI 2017 GB</c:v>
                </c:pt>
                <c:pt idx="75">
                  <c:v>PI 2019 CY</c:v>
                </c:pt>
                <c:pt idx="76">
                  <c:v>PI 2015 MD</c:v>
                </c:pt>
                <c:pt idx="77">
                  <c:v>TM 2019 JP</c:v>
                </c:pt>
                <c:pt idx="78">
                  <c:v>TM 2019 BA</c:v>
                </c:pt>
                <c:pt idx="79">
                  <c:v>TM 2019 PY</c:v>
                </c:pt>
                <c:pt idx="80">
                  <c:v>ID 2019 MX</c:v>
                </c:pt>
                <c:pt idx="81">
                  <c:v>ID 2016 LT</c:v>
                </c:pt>
                <c:pt idx="82">
                  <c:v>PI 2017 SK</c:v>
                </c:pt>
                <c:pt idx="83">
                  <c:v>ID 2016 SK</c:v>
                </c:pt>
                <c:pt idx="84">
                  <c:v>TM 2017 SK</c:v>
                </c:pt>
                <c:pt idx="85">
                  <c:v>PI 2014 JP</c:v>
                </c:pt>
                <c:pt idx="86">
                  <c:v>TM 2019 RU</c:v>
                </c:pt>
                <c:pt idx="87">
                  <c:v>TM 2017 JP</c:v>
                </c:pt>
                <c:pt idx="88">
                  <c:v>PI 2014 CL</c:v>
                </c:pt>
                <c:pt idx="89">
                  <c:v>TM 2019 CY</c:v>
                </c:pt>
                <c:pt idx="90">
                  <c:v>ID 2017 CZ</c:v>
                </c:pt>
                <c:pt idx="91">
                  <c:v>TM 2017 PL</c:v>
                </c:pt>
                <c:pt idx="92">
                  <c:v>TM 2019 BR</c:v>
                </c:pt>
                <c:pt idx="93">
                  <c:v>PI 2019 RU</c:v>
                </c:pt>
                <c:pt idx="94">
                  <c:v>ID 2018 RU</c:v>
                </c:pt>
                <c:pt idx="95">
                  <c:v>PI 2019 EC</c:v>
                </c:pt>
                <c:pt idx="96">
                  <c:v>TM 2017 EC</c:v>
                </c:pt>
                <c:pt idx="97">
                  <c:v>PI 2016 EE</c:v>
                </c:pt>
                <c:pt idx="98">
                  <c:v>PI 2017 EC</c:v>
                </c:pt>
                <c:pt idx="99">
                  <c:v>ID 2019 JP</c:v>
                </c:pt>
                <c:pt idx="100">
                  <c:v>TM 2017 HU</c:v>
                </c:pt>
                <c:pt idx="101">
                  <c:v>PI 2016 JP</c:v>
                </c:pt>
                <c:pt idx="102">
                  <c:v>ID 2019 UA</c:v>
                </c:pt>
                <c:pt idx="103">
                  <c:v>TM 2019 EC</c:v>
                </c:pt>
                <c:pt idx="104">
                  <c:v>PI 2019 PY</c:v>
                </c:pt>
                <c:pt idx="105">
                  <c:v>TM 2017 GB</c:v>
                </c:pt>
                <c:pt idx="106">
                  <c:v>PI 2016 SK</c:v>
                </c:pt>
                <c:pt idx="107">
                  <c:v>PI 2019 UA</c:v>
                </c:pt>
                <c:pt idx="108">
                  <c:v>TM 2017 RS</c:v>
                </c:pt>
                <c:pt idx="109">
                  <c:v>ID 2016 HU</c:v>
                </c:pt>
                <c:pt idx="110">
                  <c:v>PI 2019 CA</c:v>
                </c:pt>
                <c:pt idx="111">
                  <c:v>ID 2014 JP</c:v>
                </c:pt>
                <c:pt idx="112">
                  <c:v>TM 2019 MG</c:v>
                </c:pt>
                <c:pt idx="113">
                  <c:v>TM 2017 EE</c:v>
                </c:pt>
                <c:pt idx="114">
                  <c:v>ID 2017 PL</c:v>
                </c:pt>
                <c:pt idx="115">
                  <c:v>TM 2016 JP</c:v>
                </c:pt>
                <c:pt idx="116">
                  <c:v>TM 2018 HU</c:v>
                </c:pt>
                <c:pt idx="117">
                  <c:v>TM 2019 UA</c:v>
                </c:pt>
                <c:pt idx="118">
                  <c:v>ID 2016 RU</c:v>
                </c:pt>
                <c:pt idx="119">
                  <c:v>ID 2016 JP</c:v>
                </c:pt>
                <c:pt idx="120">
                  <c:v>ID 2017 EE</c:v>
                </c:pt>
                <c:pt idx="121">
                  <c:v>TM 2015 SK</c:v>
                </c:pt>
                <c:pt idx="122">
                  <c:v>PI 2019 AZ</c:v>
                </c:pt>
                <c:pt idx="123">
                  <c:v>PI 2015 JP</c:v>
                </c:pt>
                <c:pt idx="124">
                  <c:v>PI 2019 BA</c:v>
                </c:pt>
                <c:pt idx="125">
                  <c:v>ID 2017 HU</c:v>
                </c:pt>
                <c:pt idx="126">
                  <c:v>PI 2016 CZ</c:v>
                </c:pt>
                <c:pt idx="127">
                  <c:v>ID 2019 CY</c:v>
                </c:pt>
                <c:pt idx="128">
                  <c:v>PI 2017 RU</c:v>
                </c:pt>
                <c:pt idx="129">
                  <c:v>PI 2017 HU</c:v>
                </c:pt>
                <c:pt idx="130">
                  <c:v>ID 2014 NO</c:v>
                </c:pt>
                <c:pt idx="131">
                  <c:v>PI 2016 UA</c:v>
                </c:pt>
                <c:pt idx="132">
                  <c:v>PI 2017 AU</c:v>
                </c:pt>
                <c:pt idx="133">
                  <c:v>ID 2014 CL</c:v>
                </c:pt>
                <c:pt idx="134">
                  <c:v>ID 2014 HU</c:v>
                </c:pt>
                <c:pt idx="135">
                  <c:v>ID 2016 CZ</c:v>
                </c:pt>
                <c:pt idx="136">
                  <c:v>ID 2019 CA</c:v>
                </c:pt>
                <c:pt idx="137">
                  <c:v>PI 2015 KG</c:v>
                </c:pt>
                <c:pt idx="138">
                  <c:v>TM 2016 EE</c:v>
                </c:pt>
                <c:pt idx="139">
                  <c:v>PI 2016 HU</c:v>
                </c:pt>
                <c:pt idx="140">
                  <c:v>PI 2015 EG</c:v>
                </c:pt>
                <c:pt idx="141">
                  <c:v>TM 2015 KR</c:v>
                </c:pt>
                <c:pt idx="142">
                  <c:v>PI 2014 PL</c:v>
                </c:pt>
                <c:pt idx="143">
                  <c:v>ID 2019 EC</c:v>
                </c:pt>
                <c:pt idx="144">
                  <c:v>TM 2019 CA</c:v>
                </c:pt>
                <c:pt idx="145">
                  <c:v>PI 2014 ES</c:v>
                </c:pt>
                <c:pt idx="146">
                  <c:v>TM 2015 KG</c:v>
                </c:pt>
                <c:pt idx="147">
                  <c:v>PI 2014 HR</c:v>
                </c:pt>
                <c:pt idx="148">
                  <c:v>TM 2018 CZ</c:v>
                </c:pt>
                <c:pt idx="149">
                  <c:v>ID 2014 MD</c:v>
                </c:pt>
                <c:pt idx="150">
                  <c:v>TM 2015 HR</c:v>
                </c:pt>
                <c:pt idx="151">
                  <c:v>PI 2014 IE</c:v>
                </c:pt>
                <c:pt idx="152">
                  <c:v>ID 2019 MG</c:v>
                </c:pt>
                <c:pt idx="153">
                  <c:v>PI 2019 MG</c:v>
                </c:pt>
                <c:pt idx="154">
                  <c:v>PI 2015 KR</c:v>
                </c:pt>
                <c:pt idx="155">
                  <c:v>ID 2019 BR</c:v>
                </c:pt>
                <c:pt idx="156">
                  <c:v>ID 2015 KG</c:v>
                </c:pt>
                <c:pt idx="157">
                  <c:v>TM 2017 AU</c:v>
                </c:pt>
              </c:strCache>
            </c:strRef>
          </c:cat>
          <c:val>
            <c:numRef>
              <c:f>'2020'!$V$2:$V$159</c:f>
              <c:numCache>
                <c:formatCode>General</c:formatCode>
                <c:ptCount val="158"/>
                <c:pt idx="0">
                  <c:v>38</c:v>
                </c:pt>
                <c:pt idx="1">
                  <c:v>24</c:v>
                </c:pt>
                <c:pt idx="2">
                  <c:v>20</c:v>
                </c:pt>
                <c:pt idx="3">
                  <c:v>18</c:v>
                </c:pt>
                <c:pt idx="4">
                  <c:v>18</c:v>
                </c:pt>
                <c:pt idx="5">
                  <c:v>17</c:v>
                </c:pt>
                <c:pt idx="6">
                  <c:v>17</c:v>
                </c:pt>
                <c:pt idx="7">
                  <c:v>16</c:v>
                </c:pt>
                <c:pt idx="8">
                  <c:v>15</c:v>
                </c:pt>
                <c:pt idx="9">
                  <c:v>14</c:v>
                </c:pt>
                <c:pt idx="10">
                  <c:v>14</c:v>
                </c:pt>
                <c:pt idx="11">
                  <c:v>14</c:v>
                </c:pt>
                <c:pt idx="12">
                  <c:v>13</c:v>
                </c:pt>
                <c:pt idx="13">
                  <c:v>13</c:v>
                </c:pt>
                <c:pt idx="14">
                  <c:v>10</c:v>
                </c:pt>
                <c:pt idx="15">
                  <c:v>9</c:v>
                </c:pt>
                <c:pt idx="16">
                  <c:v>9</c:v>
                </c:pt>
                <c:pt idx="17">
                  <c:v>9</c:v>
                </c:pt>
                <c:pt idx="18">
                  <c:v>9</c:v>
                </c:pt>
                <c:pt idx="19">
                  <c:v>8</c:v>
                </c:pt>
                <c:pt idx="20">
                  <c:v>8</c:v>
                </c:pt>
                <c:pt idx="21">
                  <c:v>8</c:v>
                </c:pt>
                <c:pt idx="22">
                  <c:v>7</c:v>
                </c:pt>
                <c:pt idx="23">
                  <c:v>7</c:v>
                </c:pt>
                <c:pt idx="24">
                  <c:v>7</c:v>
                </c:pt>
                <c:pt idx="25">
                  <c:v>7</c:v>
                </c:pt>
                <c:pt idx="26">
                  <c:v>7</c:v>
                </c:pt>
                <c:pt idx="27">
                  <c:v>7</c:v>
                </c:pt>
                <c:pt idx="28">
                  <c:v>6</c:v>
                </c:pt>
                <c:pt idx="29">
                  <c:v>6</c:v>
                </c:pt>
                <c:pt idx="30">
                  <c:v>6</c:v>
                </c:pt>
                <c:pt idx="31">
                  <c:v>6</c:v>
                </c:pt>
                <c:pt idx="32">
                  <c:v>6</c:v>
                </c:pt>
                <c:pt idx="33">
                  <c:v>6</c:v>
                </c:pt>
                <c:pt idx="34">
                  <c:v>6</c:v>
                </c:pt>
                <c:pt idx="35">
                  <c:v>6</c:v>
                </c:pt>
                <c:pt idx="36">
                  <c:v>5</c:v>
                </c:pt>
                <c:pt idx="37">
                  <c:v>5</c:v>
                </c:pt>
                <c:pt idx="38">
                  <c:v>5</c:v>
                </c:pt>
                <c:pt idx="39">
                  <c:v>5</c:v>
                </c:pt>
                <c:pt idx="40">
                  <c:v>5</c:v>
                </c:pt>
                <c:pt idx="41">
                  <c:v>5</c:v>
                </c:pt>
                <c:pt idx="42">
                  <c:v>5</c:v>
                </c:pt>
                <c:pt idx="43">
                  <c:v>5</c:v>
                </c:pt>
                <c:pt idx="44">
                  <c:v>5</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3</c:v>
                </c:pt>
                <c:pt idx="60">
                  <c:v>3</c:v>
                </c:pt>
                <c:pt idx="61">
                  <c:v>3</c:v>
                </c:pt>
                <c:pt idx="62">
                  <c:v>3</c:v>
                </c:pt>
                <c:pt idx="63">
                  <c:v>3</c:v>
                </c:pt>
                <c:pt idx="64">
                  <c:v>3</c:v>
                </c:pt>
                <c:pt idx="65">
                  <c:v>3</c:v>
                </c:pt>
                <c:pt idx="66">
                  <c:v>3</c:v>
                </c:pt>
                <c:pt idx="67">
                  <c:v>3</c:v>
                </c:pt>
                <c:pt idx="68">
                  <c:v>3</c:v>
                </c:pt>
                <c:pt idx="69">
                  <c:v>3</c:v>
                </c:pt>
                <c:pt idx="70">
                  <c:v>3</c:v>
                </c:pt>
                <c:pt idx="71">
                  <c:v>3</c:v>
                </c:pt>
                <c:pt idx="72">
                  <c:v>3</c:v>
                </c:pt>
                <c:pt idx="73">
                  <c:v>3</c:v>
                </c:pt>
                <c:pt idx="74">
                  <c:v>3</c:v>
                </c:pt>
                <c:pt idx="75">
                  <c:v>2</c:v>
                </c:pt>
                <c:pt idx="76">
                  <c:v>2</c:v>
                </c:pt>
                <c:pt idx="77">
                  <c:v>2</c:v>
                </c:pt>
                <c:pt idx="78">
                  <c:v>2</c:v>
                </c:pt>
                <c:pt idx="79">
                  <c:v>2</c:v>
                </c:pt>
                <c:pt idx="80">
                  <c:v>2</c:v>
                </c:pt>
                <c:pt idx="81">
                  <c:v>2</c:v>
                </c:pt>
                <c:pt idx="82">
                  <c:v>2</c:v>
                </c:pt>
                <c:pt idx="83">
                  <c:v>2</c:v>
                </c:pt>
                <c:pt idx="84">
                  <c:v>2</c:v>
                </c:pt>
                <c:pt idx="85">
                  <c:v>2</c:v>
                </c:pt>
                <c:pt idx="86">
                  <c:v>2</c:v>
                </c:pt>
                <c:pt idx="87">
                  <c:v>2</c:v>
                </c:pt>
                <c:pt idx="88">
                  <c:v>2</c:v>
                </c:pt>
                <c:pt idx="89">
                  <c:v>2</c:v>
                </c:pt>
                <c:pt idx="90">
                  <c:v>2</c:v>
                </c:pt>
                <c:pt idx="91">
                  <c:v>2</c:v>
                </c:pt>
                <c:pt idx="92">
                  <c:v>2</c:v>
                </c:pt>
                <c:pt idx="93">
                  <c:v>2</c:v>
                </c:pt>
                <c:pt idx="94">
                  <c:v>2</c:v>
                </c:pt>
                <c:pt idx="95">
                  <c:v>2</c:v>
                </c:pt>
                <c:pt idx="96">
                  <c:v>2</c:v>
                </c:pt>
                <c:pt idx="97">
                  <c:v>2</c:v>
                </c:pt>
                <c:pt idx="98">
                  <c:v>2</c:v>
                </c:pt>
                <c:pt idx="99">
                  <c:v>2</c:v>
                </c:pt>
                <c:pt idx="100">
                  <c:v>2</c:v>
                </c:pt>
                <c:pt idx="101">
                  <c:v>2</c:v>
                </c:pt>
                <c:pt idx="102">
                  <c:v>2</c:v>
                </c:pt>
                <c:pt idx="103">
                  <c:v>2</c:v>
                </c:pt>
                <c:pt idx="104">
                  <c:v>2</c:v>
                </c:pt>
                <c:pt idx="105">
                  <c:v>2</c:v>
                </c:pt>
                <c:pt idx="106">
                  <c:v>2</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numCache>
            </c:numRef>
          </c:val>
          <c:extLst>
            <c:ext xmlns:c16="http://schemas.microsoft.com/office/drawing/2014/chart" uri="{C3380CC4-5D6E-409C-BE32-E72D297353CC}">
              <c16:uniqueId val="{00000000-46E5-4A08-92AF-2F5E3641F9DC}"/>
            </c:ext>
          </c:extLst>
        </c:ser>
        <c:dLbls>
          <c:showLegendKey val="0"/>
          <c:showVal val="0"/>
          <c:showCatName val="0"/>
          <c:showSerName val="0"/>
          <c:showPercent val="0"/>
          <c:showBubbleSize val="0"/>
        </c:dLbls>
        <c:gapWidth val="125"/>
        <c:axId val="413159407"/>
        <c:axId val="413185615"/>
      </c:barChart>
      <c:catAx>
        <c:axId val="41315940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aseline="0"/>
                  <a:t>Páginas específicas de los ATR (se señala 1 de cada 4 elementos)</a:t>
                </a:r>
                <a:endParaRPr lang="en-US" sz="14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185615"/>
        <c:crosses val="autoZero"/>
        <c:auto val="1"/>
        <c:lblAlgn val="ctr"/>
        <c:lblOffset val="100"/>
        <c:noMultiLvlLbl val="1"/>
      </c:catAx>
      <c:valAx>
        <c:axId val="413185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aseline="0"/>
                  <a:t>Visitas</a:t>
                </a:r>
                <a:endParaRPr lang="en-US" sz="14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13159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38351-54B0-44B8-A79B-84241FE3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7</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CWS/9/</vt:lpstr>
    </vt:vector>
  </TitlesOfParts>
  <Company>WIPO</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CWS/9/18</dc:title>
  <dc:creator>WIPO</dc:creator>
  <cp:keywords>FOR OFFICIAL USE ONLY</cp:keywords>
  <cp:lastModifiedBy>CHAVAS Louison</cp:lastModifiedBy>
  <cp:revision>2</cp:revision>
  <dcterms:created xsi:type="dcterms:W3CDTF">2021-10-04T09:10:00Z</dcterms:created>
  <dcterms:modified xsi:type="dcterms:W3CDTF">2021-10-04T09:10:00Z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180c2d75-a929-4a6c-9536-a5292d5bd5d5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