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B77" w:rsidRPr="00A91094" w:rsidRDefault="00472A6E" w:rsidP="00472A6E">
      <w:pPr>
        <w:spacing w:after="120"/>
        <w:ind w:right="-57"/>
        <w:jc w:val="right"/>
        <w:rPr>
          <w:lang w:val="es-419"/>
        </w:rPr>
      </w:pPr>
      <w:bookmarkStart w:id="0" w:name="_GoBack"/>
      <w:bookmarkEnd w:id="0"/>
      <w:r w:rsidRPr="00A91094">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A80B77" w:rsidRPr="00A91094" w:rsidRDefault="00F374ED" w:rsidP="000D6004">
      <w:pPr>
        <w:pBdr>
          <w:top w:val="single" w:sz="4" w:space="8" w:color="auto"/>
        </w:pBdr>
        <w:jc w:val="right"/>
        <w:rPr>
          <w:rFonts w:ascii="Arial Black" w:hAnsi="Arial Black"/>
          <w:caps/>
          <w:sz w:val="15"/>
          <w:lang w:val="es-419"/>
        </w:rPr>
      </w:pPr>
      <w:r>
        <w:rPr>
          <w:rFonts w:ascii="Arial Black" w:hAnsi="Arial Black"/>
          <w:caps/>
          <w:sz w:val="15"/>
          <w:lang w:val="es-419"/>
        </w:rPr>
        <w:t>CWS/9</w:t>
      </w:r>
      <w:r w:rsidR="008E0D33" w:rsidRPr="00A91094">
        <w:rPr>
          <w:rFonts w:ascii="Arial Black" w:hAnsi="Arial Black"/>
          <w:caps/>
          <w:sz w:val="15"/>
          <w:lang w:val="es-419"/>
        </w:rPr>
        <w:t>/</w:t>
      </w:r>
      <w:bookmarkStart w:id="1" w:name="Code"/>
      <w:r w:rsidR="005A355C" w:rsidRPr="00A91094">
        <w:rPr>
          <w:rFonts w:ascii="Arial Black" w:hAnsi="Arial Black"/>
          <w:caps/>
          <w:sz w:val="15"/>
          <w:lang w:val="es-419"/>
        </w:rPr>
        <w:t>22</w:t>
      </w:r>
    </w:p>
    <w:bookmarkEnd w:id="1"/>
    <w:p w:rsidR="00A80B77" w:rsidRPr="00A91094" w:rsidRDefault="00472A6E" w:rsidP="00472A6E">
      <w:pPr>
        <w:jc w:val="right"/>
        <w:rPr>
          <w:lang w:val="es-419"/>
        </w:rPr>
      </w:pPr>
      <w:r w:rsidRPr="00A91094">
        <w:rPr>
          <w:rFonts w:ascii="Arial Black" w:hAnsi="Arial Black"/>
          <w:caps/>
          <w:sz w:val="15"/>
          <w:lang w:val="es-419"/>
        </w:rPr>
        <w:t xml:space="preserve">ORIGINAL: </w:t>
      </w:r>
      <w:bookmarkStart w:id="2" w:name="Original"/>
      <w:r w:rsidR="005A355C" w:rsidRPr="00A91094">
        <w:rPr>
          <w:rFonts w:ascii="Arial Black" w:hAnsi="Arial Black"/>
          <w:caps/>
          <w:sz w:val="15"/>
          <w:lang w:val="es-419"/>
        </w:rPr>
        <w:t>INGLÉS</w:t>
      </w:r>
    </w:p>
    <w:bookmarkEnd w:id="2"/>
    <w:p w:rsidR="00A80B77" w:rsidRPr="00A91094" w:rsidRDefault="00472A6E" w:rsidP="00472A6E">
      <w:pPr>
        <w:spacing w:after="1200"/>
        <w:jc w:val="right"/>
        <w:rPr>
          <w:lang w:val="es-419"/>
        </w:rPr>
      </w:pPr>
      <w:r w:rsidRPr="00A91094">
        <w:rPr>
          <w:rFonts w:ascii="Arial Black" w:hAnsi="Arial Black"/>
          <w:caps/>
          <w:sz w:val="15"/>
          <w:lang w:val="es-419"/>
        </w:rPr>
        <w:t xml:space="preserve">fecha: </w:t>
      </w:r>
      <w:bookmarkStart w:id="3" w:name="Date"/>
      <w:r w:rsidR="00F374ED">
        <w:rPr>
          <w:rFonts w:ascii="Arial Black" w:hAnsi="Arial Black"/>
          <w:caps/>
          <w:sz w:val="15"/>
          <w:lang w:val="es-419"/>
        </w:rPr>
        <w:t>6 de septiem</w:t>
      </w:r>
      <w:r w:rsidR="00253958">
        <w:rPr>
          <w:rFonts w:ascii="Arial Black" w:hAnsi="Arial Black"/>
          <w:caps/>
          <w:sz w:val="15"/>
          <w:lang w:val="es-419"/>
        </w:rPr>
        <w:t xml:space="preserve">bre </w:t>
      </w:r>
      <w:r w:rsidR="005A355C" w:rsidRPr="00A91094">
        <w:rPr>
          <w:rFonts w:ascii="Arial Black" w:hAnsi="Arial Black"/>
          <w:caps/>
          <w:sz w:val="15"/>
          <w:lang w:val="es-419"/>
        </w:rPr>
        <w:t>DE 202</w:t>
      </w:r>
      <w:r w:rsidR="00F374ED">
        <w:rPr>
          <w:rFonts w:ascii="Arial Black" w:hAnsi="Arial Black"/>
          <w:caps/>
          <w:sz w:val="15"/>
          <w:lang w:val="es-419"/>
        </w:rPr>
        <w:t>1</w:t>
      </w:r>
    </w:p>
    <w:bookmarkEnd w:id="3"/>
    <w:p w:rsidR="00A80B77" w:rsidRPr="00A91094" w:rsidRDefault="008E0D33" w:rsidP="00472A6E">
      <w:pPr>
        <w:pStyle w:val="Heading1"/>
        <w:spacing w:before="0" w:after="480"/>
        <w:rPr>
          <w:caps w:val="0"/>
          <w:sz w:val="28"/>
          <w:lang w:val="es-419"/>
        </w:rPr>
      </w:pPr>
      <w:r w:rsidRPr="00A91094">
        <w:rPr>
          <w:caps w:val="0"/>
          <w:sz w:val="28"/>
          <w:szCs w:val="28"/>
          <w:lang w:val="es-419"/>
        </w:rPr>
        <w:t>Comité de Normas Técnicas de la OMPI (CWS)</w:t>
      </w:r>
    </w:p>
    <w:p w:rsidR="00A80B77" w:rsidRPr="00A91094" w:rsidRDefault="00F374ED" w:rsidP="008E0D33">
      <w:pPr>
        <w:outlineLvl w:val="1"/>
        <w:rPr>
          <w:b/>
          <w:sz w:val="24"/>
          <w:szCs w:val="24"/>
          <w:lang w:val="es-419"/>
        </w:rPr>
      </w:pPr>
      <w:r>
        <w:rPr>
          <w:b/>
          <w:sz w:val="24"/>
          <w:szCs w:val="24"/>
          <w:lang w:val="es-419"/>
        </w:rPr>
        <w:t>Noven</w:t>
      </w:r>
      <w:r w:rsidR="008E0D33" w:rsidRPr="00A91094">
        <w:rPr>
          <w:b/>
          <w:sz w:val="24"/>
          <w:szCs w:val="24"/>
          <w:lang w:val="es-419"/>
        </w:rPr>
        <w:t>a sesión</w:t>
      </w:r>
    </w:p>
    <w:p w:rsidR="00A80B77" w:rsidRPr="00A91094" w:rsidRDefault="00253958" w:rsidP="00472A6E">
      <w:pPr>
        <w:spacing w:after="720"/>
        <w:outlineLvl w:val="1"/>
        <w:rPr>
          <w:b/>
          <w:sz w:val="24"/>
          <w:szCs w:val="24"/>
          <w:lang w:val="es-419"/>
        </w:rPr>
      </w:pPr>
      <w:r>
        <w:rPr>
          <w:b/>
          <w:sz w:val="24"/>
          <w:szCs w:val="24"/>
          <w:lang w:val="es-419"/>
        </w:rPr>
        <w:t xml:space="preserve">Ginebra, </w:t>
      </w:r>
      <w:r w:rsidR="00F374ED">
        <w:rPr>
          <w:b/>
          <w:sz w:val="24"/>
          <w:szCs w:val="24"/>
          <w:lang w:val="es-419"/>
        </w:rPr>
        <w:t>1</w:t>
      </w:r>
      <w:r>
        <w:rPr>
          <w:b/>
          <w:sz w:val="24"/>
          <w:szCs w:val="24"/>
          <w:lang w:val="es-419"/>
        </w:rPr>
        <w:t xml:space="preserve"> </w:t>
      </w:r>
      <w:r w:rsidR="00F374ED">
        <w:rPr>
          <w:b/>
          <w:sz w:val="24"/>
          <w:szCs w:val="24"/>
          <w:lang w:val="es-419"/>
        </w:rPr>
        <w:t xml:space="preserve">a 5 </w:t>
      </w:r>
      <w:r>
        <w:rPr>
          <w:b/>
          <w:sz w:val="24"/>
          <w:szCs w:val="24"/>
          <w:lang w:val="es-419"/>
        </w:rPr>
        <w:t>de noviembre</w:t>
      </w:r>
      <w:r w:rsidR="00F374ED">
        <w:rPr>
          <w:b/>
          <w:sz w:val="24"/>
          <w:szCs w:val="24"/>
          <w:lang w:val="es-419"/>
        </w:rPr>
        <w:t xml:space="preserve"> </w:t>
      </w:r>
      <w:r>
        <w:rPr>
          <w:b/>
          <w:sz w:val="24"/>
          <w:szCs w:val="24"/>
          <w:lang w:val="es-419"/>
        </w:rPr>
        <w:t xml:space="preserve">de </w:t>
      </w:r>
      <w:r w:rsidR="00F374ED">
        <w:rPr>
          <w:b/>
          <w:sz w:val="24"/>
          <w:szCs w:val="24"/>
          <w:lang w:val="es-419"/>
        </w:rPr>
        <w:t>2021</w:t>
      </w:r>
    </w:p>
    <w:p w:rsidR="00A80B77" w:rsidRPr="00A91094" w:rsidRDefault="00EA0BE8" w:rsidP="003D7680">
      <w:pPr>
        <w:spacing w:after="240"/>
        <w:rPr>
          <w:caps/>
          <w:sz w:val="24"/>
          <w:szCs w:val="24"/>
          <w:lang w:val="es-419"/>
        </w:rPr>
      </w:pPr>
      <w:r w:rsidRPr="00A91094">
        <w:rPr>
          <w:caps/>
          <w:sz w:val="24"/>
          <w:szCs w:val="24"/>
          <w:lang w:val="es-419"/>
        </w:rPr>
        <w:t xml:space="preserve">INFORME </w:t>
      </w:r>
      <w:r w:rsidR="00F374ED">
        <w:rPr>
          <w:caps/>
          <w:sz w:val="24"/>
          <w:szCs w:val="24"/>
          <w:lang w:val="es-419"/>
        </w:rPr>
        <w:t xml:space="preserve">de la oficina internacional </w:t>
      </w:r>
      <w:r w:rsidRPr="00A91094">
        <w:rPr>
          <w:caps/>
          <w:sz w:val="24"/>
          <w:szCs w:val="24"/>
          <w:lang w:val="es-419"/>
        </w:rPr>
        <w:t>SOBRE LA PRESTACIÓN DE ASESORAMIENTO Y ASISTENCIA TÉCNICA PARA EL FORTALECIMIENTO DE CAPACIDADES A LAS OFICINAS DE PROPIEDAD INDUSTRIAL, CON ARREGLO AL MANDATO DEL CWS</w:t>
      </w:r>
    </w:p>
    <w:p w:rsidR="00A80B77" w:rsidRPr="00A91094" w:rsidRDefault="00EA0BE8" w:rsidP="00EA0BE8">
      <w:pPr>
        <w:rPr>
          <w:i/>
          <w:lang w:val="es-419"/>
        </w:rPr>
      </w:pPr>
      <w:r w:rsidRPr="00A91094">
        <w:rPr>
          <w:i/>
          <w:lang w:val="es-419"/>
        </w:rPr>
        <w:t>Documento preparado por la Oficina Internacional</w:t>
      </w:r>
    </w:p>
    <w:p w:rsidR="00A80B77" w:rsidRPr="00A91094" w:rsidRDefault="00EA0BE8" w:rsidP="00DD0B1E">
      <w:pPr>
        <w:pStyle w:val="Heading2"/>
        <w:keepNext w:val="0"/>
        <w:spacing w:before="1200" w:after="120"/>
        <w:rPr>
          <w:caps w:val="0"/>
          <w:lang w:val="es-419"/>
        </w:rPr>
      </w:pPr>
      <w:r w:rsidRPr="00A91094">
        <w:rPr>
          <w:caps w:val="0"/>
          <w:lang w:val="es-419"/>
        </w:rPr>
        <w:t>INTRODUCCIÓN</w:t>
      </w:r>
    </w:p>
    <w:p w:rsidR="00A80B77" w:rsidRPr="00A91094" w:rsidRDefault="00EA0BE8" w:rsidP="00727BCF">
      <w:pPr>
        <w:pStyle w:val="ONUMFS"/>
        <w:rPr>
          <w:lang w:val="es-419" w:eastAsia="en-US"/>
        </w:rPr>
      </w:pPr>
      <w:r w:rsidRPr="00A91094">
        <w:rPr>
          <w:lang w:val="es-419" w:eastAsia="en-US"/>
        </w:rPr>
        <w:t xml:space="preserve">El presente informe tiene por objeto aplicar la decisión que adoptó la Asamblea General de la OMPI en 2011 respecto del mandato del Comité de Normas Técnicas de la OMPI (CWS) y presentar regularmente informes por escrito dando cuenta detallada de las actividades llevadas </w:t>
      </w:r>
      <w:r w:rsidR="00C1674E" w:rsidRPr="00A91094">
        <w:rPr>
          <w:lang w:val="es-419" w:eastAsia="en-US"/>
        </w:rPr>
        <w:t>a cabo en 20</w:t>
      </w:r>
      <w:r w:rsidR="00727BCF">
        <w:rPr>
          <w:lang w:val="es-419" w:eastAsia="en-US"/>
        </w:rPr>
        <w:t>20</w:t>
      </w:r>
      <w:r w:rsidRPr="00A91094">
        <w:rPr>
          <w:lang w:val="es-419" w:eastAsia="en-US"/>
        </w:rPr>
        <w:t xml:space="preserve">, en las que la Secretaría o la Oficina Internacional de la OMPI </w:t>
      </w:r>
      <w:r w:rsidR="00727BCF">
        <w:rPr>
          <w:lang w:val="es-419" w:eastAsia="en-US"/>
        </w:rPr>
        <w:t>procuraron</w:t>
      </w:r>
      <w:r w:rsidRPr="00A91094">
        <w:rPr>
          <w:lang w:val="es-419" w:eastAsia="en-US"/>
        </w:rPr>
        <w:t xml:space="preserve"> “suministrar </w:t>
      </w:r>
      <w:r w:rsidR="00727BCF" w:rsidRPr="00727BCF">
        <w:rPr>
          <w:lang w:val="es-419" w:eastAsia="en-US"/>
        </w:rPr>
        <w:t>asesoramiento y asistencia</w:t>
      </w:r>
      <w:r w:rsidR="00727BCF">
        <w:rPr>
          <w:lang w:val="es-419" w:eastAsia="en-US"/>
        </w:rPr>
        <w:t xml:space="preserve"> técnica</w:t>
      </w:r>
      <w:r w:rsidRPr="00A91094">
        <w:rPr>
          <w:lang w:val="es-419" w:eastAsia="en-US"/>
        </w:rPr>
        <w:t xml:space="preserve"> para fortalecer las capacidades de las oficinas de </w:t>
      </w:r>
      <w:r w:rsidR="00727BCF">
        <w:rPr>
          <w:lang w:val="es-419" w:eastAsia="en-US"/>
        </w:rPr>
        <w:t>PI</w:t>
      </w:r>
      <w:r w:rsidR="00887265" w:rsidRPr="00A91094">
        <w:rPr>
          <w:lang w:val="es-419" w:eastAsia="en-US"/>
        </w:rPr>
        <w:t xml:space="preserve"> </w:t>
      </w:r>
      <w:r w:rsidR="00070BE1">
        <w:rPr>
          <w:lang w:val="es-419" w:eastAsia="en-US"/>
        </w:rPr>
        <w:t xml:space="preserve">[OPI] </w:t>
      </w:r>
      <w:r w:rsidRPr="00A91094">
        <w:rPr>
          <w:lang w:val="es-419" w:eastAsia="en-US"/>
        </w:rPr>
        <w:t>emprendiendo proyectos relativos a la difusión de información sobre normas técnicas de PI” (véase el párrafo 190 del documento WO/GA/40/19). En la Base de Datos sobre Asistencia Técnica (</w:t>
      </w:r>
      <w:hyperlink r:id="rId8" w:history="1">
        <w:r w:rsidRPr="00A91094">
          <w:rPr>
            <w:rStyle w:val="Hyperlink"/>
            <w:lang w:val="es-419" w:eastAsia="en-US"/>
          </w:rPr>
          <w:t>www.wipo.int/tad</w:t>
        </w:r>
      </w:hyperlink>
      <w:r w:rsidRPr="00A91094">
        <w:rPr>
          <w:lang w:val="es-419" w:eastAsia="en-US"/>
        </w:rPr>
        <w:t>) figura una lista completa de dichas actividades.</w:t>
      </w:r>
    </w:p>
    <w:p w:rsidR="00A80B77" w:rsidRPr="00A91094" w:rsidRDefault="00EA0BE8" w:rsidP="00DD0B1E">
      <w:pPr>
        <w:pStyle w:val="ONUMFS"/>
        <w:spacing w:after="480"/>
        <w:rPr>
          <w:lang w:val="es-419" w:eastAsia="en-US"/>
        </w:rPr>
      </w:pPr>
      <w:r w:rsidRPr="00A91094">
        <w:rPr>
          <w:lang w:val="es-419" w:eastAsia="en-US"/>
        </w:rPr>
        <w:t xml:space="preserve">Habida cuenta de que las normas técnicas de la OMPI se aplican en sus distintos sistemas y herramientas, como </w:t>
      </w:r>
      <w:r w:rsidR="00A32577" w:rsidRPr="00A91094">
        <w:rPr>
          <w:lang w:val="es-419" w:eastAsia="en-US"/>
        </w:rPr>
        <w:t xml:space="preserve">WIPO Sequence y </w:t>
      </w:r>
      <w:r w:rsidRPr="00A91094">
        <w:rPr>
          <w:lang w:val="es-419" w:eastAsia="en-US"/>
        </w:rPr>
        <w:t xml:space="preserve">las soluciones informáticas de la </w:t>
      </w:r>
      <w:r w:rsidR="00A32577" w:rsidRPr="00A91094">
        <w:rPr>
          <w:lang w:val="es-419" w:eastAsia="en-US"/>
        </w:rPr>
        <w:t>OMPI</w:t>
      </w:r>
      <w:r w:rsidRPr="00A91094">
        <w:rPr>
          <w:lang w:val="es-419" w:eastAsia="en-US"/>
        </w:rPr>
        <w:t>, las actividades que se reseñan a continuación también suponen, de forma implícita, la difusión de la información pertinente sobre normas técnicas en materia de PI.</w:t>
      </w:r>
    </w:p>
    <w:p w:rsidR="00A80B77" w:rsidRPr="00A91094" w:rsidRDefault="00EA0BE8" w:rsidP="00DD0B1E">
      <w:pPr>
        <w:pStyle w:val="Heading2"/>
        <w:keepLines/>
        <w:spacing w:before="0" w:after="120"/>
        <w:rPr>
          <w:lang w:val="es-419"/>
        </w:rPr>
      </w:pPr>
      <w:r w:rsidRPr="00A91094">
        <w:rPr>
          <w:lang w:val="es-419"/>
        </w:rPr>
        <w:lastRenderedPageBreak/>
        <w:t>FORMACIÓN Y ASESORAMIENTO TÉCNICO SOBRE EL USO DE LAS NORMAS TÉCNICAS DE LA OMPI</w:t>
      </w:r>
    </w:p>
    <w:p w:rsidR="00A80B77" w:rsidRPr="00A91094" w:rsidRDefault="00A32577" w:rsidP="003D7680">
      <w:pPr>
        <w:pStyle w:val="ONUMFS"/>
        <w:rPr>
          <w:lang w:val="es-419"/>
        </w:rPr>
      </w:pPr>
      <w:r w:rsidRPr="00A91094">
        <w:rPr>
          <w:lang w:val="es-419"/>
        </w:rPr>
        <w:t>En 20</w:t>
      </w:r>
      <w:r w:rsidR="000D189E">
        <w:rPr>
          <w:lang w:val="es-419"/>
        </w:rPr>
        <w:t>20</w:t>
      </w:r>
      <w:r w:rsidR="00EA0BE8" w:rsidRPr="00A91094">
        <w:rPr>
          <w:lang w:val="es-419"/>
        </w:rPr>
        <w:t xml:space="preserve">, </w:t>
      </w:r>
      <w:r w:rsidR="000D189E">
        <w:rPr>
          <w:lang w:val="es-419"/>
        </w:rPr>
        <w:t xml:space="preserve">a pesar de la pandemia de COVID-19, </w:t>
      </w:r>
      <w:r w:rsidR="00EA0BE8" w:rsidRPr="00A91094">
        <w:rPr>
          <w:lang w:val="es-419"/>
        </w:rPr>
        <w:t xml:space="preserve">la Oficina Internacional prestó asesoramiento técnico a </w:t>
      </w:r>
      <w:r w:rsidR="00AB47E5">
        <w:rPr>
          <w:lang w:val="es-419"/>
        </w:rPr>
        <w:t>las</w:t>
      </w:r>
      <w:r w:rsidR="00EA0BE8" w:rsidRPr="00A91094">
        <w:rPr>
          <w:lang w:val="es-419"/>
        </w:rPr>
        <w:t xml:space="preserve"> </w:t>
      </w:r>
      <w:r w:rsidR="00887265" w:rsidRPr="00A91094">
        <w:rPr>
          <w:lang w:val="es-419"/>
        </w:rPr>
        <w:t>OPI</w:t>
      </w:r>
      <w:r w:rsidR="00EA0BE8" w:rsidRPr="00A91094">
        <w:rPr>
          <w:lang w:val="es-419"/>
        </w:rPr>
        <w:t xml:space="preserve"> y </w:t>
      </w:r>
      <w:r w:rsidR="00AB47E5">
        <w:rPr>
          <w:lang w:val="es-419"/>
        </w:rPr>
        <w:t xml:space="preserve">a los </w:t>
      </w:r>
      <w:r w:rsidR="00EA0BE8" w:rsidRPr="00A91094">
        <w:rPr>
          <w:lang w:val="es-419"/>
        </w:rPr>
        <w:t>usuarios acerca del uso de las normas técnicas de la O</w:t>
      </w:r>
      <w:r w:rsidR="00AA1E22">
        <w:rPr>
          <w:lang w:val="es-419"/>
        </w:rPr>
        <w:t>MPI mediante correo electrónico y</w:t>
      </w:r>
      <w:r w:rsidR="00EA0BE8" w:rsidRPr="00A91094">
        <w:rPr>
          <w:lang w:val="es-419"/>
        </w:rPr>
        <w:t xml:space="preserve"> conferencias por Internet.</w:t>
      </w:r>
    </w:p>
    <w:p w:rsidR="00A80B77" w:rsidRPr="00A91094" w:rsidRDefault="00CE4260" w:rsidP="00DD0B1E">
      <w:pPr>
        <w:pStyle w:val="ONUMFS"/>
        <w:spacing w:after="480"/>
        <w:rPr>
          <w:lang w:val="es-419"/>
        </w:rPr>
      </w:pPr>
      <w:r>
        <w:rPr>
          <w:lang w:val="es-419"/>
        </w:rPr>
        <w:t>En 2020 l</w:t>
      </w:r>
      <w:r w:rsidR="00EA0BE8" w:rsidRPr="00A91094">
        <w:rPr>
          <w:lang w:val="es-419"/>
        </w:rPr>
        <w:t xml:space="preserve">a Secretaría no </w:t>
      </w:r>
      <w:r w:rsidR="005976BC">
        <w:rPr>
          <w:lang w:val="es-419"/>
        </w:rPr>
        <w:t>recibió</w:t>
      </w:r>
      <w:r w:rsidR="00EA0BE8" w:rsidRPr="00A91094">
        <w:rPr>
          <w:lang w:val="es-419"/>
        </w:rPr>
        <w:t xml:space="preserve"> </w:t>
      </w:r>
      <w:r>
        <w:rPr>
          <w:lang w:val="es-419"/>
        </w:rPr>
        <w:t>ning</w:t>
      </w:r>
      <w:r w:rsidR="00EA0BE8" w:rsidRPr="00A91094">
        <w:rPr>
          <w:lang w:val="es-419"/>
        </w:rPr>
        <w:t xml:space="preserve">una solicitud de asistencia técnica y formación </w:t>
      </w:r>
      <w:r>
        <w:rPr>
          <w:lang w:val="es-419"/>
        </w:rPr>
        <w:t xml:space="preserve">en persona </w:t>
      </w:r>
      <w:r w:rsidR="00EA0BE8" w:rsidRPr="00A91094">
        <w:rPr>
          <w:lang w:val="es-419"/>
        </w:rPr>
        <w:t xml:space="preserve">en relación con las normas técnicas de la OMPI desde la </w:t>
      </w:r>
      <w:r>
        <w:rPr>
          <w:lang w:val="es-419"/>
        </w:rPr>
        <w:t>octav</w:t>
      </w:r>
      <w:r w:rsidR="00EA0BE8" w:rsidRPr="00A91094">
        <w:rPr>
          <w:lang w:val="es-419"/>
        </w:rPr>
        <w:t>a sesión del CWS</w:t>
      </w:r>
      <w:r>
        <w:rPr>
          <w:lang w:val="es-419"/>
        </w:rPr>
        <w:t>, que se celebró ese mismo año</w:t>
      </w:r>
      <w:r w:rsidR="00EA0BE8" w:rsidRPr="00A91094">
        <w:rPr>
          <w:lang w:val="es-419"/>
        </w:rPr>
        <w:t>. La Secretaría prestará asistencia técnica y formación en relación con las normas técnicas de la OMPI previa solicitud y en función de la disponibilidad de recursos</w:t>
      </w:r>
      <w:r>
        <w:rPr>
          <w:lang w:val="es-419"/>
        </w:rPr>
        <w:t xml:space="preserve"> y de la evolución de la pandemia</w:t>
      </w:r>
      <w:r w:rsidR="00EA0BE8" w:rsidRPr="00A91094">
        <w:rPr>
          <w:lang w:val="es-419"/>
        </w:rPr>
        <w:t>.</w:t>
      </w:r>
    </w:p>
    <w:p w:rsidR="00A80B77" w:rsidRPr="00A91094" w:rsidRDefault="00EA0BE8" w:rsidP="00DD0B1E">
      <w:pPr>
        <w:pStyle w:val="Heading2"/>
        <w:keepNext w:val="0"/>
        <w:spacing w:after="120"/>
        <w:rPr>
          <w:lang w:val="es-419"/>
        </w:rPr>
      </w:pPr>
      <w:r w:rsidRPr="00A91094">
        <w:rPr>
          <w:lang w:val="es-419"/>
        </w:rPr>
        <w:t xml:space="preserve">ASISTENCIA TÉCNICA PARA CONSOLIDAR LA INFRAESTRUCTURA DE LAS INSTITUCIONES DE </w:t>
      </w:r>
      <w:r w:rsidR="000E5B6F">
        <w:rPr>
          <w:lang w:val="es-419"/>
        </w:rPr>
        <w:t>PI</w:t>
      </w:r>
      <w:r w:rsidRPr="00A91094">
        <w:rPr>
          <w:lang w:val="es-419"/>
        </w:rPr>
        <w:t xml:space="preserve"> MEDIANTE EL USO DE LAS NORMAS TÉCNICAS DE LA OMPI</w:t>
      </w:r>
    </w:p>
    <w:p w:rsidR="00A80B77" w:rsidRPr="00A91094" w:rsidRDefault="004E5CFE" w:rsidP="004E5CFE">
      <w:pPr>
        <w:pStyle w:val="ONUMFS"/>
        <w:rPr>
          <w:lang w:val="es-419" w:eastAsia="ja-JP"/>
        </w:rPr>
      </w:pPr>
      <w:r>
        <w:rPr>
          <w:lang w:val="es-419" w:eastAsia="ja-JP"/>
        </w:rPr>
        <w:t xml:space="preserve">El programa de la OMPI de </w:t>
      </w:r>
      <w:r w:rsidRPr="004E5CFE">
        <w:rPr>
          <w:rFonts w:eastAsia="MS Mincho"/>
          <w:szCs w:val="22"/>
          <w:lang w:val="es-419" w:eastAsia="ja-JP"/>
        </w:rPr>
        <w:t>soluciones operativas para las Oficinas de PI</w:t>
      </w:r>
      <w:r w:rsidR="00EA0BE8" w:rsidRPr="00A91094">
        <w:rPr>
          <w:lang w:val="es-419" w:eastAsia="ja-JP"/>
        </w:rPr>
        <w:t xml:space="preserve"> tiene por finalidad mejorar los sistemas de trabajo y la infraestructura técnica de las oficinas nacionales y regionales de </w:t>
      </w:r>
      <w:r w:rsidR="000E5B6F">
        <w:rPr>
          <w:lang w:val="es-419" w:eastAsia="ja-JP"/>
        </w:rPr>
        <w:t>PI</w:t>
      </w:r>
      <w:r w:rsidR="00EA0BE8" w:rsidRPr="00A91094">
        <w:rPr>
          <w:lang w:val="es-419" w:eastAsia="ja-JP"/>
        </w:rPr>
        <w:t xml:space="preserve"> para que puedan prestar servicios más eficaces en función de los costos y de mejor calidad a sus interlocutores. La asistencia que se brinda se ajusta a las recomendaciones de la Agenda para el Desarrollo destinadas a fortalecer la infraestructura institucional y técnica de las </w:t>
      </w:r>
      <w:r w:rsidR="003B588C">
        <w:rPr>
          <w:lang w:val="es-419" w:eastAsia="ja-JP"/>
        </w:rPr>
        <w:t xml:space="preserve">OPI y </w:t>
      </w:r>
      <w:r w:rsidR="000E5B6F">
        <w:rPr>
          <w:lang w:val="es-419" w:eastAsia="ja-JP"/>
        </w:rPr>
        <w:t>demá</w:t>
      </w:r>
      <w:r w:rsidR="003B588C">
        <w:rPr>
          <w:lang w:val="es-419" w:eastAsia="ja-JP"/>
        </w:rPr>
        <w:t>s</w:t>
      </w:r>
      <w:r w:rsidR="00EA0BE8" w:rsidRPr="00A91094">
        <w:rPr>
          <w:lang w:val="es-419" w:eastAsia="ja-JP"/>
        </w:rPr>
        <w:t xml:space="preserve"> instituciones. Entre los servicios </w:t>
      </w:r>
      <w:r w:rsidR="003B588C">
        <w:rPr>
          <w:lang w:val="es-419" w:eastAsia="ja-JP"/>
        </w:rPr>
        <w:t xml:space="preserve">que se prestan </w:t>
      </w:r>
      <w:r w:rsidR="00EA0BE8" w:rsidRPr="00A91094">
        <w:rPr>
          <w:lang w:val="es-419" w:eastAsia="ja-JP"/>
        </w:rPr>
        <w:t xml:space="preserve">figuran los siguientes: consultoría técnica; evaluación de las necesidades; estudio y planificación de proyectos; análisis de procesos; concepción y aplicación de soluciones adaptadas especialmente a los sistemas para la administración de derechos de PI y el intercambio de documentos de prioridad y de los resultados de la búsqueda y el examen; creación de bases de datos de PI; asistencia en la digitalización de archivos de PI y preparación de datos para la publicación en línea y el intercambio electrónico de datos; formación y transferencia de conocimientos para personal de instituciones de </w:t>
      </w:r>
      <w:r w:rsidR="000E5B6F">
        <w:rPr>
          <w:lang w:val="es-419" w:eastAsia="ja-JP"/>
        </w:rPr>
        <w:t>PI</w:t>
      </w:r>
      <w:r w:rsidR="00EA0BE8" w:rsidRPr="00A91094">
        <w:rPr>
          <w:lang w:val="es-419" w:eastAsia="ja-JP"/>
        </w:rPr>
        <w:t xml:space="preserve"> y apoyo a los sistemas proporcionados por la OMPI. La asistencia se ofrece teniendo en cuenta las normas técnicas de la OMPI sobre datos e información en materia de </w:t>
      </w:r>
      <w:r w:rsidR="000E5B6F">
        <w:rPr>
          <w:lang w:val="es-419" w:eastAsia="ja-JP"/>
        </w:rPr>
        <w:t>PI</w:t>
      </w:r>
      <w:r w:rsidR="00EA0BE8" w:rsidRPr="00A91094">
        <w:rPr>
          <w:lang w:val="es-419" w:eastAsia="ja-JP"/>
        </w:rPr>
        <w:t xml:space="preserve">, cuando sea procedente. La formación </w:t>
      </w:r>
      <w:r w:rsidR="007B4D53">
        <w:rPr>
          <w:lang w:val="es-419" w:eastAsia="ja-JP"/>
        </w:rPr>
        <w:t xml:space="preserve">virtual o </w:t>
      </w:r>
      <w:r w:rsidR="00EA0BE8" w:rsidRPr="00A91094">
        <w:rPr>
          <w:lang w:val="es-419" w:eastAsia="ja-JP"/>
        </w:rPr>
        <w:t xml:space="preserve">sobre el terreno, las tutorías y los talleres de formación regionales constituyen una parte importante de </w:t>
      </w:r>
      <w:r w:rsidR="007B4D53">
        <w:rPr>
          <w:lang w:val="es-419" w:eastAsia="ja-JP"/>
        </w:rPr>
        <w:t>las actividades y son decisivo</w:t>
      </w:r>
      <w:r w:rsidR="00EA0BE8" w:rsidRPr="00A91094">
        <w:rPr>
          <w:lang w:val="es-419" w:eastAsia="ja-JP"/>
        </w:rPr>
        <w:t>s para lograr los resultados previstos.</w:t>
      </w:r>
    </w:p>
    <w:p w:rsidR="00A80B77" w:rsidRPr="00A91094" w:rsidRDefault="00364318" w:rsidP="003D7680">
      <w:pPr>
        <w:pStyle w:val="ONUMFS"/>
        <w:rPr>
          <w:lang w:val="es-419"/>
        </w:rPr>
      </w:pPr>
      <w:r w:rsidRPr="00A91094">
        <w:rPr>
          <w:lang w:val="es-419" w:eastAsia="ja-JP"/>
        </w:rPr>
        <w:t>A fin</w:t>
      </w:r>
      <w:r w:rsidR="00A32577" w:rsidRPr="00A91094">
        <w:rPr>
          <w:lang w:val="es-419" w:eastAsia="ja-JP"/>
        </w:rPr>
        <w:t>es de 20</w:t>
      </w:r>
      <w:r w:rsidR="0052722E">
        <w:rPr>
          <w:lang w:val="es-419" w:eastAsia="ja-JP"/>
        </w:rPr>
        <w:t>20</w:t>
      </w:r>
      <w:r w:rsidR="00A32577" w:rsidRPr="00A91094">
        <w:rPr>
          <w:lang w:val="es-419" w:eastAsia="ja-JP"/>
        </w:rPr>
        <w:t xml:space="preserve">, </w:t>
      </w:r>
      <w:r w:rsidR="0052722E">
        <w:rPr>
          <w:lang w:val="es-419" w:eastAsia="ja-JP"/>
        </w:rPr>
        <w:t>90</w:t>
      </w:r>
      <w:r w:rsidR="00EA0BE8" w:rsidRPr="00A91094">
        <w:rPr>
          <w:lang w:val="es-419" w:eastAsia="ja-JP"/>
        </w:rPr>
        <w:t xml:space="preserve"> </w:t>
      </w:r>
      <w:r w:rsidR="00BB045A" w:rsidRPr="00A91094">
        <w:rPr>
          <w:lang w:val="es-419" w:eastAsia="ja-JP"/>
        </w:rPr>
        <w:t>O</w:t>
      </w:r>
      <w:r w:rsidR="00EA0BE8" w:rsidRPr="00A91094">
        <w:rPr>
          <w:lang w:val="es-419" w:eastAsia="ja-JP"/>
        </w:rPr>
        <w:t xml:space="preserve">PI de países en desarrollo de todas las regiones estaban utilizando activamente las soluciones operativas de la OMPI para la administración de derechos de PI, en las que se han integrado las normas técnicas de la OMPI. </w:t>
      </w:r>
      <w:r w:rsidR="00A32577" w:rsidRPr="00A91094">
        <w:rPr>
          <w:lang w:val="es-419" w:eastAsia="ja-JP"/>
        </w:rPr>
        <w:t xml:space="preserve">En una de las plataformas de intercambio en Internet ofrecidas por la OMPI (Acceso centralizado a los resultados de la búsqueda y el examen y Servicio de Acceso Digital) participaron </w:t>
      </w:r>
      <w:r w:rsidR="0052722E">
        <w:rPr>
          <w:lang w:val="es-419" w:eastAsia="ja-JP"/>
        </w:rPr>
        <w:t>51</w:t>
      </w:r>
      <w:r w:rsidR="00A32577" w:rsidRPr="00A91094">
        <w:rPr>
          <w:lang w:val="es-419" w:eastAsia="ja-JP"/>
        </w:rPr>
        <w:t xml:space="preserve"> OPI. Una de las prioridades </w:t>
      </w:r>
      <w:r w:rsidR="00EA0BE8" w:rsidRPr="00A91094">
        <w:rPr>
          <w:lang w:val="es-419" w:eastAsia="ja-JP"/>
        </w:rPr>
        <w:t xml:space="preserve">es mejorar el nivel de servicios de las </w:t>
      </w:r>
      <w:r w:rsidR="00352FC1" w:rsidRPr="00A91094">
        <w:rPr>
          <w:lang w:val="es-419" w:eastAsia="ja-JP"/>
        </w:rPr>
        <w:t>O</w:t>
      </w:r>
      <w:r w:rsidR="00EA0BE8" w:rsidRPr="00A91094">
        <w:rPr>
          <w:lang w:val="es-419" w:eastAsia="ja-JP"/>
        </w:rPr>
        <w:t xml:space="preserve">PI ayudándolas a incrementar los servicios que ofrecen por Internet para la presentación de solicitudes y difundir información de PI. Para más información, consúltese el sitio web del programa de asistencia técnica de la OMPI para las </w:t>
      </w:r>
      <w:r w:rsidR="00FD4279" w:rsidRPr="00A91094">
        <w:rPr>
          <w:lang w:val="es-419" w:eastAsia="ja-JP"/>
        </w:rPr>
        <w:t>O</w:t>
      </w:r>
      <w:r w:rsidR="00EA0BE8" w:rsidRPr="00A91094">
        <w:rPr>
          <w:lang w:val="es-419" w:eastAsia="ja-JP"/>
        </w:rPr>
        <w:t>PI</w:t>
      </w:r>
      <w:r w:rsidR="00A32577" w:rsidRPr="00A91094">
        <w:rPr>
          <w:lang w:val="es-419" w:eastAsia="ja-JP"/>
        </w:rPr>
        <w:t>, en</w:t>
      </w:r>
      <w:r w:rsidR="00EA0BE8" w:rsidRPr="00A91094">
        <w:rPr>
          <w:lang w:val="es-419" w:eastAsia="ja-JP"/>
        </w:rPr>
        <w:t xml:space="preserve">: </w:t>
      </w:r>
      <w:hyperlink r:id="rId9" w:history="1">
        <w:r w:rsidR="007A7356">
          <w:rPr>
            <w:rStyle w:val="Hyperlink"/>
            <w:lang w:val="es-419" w:eastAsia="ja-JP"/>
          </w:rPr>
          <w:t>https://www.wipo.int/global_ip/es/activities/ip_office_business_solutions/index.html</w:t>
        </w:r>
      </w:hyperlink>
      <w:r w:rsidR="00EA0BE8" w:rsidRPr="00A91094">
        <w:rPr>
          <w:lang w:val="es-419" w:eastAsia="ja-JP"/>
        </w:rPr>
        <w:t>.</w:t>
      </w:r>
    </w:p>
    <w:p w:rsidR="00A80B77" w:rsidRPr="00A91094" w:rsidRDefault="00A32577" w:rsidP="00DD0B1E">
      <w:pPr>
        <w:pStyle w:val="ONUMFS"/>
        <w:spacing w:after="480"/>
        <w:rPr>
          <w:lang w:val="es-419" w:eastAsia="ja-JP"/>
        </w:rPr>
      </w:pPr>
      <w:r w:rsidRPr="00A91094">
        <w:rPr>
          <w:color w:val="000000"/>
          <w:lang w:val="es-419"/>
        </w:rPr>
        <w:t xml:space="preserve">Además, </w:t>
      </w:r>
      <w:r w:rsidR="007A7356">
        <w:rPr>
          <w:color w:val="000000"/>
          <w:lang w:val="es-419"/>
        </w:rPr>
        <w:t xml:space="preserve">dentro del programa de la OMPI de bases de datos mundiales, la Oficina Internacional </w:t>
      </w:r>
      <w:r w:rsidRPr="00A91094">
        <w:rPr>
          <w:color w:val="000000"/>
          <w:lang w:val="es-419"/>
        </w:rPr>
        <w:t xml:space="preserve">ejecutó un proyecto conjuntamente con la Oficina Europea de Patentes (OEP) para prestar asistencia a las OPI a fin de ejecutar búsquedas de texto completo </w:t>
      </w:r>
      <w:r w:rsidR="00F82102" w:rsidRPr="00A91094">
        <w:rPr>
          <w:color w:val="000000"/>
          <w:lang w:val="es-419"/>
        </w:rPr>
        <w:t xml:space="preserve">en los archivos corrientes de las publicaciones de patentes en formato XML con arreglo a la Norma ST.36 de la OMPI e imágenes TIFF integradas. La Oficina Internacional configuró su solución de ROC para adaptarla a los requisitos específicos de cada oficina, como el idioma, la presentación y los marcadores. Recibieron el </w:t>
      </w:r>
      <w:r w:rsidR="00F82102" w:rsidRPr="00A91094">
        <w:rPr>
          <w:i/>
          <w:iCs/>
          <w:color w:val="000000"/>
          <w:lang w:val="es-419"/>
        </w:rPr>
        <w:t>software</w:t>
      </w:r>
      <w:r w:rsidR="00F82102" w:rsidRPr="00A91094">
        <w:rPr>
          <w:color w:val="000000"/>
          <w:lang w:val="es-419"/>
        </w:rPr>
        <w:t xml:space="preserve"> 3</w:t>
      </w:r>
      <w:r w:rsidR="004F0B22">
        <w:rPr>
          <w:color w:val="000000"/>
          <w:lang w:val="es-419"/>
        </w:rPr>
        <w:t>5</w:t>
      </w:r>
      <w:r w:rsidR="00F82102" w:rsidRPr="00A91094">
        <w:rPr>
          <w:color w:val="000000"/>
          <w:lang w:val="es-419"/>
        </w:rPr>
        <w:t xml:space="preserve"> OPI, a las que se </w:t>
      </w:r>
      <w:r w:rsidR="00FD4279" w:rsidRPr="00A91094">
        <w:rPr>
          <w:color w:val="000000"/>
          <w:lang w:val="es-419"/>
        </w:rPr>
        <w:t xml:space="preserve">ha </w:t>
      </w:r>
      <w:r w:rsidR="00F82102" w:rsidRPr="00A91094">
        <w:rPr>
          <w:color w:val="000000"/>
          <w:lang w:val="es-419"/>
        </w:rPr>
        <w:t>imparti</w:t>
      </w:r>
      <w:r w:rsidR="00FD4279" w:rsidRPr="00A91094">
        <w:rPr>
          <w:color w:val="000000"/>
          <w:lang w:val="es-419"/>
        </w:rPr>
        <w:t>do</w:t>
      </w:r>
      <w:r w:rsidR="00F82102" w:rsidRPr="00A91094">
        <w:rPr>
          <w:color w:val="000000"/>
          <w:lang w:val="es-419"/>
        </w:rPr>
        <w:t xml:space="preserve"> formación para utilizarlo </w:t>
      </w:r>
      <w:r w:rsidR="004F0B22">
        <w:rPr>
          <w:color w:val="000000"/>
          <w:lang w:val="es-419"/>
        </w:rPr>
        <w:t xml:space="preserve">(con la excepción de la del Panamá, cuya formación se programará a su debido tiempo) </w:t>
      </w:r>
      <w:r w:rsidR="00F82102" w:rsidRPr="00A91094">
        <w:rPr>
          <w:color w:val="000000"/>
          <w:lang w:val="es-419"/>
        </w:rPr>
        <w:t xml:space="preserve">en los </w:t>
      </w:r>
      <w:r w:rsidR="004F0B22">
        <w:rPr>
          <w:color w:val="000000"/>
          <w:lang w:val="es-419"/>
        </w:rPr>
        <w:t>cuatro</w:t>
      </w:r>
      <w:r w:rsidR="00F82102" w:rsidRPr="00A91094">
        <w:rPr>
          <w:color w:val="000000"/>
          <w:lang w:val="es-419"/>
        </w:rPr>
        <w:t xml:space="preserve"> últimos años, y 12 de ellas han logrado lanzar la producción. En consecuencia, los documentos producidos en texto completo figuran en la base de datos PATENTSCOPE, de la OMPI, y en Espacenet, de la OEP, y se puede hacer búsquedas en ellos.</w:t>
      </w:r>
    </w:p>
    <w:p w:rsidR="00A80B77" w:rsidRPr="00A91094" w:rsidRDefault="00EA0BE8" w:rsidP="00DD0B1E">
      <w:pPr>
        <w:pStyle w:val="Heading2"/>
        <w:keepNext w:val="0"/>
        <w:spacing w:after="120"/>
        <w:rPr>
          <w:lang w:val="es-419"/>
        </w:rPr>
      </w:pPr>
      <w:r w:rsidRPr="00A91094">
        <w:rPr>
          <w:lang w:val="es-419"/>
        </w:rPr>
        <w:lastRenderedPageBreak/>
        <w:t>FORTALECIMIENTO DE LA CAPACIDAD DE EXAMINADORES Y FUNCIONARIOS DE OFICINAS DE PI EN LO RELATIVO AL USO DE HERRAMIENTAS INTERNACIONALES</w:t>
      </w:r>
    </w:p>
    <w:p w:rsidR="00A80B77" w:rsidRPr="00A91094" w:rsidRDefault="00F82102" w:rsidP="007A799E">
      <w:pPr>
        <w:pStyle w:val="ONUMFS"/>
        <w:rPr>
          <w:lang w:val="es-419" w:eastAsia="ja-JP"/>
        </w:rPr>
      </w:pPr>
      <w:r w:rsidRPr="00A91094">
        <w:rPr>
          <w:lang w:val="es-419" w:eastAsia="ja-JP"/>
        </w:rPr>
        <w:t>En colaboración con las Oficinas del Equipo Técnico Sobre Listas de Secuencias del CWS</w:t>
      </w:r>
      <w:r w:rsidR="00EA0BE8" w:rsidRPr="00A91094">
        <w:rPr>
          <w:lang w:val="es-419" w:eastAsia="ja-JP"/>
        </w:rPr>
        <w:t xml:space="preserve">, la Oficina Internacional </w:t>
      </w:r>
      <w:r w:rsidRPr="00A91094">
        <w:rPr>
          <w:lang w:val="es-419" w:eastAsia="ja-JP"/>
        </w:rPr>
        <w:t xml:space="preserve">ha estado </w:t>
      </w:r>
      <w:r w:rsidR="00A110A1">
        <w:rPr>
          <w:lang w:val="es-419" w:eastAsia="ja-JP"/>
        </w:rPr>
        <w:t xml:space="preserve">mejorando el </w:t>
      </w:r>
      <w:r w:rsidR="00A110A1" w:rsidRPr="00A110A1">
        <w:rPr>
          <w:rFonts w:eastAsia="MS Mincho"/>
          <w:szCs w:val="22"/>
          <w:lang w:val="es-419" w:eastAsia="ja-JP"/>
        </w:rPr>
        <w:t>conjunto de programas de WIPO Sequence</w:t>
      </w:r>
      <w:r w:rsidR="00A110A1">
        <w:rPr>
          <w:rFonts w:eastAsia="MS Mincho"/>
          <w:szCs w:val="22"/>
          <w:lang w:val="es-419" w:eastAsia="ja-JP"/>
        </w:rPr>
        <w:t xml:space="preserve">, que es </w:t>
      </w:r>
      <w:r w:rsidR="00EA0BE8" w:rsidRPr="00A91094">
        <w:rPr>
          <w:lang w:val="es-419" w:eastAsia="ja-JP"/>
        </w:rPr>
        <w:t>una herramienta informática común</w:t>
      </w:r>
      <w:r w:rsidRPr="00A91094">
        <w:rPr>
          <w:lang w:val="es-419" w:eastAsia="ja-JP"/>
        </w:rPr>
        <w:t xml:space="preserve"> y de uso gratuito</w:t>
      </w:r>
      <w:r w:rsidR="00EA0BE8" w:rsidRPr="00A91094">
        <w:rPr>
          <w:lang w:val="es-419" w:eastAsia="ja-JP"/>
        </w:rPr>
        <w:t xml:space="preserve"> </w:t>
      </w:r>
      <w:r w:rsidR="00A110A1">
        <w:rPr>
          <w:lang w:val="es-419" w:eastAsia="ja-JP"/>
        </w:rPr>
        <w:t>que permitirá a</w:t>
      </w:r>
      <w:r w:rsidR="00EA0BE8" w:rsidRPr="00A91094">
        <w:rPr>
          <w:lang w:val="es-419" w:eastAsia="ja-JP"/>
        </w:rPr>
        <w:t xml:space="preserve"> los solicitantes de patentes </w:t>
      </w:r>
      <w:r w:rsidR="006D0943" w:rsidRPr="00A91094">
        <w:rPr>
          <w:lang w:val="es-419" w:eastAsia="ja-JP"/>
        </w:rPr>
        <w:t xml:space="preserve">de todo el mundo </w:t>
      </w:r>
      <w:r w:rsidR="00EA0BE8" w:rsidRPr="00A91094">
        <w:rPr>
          <w:lang w:val="es-419" w:eastAsia="ja-JP"/>
        </w:rPr>
        <w:t xml:space="preserve">preparar listas de secuencias de nucleótidos y aminoácidos de conformidad con la Norma ST.26 de la OMPI, y prestar asistencia a las OPI para </w:t>
      </w:r>
      <w:r w:rsidR="00A110A1">
        <w:rPr>
          <w:lang w:val="es-419" w:eastAsia="ja-JP"/>
        </w:rPr>
        <w:t>valid</w:t>
      </w:r>
      <w:r w:rsidR="00EA0BE8" w:rsidRPr="00A91094">
        <w:rPr>
          <w:lang w:val="es-419" w:eastAsia="ja-JP"/>
        </w:rPr>
        <w:t>ar las listas de secuencias</w:t>
      </w:r>
      <w:r w:rsidR="007A799E">
        <w:rPr>
          <w:lang w:val="es-419" w:eastAsia="ja-JP"/>
        </w:rPr>
        <w:t xml:space="preserve"> a fin de que cumplan </w:t>
      </w:r>
      <w:r w:rsidR="007A799E" w:rsidRPr="007A799E">
        <w:rPr>
          <w:lang w:val="es-419" w:eastAsia="ja-JP"/>
        </w:rPr>
        <w:t>la Norma ST.26 de la OMPI.</w:t>
      </w:r>
      <w:r w:rsidR="00EA0BE8" w:rsidRPr="00A91094">
        <w:rPr>
          <w:lang w:val="es-419" w:eastAsia="ja-JP"/>
        </w:rPr>
        <w:t xml:space="preserve"> </w:t>
      </w:r>
      <w:r w:rsidR="006D0943" w:rsidRPr="00A91094">
        <w:rPr>
          <w:lang w:val="es-419" w:eastAsia="ja-JP"/>
        </w:rPr>
        <w:t>L</w:t>
      </w:r>
      <w:r w:rsidR="00EA0BE8" w:rsidRPr="00A91094">
        <w:rPr>
          <w:lang w:val="es-419" w:eastAsia="ja-JP"/>
        </w:rPr>
        <w:t xml:space="preserve">a </w:t>
      </w:r>
      <w:r w:rsidR="006D0943" w:rsidRPr="00A91094">
        <w:rPr>
          <w:lang w:val="es-419" w:eastAsia="ja-JP"/>
        </w:rPr>
        <w:t xml:space="preserve">versión beta de la </w:t>
      </w:r>
      <w:r w:rsidR="00EA0BE8" w:rsidRPr="00A91094">
        <w:rPr>
          <w:lang w:val="es-419" w:eastAsia="ja-JP"/>
        </w:rPr>
        <w:t xml:space="preserve">herramienta </w:t>
      </w:r>
      <w:r w:rsidR="00EA0BE8" w:rsidRPr="00A91094">
        <w:rPr>
          <w:iCs/>
          <w:lang w:val="es-419" w:eastAsia="ja-JP"/>
        </w:rPr>
        <w:t>WIPO Sequence</w:t>
      </w:r>
      <w:r w:rsidR="00EA0BE8" w:rsidRPr="00A91094">
        <w:rPr>
          <w:lang w:val="es-419" w:eastAsia="ja-JP"/>
        </w:rPr>
        <w:t xml:space="preserve"> </w:t>
      </w:r>
      <w:r w:rsidR="007A799E">
        <w:rPr>
          <w:lang w:val="es-419" w:eastAsia="ja-JP"/>
        </w:rPr>
        <w:t>se encuentra disponible</w:t>
      </w:r>
      <w:r w:rsidR="006D0943" w:rsidRPr="00A91094">
        <w:rPr>
          <w:lang w:val="es-419" w:eastAsia="ja-JP"/>
        </w:rPr>
        <w:t xml:space="preserve"> en el sitio web de la OMPI, en: </w:t>
      </w:r>
      <w:hyperlink r:id="rId10" w:history="1">
        <w:r w:rsidR="00AA1635" w:rsidRPr="00A91094">
          <w:rPr>
            <w:rStyle w:val="Hyperlink"/>
            <w:lang w:val="es-419"/>
          </w:rPr>
          <w:t>https://www.wipo.int/standards/es/sequence/index.html</w:t>
        </w:r>
      </w:hyperlink>
    </w:p>
    <w:p w:rsidR="00A80B77" w:rsidRPr="00A91094" w:rsidRDefault="00A80B77" w:rsidP="0013471D">
      <w:pPr>
        <w:pStyle w:val="ONUMFS"/>
        <w:rPr>
          <w:lang w:val="es-419" w:eastAsia="ja-JP"/>
        </w:rPr>
      </w:pPr>
      <w:r w:rsidRPr="00A91094">
        <w:rPr>
          <w:lang w:val="es-419" w:eastAsia="ja-JP"/>
        </w:rPr>
        <w:t xml:space="preserve">A raíz de una petición, </w:t>
      </w:r>
      <w:r w:rsidR="0013471D">
        <w:rPr>
          <w:lang w:val="es-419" w:eastAsia="ja-JP"/>
        </w:rPr>
        <w:t xml:space="preserve">los días 15 y 16 de septiembre de 2020 </w:t>
      </w:r>
      <w:r w:rsidRPr="00A91094">
        <w:rPr>
          <w:lang w:val="es-419" w:eastAsia="ja-JP"/>
        </w:rPr>
        <w:t xml:space="preserve">la Oficina Internacional ofreció un </w:t>
      </w:r>
      <w:r w:rsidR="0013471D">
        <w:rPr>
          <w:lang w:val="es-419" w:eastAsia="ja-JP"/>
        </w:rPr>
        <w:t>seminario</w:t>
      </w:r>
      <w:r w:rsidRPr="00A91094">
        <w:rPr>
          <w:lang w:val="es-419" w:eastAsia="ja-JP"/>
        </w:rPr>
        <w:t xml:space="preserve"> de formación </w:t>
      </w:r>
      <w:r w:rsidR="0013471D">
        <w:rPr>
          <w:lang w:val="es-419" w:eastAsia="ja-JP"/>
        </w:rPr>
        <w:t xml:space="preserve">mediante una plataforma en línea </w:t>
      </w:r>
      <w:r w:rsidRPr="00A91094">
        <w:rPr>
          <w:lang w:val="es-419" w:eastAsia="ja-JP"/>
        </w:rPr>
        <w:t xml:space="preserve">sobre la Clasificación Internacional de Patentes (CIP) para funcionarios </w:t>
      </w:r>
      <w:r w:rsidR="0013471D">
        <w:rPr>
          <w:lang w:val="es-419" w:eastAsia="ja-JP"/>
        </w:rPr>
        <w:t xml:space="preserve">y examinadores </w:t>
      </w:r>
      <w:r w:rsidRPr="00A91094">
        <w:rPr>
          <w:lang w:val="es-419" w:eastAsia="ja-JP"/>
        </w:rPr>
        <w:t xml:space="preserve">del </w:t>
      </w:r>
      <w:r w:rsidR="0013471D" w:rsidRPr="0013471D">
        <w:rPr>
          <w:lang w:val="es-419" w:eastAsia="ja-JP"/>
        </w:rPr>
        <w:t>Depart</w:t>
      </w:r>
      <w:r w:rsidR="0013471D">
        <w:rPr>
          <w:lang w:val="es-419" w:eastAsia="ja-JP"/>
        </w:rPr>
        <w:t>amento de Propiedad Intelectual del</w:t>
      </w:r>
      <w:r w:rsidR="00BD5DED">
        <w:rPr>
          <w:lang w:val="es-419" w:eastAsia="ja-JP"/>
        </w:rPr>
        <w:t xml:space="preserve"> Ministerio de Comercio,</w:t>
      </w:r>
      <w:r w:rsidR="0013471D" w:rsidRPr="0013471D">
        <w:rPr>
          <w:lang w:val="es-419" w:eastAsia="ja-JP"/>
        </w:rPr>
        <w:t xml:space="preserve"> Industria </w:t>
      </w:r>
      <w:r w:rsidR="00BD5DED">
        <w:rPr>
          <w:lang w:val="es-419" w:eastAsia="ja-JP"/>
        </w:rPr>
        <w:t xml:space="preserve">y </w:t>
      </w:r>
      <w:r w:rsidR="000402D9">
        <w:rPr>
          <w:lang w:val="es-419" w:eastAsia="ja-JP"/>
        </w:rPr>
        <w:t>Promoción de</w:t>
      </w:r>
      <w:r w:rsidR="00BD5DED">
        <w:rPr>
          <w:lang w:val="es-419" w:eastAsia="ja-JP"/>
        </w:rPr>
        <w:t xml:space="preserve"> Inversiones de Omán</w:t>
      </w:r>
      <w:r w:rsidRPr="00A91094">
        <w:rPr>
          <w:lang w:val="es-419" w:eastAsia="ja-JP"/>
        </w:rPr>
        <w:t>.</w:t>
      </w:r>
      <w:r w:rsidR="00AA1635" w:rsidRPr="00A91094">
        <w:rPr>
          <w:lang w:val="es-419" w:eastAsia="ja-JP"/>
        </w:rPr>
        <w:t xml:space="preserve"> </w:t>
      </w:r>
      <w:r w:rsidRPr="00A91094">
        <w:rPr>
          <w:lang w:val="es-419" w:eastAsia="ja-JP"/>
        </w:rPr>
        <w:t xml:space="preserve">El programa de formación </w:t>
      </w:r>
      <w:r w:rsidR="00E8009D" w:rsidRPr="00A91094">
        <w:rPr>
          <w:lang w:val="es-419" w:eastAsia="ja-JP"/>
        </w:rPr>
        <w:t>abarcó la manera de</w:t>
      </w:r>
      <w:r w:rsidRPr="00A91094">
        <w:rPr>
          <w:lang w:val="es-419" w:eastAsia="ja-JP"/>
        </w:rPr>
        <w:t xml:space="preserve"> utilizar las normas técnicas de la OMPI pertinentes.</w:t>
      </w:r>
    </w:p>
    <w:p w:rsidR="00A80B77" w:rsidRPr="00A91094" w:rsidRDefault="00A80B77" w:rsidP="003D7680">
      <w:pPr>
        <w:pStyle w:val="ONUMFS"/>
        <w:rPr>
          <w:lang w:val="es-419" w:eastAsia="ja-JP"/>
        </w:rPr>
      </w:pPr>
      <w:r w:rsidRPr="00A91094">
        <w:rPr>
          <w:lang w:val="es-419" w:eastAsia="ja-JP"/>
        </w:rPr>
        <w:t>E</w:t>
      </w:r>
      <w:r w:rsidR="0073096E">
        <w:rPr>
          <w:lang w:val="es-419" w:eastAsia="ja-JP"/>
        </w:rPr>
        <w:t>n 2020</w:t>
      </w:r>
      <w:r w:rsidRPr="00A91094">
        <w:rPr>
          <w:lang w:val="es-419" w:eastAsia="ja-JP"/>
        </w:rPr>
        <w:t xml:space="preserve"> se organizaron</w:t>
      </w:r>
      <w:r w:rsidR="0073096E">
        <w:rPr>
          <w:lang w:val="es-419" w:eastAsia="ja-JP"/>
        </w:rPr>
        <w:t xml:space="preserve"> en formato virtual</w:t>
      </w:r>
      <w:r w:rsidRPr="00A91094">
        <w:rPr>
          <w:lang w:val="es-419" w:eastAsia="ja-JP"/>
        </w:rPr>
        <w:t xml:space="preserve">, previa petición, los siguientes cursos de formación y seminarios sobre la utilización de las clasificaciones internacionales de marcas </w:t>
      </w:r>
      <w:r w:rsidR="0073096E">
        <w:rPr>
          <w:lang w:val="es-419" w:eastAsia="ja-JP"/>
        </w:rPr>
        <w:t>y di</w:t>
      </w:r>
      <w:r w:rsidR="001D2638">
        <w:rPr>
          <w:lang w:val="es-419" w:eastAsia="ja-JP"/>
        </w:rPr>
        <w:t>bujos y model</w:t>
      </w:r>
      <w:r w:rsidR="0073096E">
        <w:rPr>
          <w:lang w:val="es-419" w:eastAsia="ja-JP"/>
        </w:rPr>
        <w:t xml:space="preserve">os industriales </w:t>
      </w:r>
      <w:r w:rsidRPr="00A91094">
        <w:rPr>
          <w:lang w:val="es-419" w:eastAsia="ja-JP"/>
        </w:rPr>
        <w:t xml:space="preserve">para funcionarios o examinadores de las </w:t>
      </w:r>
      <w:r w:rsidR="00E8009D" w:rsidRPr="00A91094">
        <w:rPr>
          <w:lang w:val="es-419" w:eastAsia="ja-JP"/>
        </w:rPr>
        <w:t>OPI</w:t>
      </w:r>
      <w:r w:rsidRPr="00A91094">
        <w:rPr>
          <w:lang w:val="es-419" w:eastAsia="ja-JP"/>
        </w:rPr>
        <w:t>.</w:t>
      </w:r>
      <w:r w:rsidR="0073096E">
        <w:rPr>
          <w:lang w:val="es-419" w:eastAsia="ja-JP"/>
        </w:rPr>
        <w:t xml:space="preserve"> </w:t>
      </w:r>
      <w:r w:rsidRPr="00A91094">
        <w:rPr>
          <w:lang w:val="es-419" w:eastAsia="ja-JP"/>
        </w:rPr>
        <w:t xml:space="preserve">En este contexto, se explicó la </w:t>
      </w:r>
      <w:r w:rsidR="00E8009D" w:rsidRPr="00A91094">
        <w:rPr>
          <w:lang w:val="es-419" w:eastAsia="ja-JP"/>
        </w:rPr>
        <w:t>pertinencia</w:t>
      </w:r>
      <w:r w:rsidRPr="00A91094">
        <w:rPr>
          <w:lang w:val="es-419" w:eastAsia="ja-JP"/>
        </w:rPr>
        <w:t xml:space="preserve"> de las normas técnicas de la OMPI.</w:t>
      </w:r>
    </w:p>
    <w:p w:rsidR="005E61F1" w:rsidRPr="00A91094" w:rsidRDefault="005E61F1" w:rsidP="00F43AE2">
      <w:pPr>
        <w:pStyle w:val="ONUMFS"/>
        <w:numPr>
          <w:ilvl w:val="0"/>
          <w:numId w:val="11"/>
        </w:numPr>
        <w:ind w:left="1134" w:hanging="567"/>
        <w:rPr>
          <w:lang w:val="es-419"/>
        </w:rPr>
      </w:pPr>
      <w:r w:rsidRPr="00A91094">
        <w:rPr>
          <w:lang w:val="es-419"/>
        </w:rPr>
        <w:t xml:space="preserve">Formación sobre la Clasificación de </w:t>
      </w:r>
      <w:r w:rsidR="0073096E">
        <w:rPr>
          <w:lang w:val="es-419"/>
        </w:rPr>
        <w:t>Niz</w:t>
      </w:r>
      <w:r w:rsidRPr="00A91094">
        <w:rPr>
          <w:lang w:val="es-419"/>
        </w:rPr>
        <w:t>a pa</w:t>
      </w:r>
      <w:r w:rsidR="001D2638">
        <w:rPr>
          <w:lang w:val="es-419"/>
        </w:rPr>
        <w:t xml:space="preserve">ra examinadores de marcas, </w:t>
      </w:r>
      <w:r w:rsidRPr="00A91094">
        <w:rPr>
          <w:lang w:val="es-419"/>
        </w:rPr>
        <w:t xml:space="preserve">Oficina de PI de </w:t>
      </w:r>
      <w:r w:rsidR="0073096E">
        <w:rPr>
          <w:lang w:val="es-419"/>
        </w:rPr>
        <w:t>Bahrein</w:t>
      </w:r>
      <w:r w:rsidRPr="00A91094">
        <w:rPr>
          <w:lang w:val="es-419"/>
        </w:rPr>
        <w:t>, 2</w:t>
      </w:r>
      <w:r w:rsidR="0073096E">
        <w:rPr>
          <w:lang w:val="es-419"/>
        </w:rPr>
        <w:t>4</w:t>
      </w:r>
      <w:r w:rsidRPr="00A91094">
        <w:rPr>
          <w:lang w:val="es-419"/>
        </w:rPr>
        <w:t xml:space="preserve"> a 2</w:t>
      </w:r>
      <w:r w:rsidR="0073096E">
        <w:rPr>
          <w:lang w:val="es-419"/>
        </w:rPr>
        <w:t>7</w:t>
      </w:r>
      <w:r w:rsidRPr="00A91094">
        <w:rPr>
          <w:lang w:val="es-419"/>
        </w:rPr>
        <w:t xml:space="preserve"> de </w:t>
      </w:r>
      <w:r w:rsidR="0073096E">
        <w:rPr>
          <w:lang w:val="es-419"/>
        </w:rPr>
        <w:t>febrer</w:t>
      </w:r>
      <w:r w:rsidRPr="00A91094">
        <w:rPr>
          <w:lang w:val="es-419"/>
        </w:rPr>
        <w:t>o de 20</w:t>
      </w:r>
      <w:r w:rsidR="0073096E">
        <w:rPr>
          <w:lang w:val="es-419"/>
        </w:rPr>
        <w:t>20</w:t>
      </w:r>
      <w:r w:rsidRPr="00A91094">
        <w:rPr>
          <w:lang w:val="es-419"/>
        </w:rPr>
        <w:t>;</w:t>
      </w:r>
    </w:p>
    <w:p w:rsidR="005E61F1" w:rsidRDefault="001D2638" w:rsidP="00F43AE2">
      <w:pPr>
        <w:pStyle w:val="ONUMFS"/>
        <w:numPr>
          <w:ilvl w:val="0"/>
          <w:numId w:val="11"/>
        </w:numPr>
        <w:ind w:left="1134" w:hanging="567"/>
        <w:rPr>
          <w:lang w:val="es-419"/>
        </w:rPr>
      </w:pPr>
      <w:r>
        <w:rPr>
          <w:lang w:val="es-419"/>
        </w:rPr>
        <w:t xml:space="preserve">Formación sobre las Clasificaciones de Niza, de Locarno y de Viena </w:t>
      </w:r>
      <w:r w:rsidR="005E61F1" w:rsidRPr="00A91094">
        <w:rPr>
          <w:lang w:val="es-419"/>
        </w:rPr>
        <w:t>para examinadores de marcas</w:t>
      </w:r>
      <w:r>
        <w:rPr>
          <w:lang w:val="es-419"/>
        </w:rPr>
        <w:t xml:space="preserve"> y dibujos y modelos, </w:t>
      </w:r>
      <w:r w:rsidRPr="00A91094">
        <w:rPr>
          <w:lang w:val="es-419"/>
        </w:rPr>
        <w:t>Oficina de PI de</w:t>
      </w:r>
      <w:r w:rsidRPr="00A91094">
        <w:rPr>
          <w:lang w:val="es-419" w:eastAsia="ja-JP"/>
        </w:rPr>
        <w:t xml:space="preserve"> </w:t>
      </w:r>
      <w:r>
        <w:rPr>
          <w:lang w:val="es-419" w:eastAsia="ja-JP"/>
        </w:rPr>
        <w:t>la Arabia Saudita, 20 a 23 de julio</w:t>
      </w:r>
      <w:r w:rsidR="003E611E">
        <w:rPr>
          <w:lang w:val="es-419" w:eastAsia="ja-JP"/>
        </w:rPr>
        <w:t xml:space="preserve"> de 20</w:t>
      </w:r>
      <w:r>
        <w:rPr>
          <w:lang w:val="es-419" w:eastAsia="ja-JP"/>
        </w:rPr>
        <w:t>20</w:t>
      </w:r>
      <w:r w:rsidR="003E611E">
        <w:rPr>
          <w:lang w:val="es-419" w:eastAsia="ja-JP"/>
        </w:rPr>
        <w:t>;</w:t>
      </w:r>
    </w:p>
    <w:p w:rsidR="003E611E" w:rsidRDefault="004D55CA" w:rsidP="00F43AE2">
      <w:pPr>
        <w:pStyle w:val="ONUMFS"/>
        <w:numPr>
          <w:ilvl w:val="0"/>
          <w:numId w:val="11"/>
        </w:numPr>
        <w:ind w:left="1134" w:hanging="567"/>
        <w:rPr>
          <w:lang w:val="es-419"/>
        </w:rPr>
      </w:pPr>
      <w:r w:rsidRPr="00A91094">
        <w:rPr>
          <w:lang w:val="es-419"/>
        </w:rPr>
        <w:t>Formación sobre la</w:t>
      </w:r>
      <w:r w:rsidR="00C62A01">
        <w:rPr>
          <w:lang w:val="es-419"/>
        </w:rPr>
        <w:t>s Clasificacio</w:t>
      </w:r>
      <w:r w:rsidRPr="00A91094">
        <w:rPr>
          <w:lang w:val="es-419"/>
        </w:rPr>
        <w:t>n</w:t>
      </w:r>
      <w:r w:rsidR="00C62A01">
        <w:rPr>
          <w:lang w:val="es-419"/>
        </w:rPr>
        <w:t>es</w:t>
      </w:r>
      <w:r w:rsidRPr="00A91094">
        <w:rPr>
          <w:lang w:val="es-419"/>
        </w:rPr>
        <w:t xml:space="preserve"> de </w:t>
      </w:r>
      <w:r>
        <w:rPr>
          <w:lang w:val="es-419"/>
        </w:rPr>
        <w:t>Niz</w:t>
      </w:r>
      <w:r w:rsidRPr="00A91094">
        <w:rPr>
          <w:lang w:val="es-419"/>
        </w:rPr>
        <w:t xml:space="preserve">a </w:t>
      </w:r>
      <w:r w:rsidR="00C62A01">
        <w:rPr>
          <w:lang w:val="es-419"/>
        </w:rPr>
        <w:t xml:space="preserve">y de Viena </w:t>
      </w:r>
      <w:r w:rsidRPr="00A91094">
        <w:rPr>
          <w:lang w:val="es-419"/>
        </w:rPr>
        <w:t>pa</w:t>
      </w:r>
      <w:r>
        <w:rPr>
          <w:lang w:val="es-419"/>
        </w:rPr>
        <w:t xml:space="preserve">ra examinadores de marcas, </w:t>
      </w:r>
      <w:r w:rsidRPr="00A91094">
        <w:rPr>
          <w:lang w:val="es-419"/>
        </w:rPr>
        <w:t xml:space="preserve">Oficina de PI de </w:t>
      </w:r>
      <w:r w:rsidR="00C62A01">
        <w:rPr>
          <w:lang w:val="es-419"/>
        </w:rPr>
        <w:t>Indonesia</w:t>
      </w:r>
      <w:r w:rsidRPr="00A91094">
        <w:rPr>
          <w:lang w:val="es-419"/>
        </w:rPr>
        <w:t xml:space="preserve">, </w:t>
      </w:r>
      <w:r w:rsidR="00C62A01">
        <w:rPr>
          <w:lang w:val="es-419"/>
        </w:rPr>
        <w:t>16 a 18 de noviembre</w:t>
      </w:r>
      <w:r w:rsidRPr="00A91094">
        <w:rPr>
          <w:lang w:val="es-419"/>
        </w:rPr>
        <w:t xml:space="preserve"> de 20</w:t>
      </w:r>
      <w:r>
        <w:rPr>
          <w:lang w:val="es-419"/>
        </w:rPr>
        <w:t>20</w:t>
      </w:r>
      <w:r w:rsidRPr="00A91094">
        <w:rPr>
          <w:lang w:val="es-419"/>
        </w:rPr>
        <w:t>;</w:t>
      </w:r>
      <w:r w:rsidR="003E611E">
        <w:rPr>
          <w:lang w:val="es-419" w:eastAsia="ja-JP"/>
        </w:rPr>
        <w:t xml:space="preserve"> y</w:t>
      </w:r>
    </w:p>
    <w:p w:rsidR="003E611E" w:rsidRPr="00A91094" w:rsidRDefault="004D55CA" w:rsidP="00DD0B1E">
      <w:pPr>
        <w:pStyle w:val="ONUMFS"/>
        <w:numPr>
          <w:ilvl w:val="0"/>
          <w:numId w:val="11"/>
        </w:numPr>
        <w:spacing w:after="480"/>
        <w:ind w:left="1134" w:hanging="567"/>
        <w:rPr>
          <w:lang w:val="es-419"/>
        </w:rPr>
      </w:pPr>
      <w:r w:rsidRPr="00A91094">
        <w:rPr>
          <w:lang w:val="es-419"/>
        </w:rPr>
        <w:t xml:space="preserve">Formación sobre la Clasificación de </w:t>
      </w:r>
      <w:r>
        <w:rPr>
          <w:lang w:val="es-419"/>
        </w:rPr>
        <w:t>Niz</w:t>
      </w:r>
      <w:r w:rsidRPr="00A91094">
        <w:rPr>
          <w:lang w:val="es-419"/>
        </w:rPr>
        <w:t>a pa</w:t>
      </w:r>
      <w:r>
        <w:rPr>
          <w:lang w:val="es-419"/>
        </w:rPr>
        <w:t xml:space="preserve">ra examinadores de marcas, </w:t>
      </w:r>
      <w:r w:rsidRPr="00A91094">
        <w:rPr>
          <w:lang w:val="es-419"/>
        </w:rPr>
        <w:t xml:space="preserve">Oficina de PI de </w:t>
      </w:r>
      <w:r w:rsidR="00FD7671">
        <w:rPr>
          <w:lang w:val="es-419"/>
        </w:rPr>
        <w:t>Malasia</w:t>
      </w:r>
      <w:r w:rsidRPr="00A91094">
        <w:rPr>
          <w:lang w:val="es-419"/>
        </w:rPr>
        <w:t xml:space="preserve">, </w:t>
      </w:r>
      <w:r w:rsidR="00FD7671">
        <w:rPr>
          <w:lang w:val="es-419"/>
        </w:rPr>
        <w:t>8 a 10 de diciembre</w:t>
      </w:r>
      <w:r w:rsidRPr="00A91094">
        <w:rPr>
          <w:lang w:val="es-419"/>
        </w:rPr>
        <w:t xml:space="preserve"> de 20</w:t>
      </w:r>
      <w:r>
        <w:rPr>
          <w:lang w:val="es-419"/>
        </w:rPr>
        <w:t>20</w:t>
      </w:r>
      <w:r w:rsidR="003E611E" w:rsidRPr="00A91094">
        <w:rPr>
          <w:lang w:val="es-419" w:eastAsia="ja-JP"/>
        </w:rPr>
        <w:t>.</w:t>
      </w:r>
    </w:p>
    <w:p w:rsidR="00A80B77" w:rsidRPr="00A91094" w:rsidRDefault="00EA0BE8" w:rsidP="00DD0B1E">
      <w:pPr>
        <w:pStyle w:val="Heading2"/>
        <w:keepNext w:val="0"/>
        <w:spacing w:after="120"/>
        <w:rPr>
          <w:lang w:val="es-419"/>
        </w:rPr>
      </w:pPr>
      <w:r w:rsidRPr="00A91094">
        <w:rPr>
          <w:lang w:val="es-419"/>
        </w:rPr>
        <w:t>MEJOR COMPRENSIÓN DE LAS NORMAS TÉCNICAS DE LA OMPI</w:t>
      </w:r>
    </w:p>
    <w:p w:rsidR="00A80B77" w:rsidRPr="00A91094" w:rsidRDefault="00EA0BE8" w:rsidP="00DD0B1E">
      <w:pPr>
        <w:pStyle w:val="ONUMFS"/>
        <w:spacing w:after="480"/>
        <w:rPr>
          <w:lang w:val="es-419" w:eastAsia="en-US"/>
        </w:rPr>
      </w:pPr>
      <w:r w:rsidRPr="00A91094">
        <w:rPr>
          <w:lang w:val="es-419" w:eastAsia="en-US"/>
        </w:rPr>
        <w:t xml:space="preserve">Con miras a dar a conocer mejor las normas técnicas de la OMPI en los países en desarrollo y favorecer la participación física de un mayor número de países en desarrollo en la preparación de nuevas normas técnicas o de normas técnicas de la OMPI revisadas, y a raíz de la decisión tomada por la Asamblea General en octubre de 2011, la Oficina Internacional financió la participación de siete países en desarrollo o países menos adelantados (PMA) en la </w:t>
      </w:r>
      <w:r w:rsidR="00AA1635" w:rsidRPr="00A91094">
        <w:rPr>
          <w:lang w:val="es-419" w:eastAsia="en-US"/>
        </w:rPr>
        <w:t>séptima</w:t>
      </w:r>
      <w:r w:rsidRPr="00A91094">
        <w:rPr>
          <w:lang w:val="es-419" w:eastAsia="en-US"/>
        </w:rPr>
        <w:t xml:space="preserve"> sesión del CWS.</w:t>
      </w:r>
    </w:p>
    <w:p w:rsidR="00A80B77" w:rsidRPr="00A91094" w:rsidRDefault="00EA0BE8" w:rsidP="00DD0B1E">
      <w:pPr>
        <w:pStyle w:val="Heading2"/>
        <w:keepNext w:val="0"/>
        <w:spacing w:after="120"/>
        <w:rPr>
          <w:lang w:val="es-419"/>
        </w:rPr>
      </w:pPr>
      <w:r w:rsidRPr="00A91094">
        <w:rPr>
          <w:lang w:val="es-419"/>
        </w:rPr>
        <w:t>INTERCAMBIO DE DATOS DE PI</w:t>
      </w:r>
    </w:p>
    <w:p w:rsidR="00A80B77" w:rsidRPr="00A91094" w:rsidRDefault="00EA0BE8" w:rsidP="00495B4E">
      <w:pPr>
        <w:pStyle w:val="ONUMFS"/>
        <w:rPr>
          <w:lang w:val="es-419" w:eastAsia="en-US"/>
        </w:rPr>
      </w:pPr>
      <w:r w:rsidRPr="00A91094">
        <w:rPr>
          <w:lang w:val="es-419" w:eastAsia="en-US"/>
        </w:rPr>
        <w:t xml:space="preserve">La Oficina Internacional ha estado colaborando con numerosas </w:t>
      </w:r>
      <w:r w:rsidR="00063B20" w:rsidRPr="00A91094">
        <w:rPr>
          <w:lang w:val="es-419" w:eastAsia="en-US"/>
        </w:rPr>
        <w:t>O</w:t>
      </w:r>
      <w:r w:rsidRPr="00A91094">
        <w:rPr>
          <w:lang w:val="es-419" w:eastAsia="en-US"/>
        </w:rPr>
        <w:t xml:space="preserve">PI, en particular, en determinados grupos de países en desarrollo, para promover el intercambio de datos de PI a fin de ofrecer a los usuarios de esos países un mayor acceso a la información de PI procedente de esas oficinas. El intercambio de datos de patentes se llevó a cabo con arreglo a las normas técnicas de la OMPI pertinentes. </w:t>
      </w:r>
      <w:r w:rsidR="00A80B77" w:rsidRPr="00A91094">
        <w:rPr>
          <w:lang w:val="es-419" w:eastAsia="en-US"/>
        </w:rPr>
        <w:t>En 20</w:t>
      </w:r>
      <w:r w:rsidR="00495B4E">
        <w:rPr>
          <w:lang w:val="es-419" w:eastAsia="en-US"/>
        </w:rPr>
        <w:t>20</w:t>
      </w:r>
      <w:r w:rsidRPr="00A91094">
        <w:rPr>
          <w:lang w:val="es-419" w:eastAsia="en-US"/>
        </w:rPr>
        <w:t xml:space="preserve"> se integraron en la Base Mundial de Datos sobre Marcas las colecciones de marcas de los siguientes países</w:t>
      </w:r>
      <w:r w:rsidR="00A80B77" w:rsidRPr="00A91094">
        <w:rPr>
          <w:lang w:val="es-419" w:eastAsia="en-US"/>
        </w:rPr>
        <w:t>, por orden cronológico</w:t>
      </w:r>
      <w:r w:rsidRPr="00A91094">
        <w:rPr>
          <w:lang w:val="es-419" w:eastAsia="en-US"/>
        </w:rPr>
        <w:t xml:space="preserve">: </w:t>
      </w:r>
      <w:r w:rsidR="00495B4E">
        <w:rPr>
          <w:color w:val="000000"/>
          <w:lang w:eastAsia="en-US"/>
        </w:rPr>
        <w:t>Bhután, Kazaj</w:t>
      </w:r>
      <w:r w:rsidR="006A7F89">
        <w:rPr>
          <w:color w:val="000000"/>
          <w:lang w:eastAsia="en-US"/>
        </w:rPr>
        <w:t>stá</w:t>
      </w:r>
      <w:r w:rsidR="00495B4E">
        <w:rPr>
          <w:color w:val="000000"/>
          <w:lang w:eastAsia="en-US"/>
        </w:rPr>
        <w:t>n, Serbia, Ucrania, Albania, San Marino e India</w:t>
      </w:r>
      <w:r w:rsidR="00F347E4" w:rsidRPr="00A91094">
        <w:rPr>
          <w:lang w:val="es-419" w:eastAsia="en-US"/>
        </w:rPr>
        <w:t>; además</w:t>
      </w:r>
      <w:r w:rsidRPr="00A91094">
        <w:rPr>
          <w:lang w:val="es-419" w:eastAsia="en-US"/>
        </w:rPr>
        <w:t xml:space="preserve">, </w:t>
      </w:r>
      <w:r w:rsidR="00A80B77" w:rsidRPr="00A91094">
        <w:rPr>
          <w:lang w:val="es-419" w:eastAsia="en-US"/>
        </w:rPr>
        <w:t>en 20</w:t>
      </w:r>
      <w:r w:rsidR="00495B4E">
        <w:rPr>
          <w:lang w:val="es-419" w:eastAsia="en-US"/>
        </w:rPr>
        <w:t>20</w:t>
      </w:r>
      <w:r w:rsidR="00A80B77" w:rsidRPr="00A91094">
        <w:rPr>
          <w:lang w:val="es-419" w:eastAsia="en-US"/>
        </w:rPr>
        <w:t xml:space="preserve"> se integraron </w:t>
      </w:r>
      <w:r w:rsidR="00851679" w:rsidRPr="00A91094">
        <w:rPr>
          <w:lang w:val="es-419" w:eastAsia="en-US"/>
        </w:rPr>
        <w:t xml:space="preserve">en </w:t>
      </w:r>
      <w:r w:rsidR="00851679" w:rsidRPr="00A91094">
        <w:rPr>
          <w:lang w:val="es-419" w:eastAsia="en-US"/>
        </w:rPr>
        <w:lastRenderedPageBreak/>
        <w:t>PATENTSCOPE</w:t>
      </w:r>
      <w:r w:rsidRPr="00A91094">
        <w:rPr>
          <w:lang w:val="es-419" w:eastAsia="en-US"/>
        </w:rPr>
        <w:t xml:space="preserve"> las colecciones de patentes de los siguientes países: </w:t>
      </w:r>
      <w:r w:rsidR="00495B4E" w:rsidRPr="00495B4E">
        <w:rPr>
          <w:lang w:val="es-419" w:eastAsia="en-US"/>
        </w:rPr>
        <w:t>la antigua Checoslovaquia</w:t>
      </w:r>
      <w:r w:rsidR="00495B4E">
        <w:rPr>
          <w:lang w:val="es-419" w:eastAsia="en-US"/>
        </w:rPr>
        <w:t>, Eslovaquia, Países Bajos, República Checa, Serbia y</w:t>
      </w:r>
      <w:r w:rsidR="00495B4E" w:rsidRPr="00495B4E">
        <w:rPr>
          <w:lang w:val="es-419" w:eastAsia="en-US"/>
        </w:rPr>
        <w:t xml:space="preserve"> S</w:t>
      </w:r>
      <w:r w:rsidR="00495B4E">
        <w:rPr>
          <w:lang w:val="es-419" w:eastAsia="en-US"/>
        </w:rPr>
        <w:t>uecia</w:t>
      </w:r>
      <w:r w:rsidR="00495B4E" w:rsidRPr="00495B4E">
        <w:rPr>
          <w:lang w:val="es-419" w:eastAsia="en-US"/>
        </w:rPr>
        <w:t>.</w:t>
      </w:r>
      <w:r w:rsidRPr="00A91094">
        <w:rPr>
          <w:lang w:val="es-419" w:eastAsia="en-US"/>
        </w:rPr>
        <w:t xml:space="preserve"> También se integraron </w:t>
      </w:r>
      <w:r w:rsidR="00A80B77" w:rsidRPr="00A91094">
        <w:rPr>
          <w:lang w:val="es-419" w:eastAsia="en-US"/>
        </w:rPr>
        <w:t>en 20</w:t>
      </w:r>
      <w:r w:rsidR="00672700">
        <w:rPr>
          <w:lang w:val="es-419" w:eastAsia="en-US"/>
        </w:rPr>
        <w:t>20</w:t>
      </w:r>
      <w:r w:rsidR="00A80B77" w:rsidRPr="00A91094">
        <w:rPr>
          <w:lang w:val="es-419" w:eastAsia="en-US"/>
        </w:rPr>
        <w:t xml:space="preserve"> </w:t>
      </w:r>
      <w:r w:rsidR="00851679" w:rsidRPr="00A91094">
        <w:rPr>
          <w:lang w:val="es-419" w:eastAsia="en-US"/>
        </w:rPr>
        <w:t xml:space="preserve">en la Base Mundial de Datos sobre Dibujos y Modelos de la OMPI </w:t>
      </w:r>
      <w:r w:rsidRPr="00A91094">
        <w:rPr>
          <w:lang w:val="es-419" w:eastAsia="en-US"/>
        </w:rPr>
        <w:t xml:space="preserve">las colecciones de dibujos y modelos industriales de </w:t>
      </w:r>
      <w:r w:rsidR="00672700">
        <w:rPr>
          <w:lang w:eastAsia="en-US"/>
        </w:rPr>
        <w:t>la República de Corea, Albania, Ucrania, Tailandia, Suiza e India</w:t>
      </w:r>
      <w:r w:rsidRPr="00A91094">
        <w:rPr>
          <w:lang w:val="es-419" w:eastAsia="en-US"/>
        </w:rPr>
        <w:t>.</w:t>
      </w:r>
    </w:p>
    <w:p w:rsidR="00A80B77" w:rsidRPr="000119B2" w:rsidRDefault="00EA0BE8" w:rsidP="00DD0B1E">
      <w:pPr>
        <w:pStyle w:val="ONUMFS"/>
        <w:spacing w:after="600"/>
        <w:ind w:left="5528"/>
        <w:rPr>
          <w:i/>
          <w:lang w:val="es-419" w:eastAsia="en-US"/>
        </w:rPr>
      </w:pPr>
      <w:r w:rsidRPr="000119B2">
        <w:rPr>
          <w:i/>
          <w:lang w:val="es-419" w:eastAsia="en-US"/>
        </w:rPr>
        <w:t>Se invita al CWS a tomar nota de las actividades realizadas en 20</w:t>
      </w:r>
      <w:r w:rsidR="006F088E">
        <w:rPr>
          <w:i/>
          <w:lang w:val="es-419" w:eastAsia="en-US"/>
        </w:rPr>
        <w:t>20</w:t>
      </w:r>
      <w:r w:rsidRPr="000119B2">
        <w:rPr>
          <w:i/>
          <w:lang w:val="es-419" w:eastAsia="en-US"/>
        </w:rPr>
        <w:t xml:space="preserve"> por la Oficina Internacional relativas al suministro de asistencia y asesoramiento técnico para fomentar la capacidad de las </w:t>
      </w:r>
      <w:r w:rsidR="00063B20" w:rsidRPr="000119B2">
        <w:rPr>
          <w:i/>
          <w:lang w:val="es-419" w:eastAsia="en-US"/>
        </w:rPr>
        <w:t>OPI</w:t>
      </w:r>
      <w:r w:rsidRPr="000119B2">
        <w:rPr>
          <w:i/>
          <w:lang w:val="es-419" w:eastAsia="en-US"/>
        </w:rPr>
        <w:t xml:space="preserve">, en relación con la difusión de información sobre normas técnicas de propiedad industrial. El presente documento servirá de base para el informe pertinente que se presentará a la Asamblea General de la OMPI </w:t>
      </w:r>
      <w:r w:rsidR="001E60C8">
        <w:rPr>
          <w:i/>
          <w:lang w:val="es-419" w:eastAsia="en-US"/>
        </w:rPr>
        <w:t>que se celebrará en</w:t>
      </w:r>
      <w:r w:rsidRPr="000119B2">
        <w:rPr>
          <w:i/>
          <w:lang w:val="es-419" w:eastAsia="en-US"/>
        </w:rPr>
        <w:t xml:space="preserve"> 20</w:t>
      </w:r>
      <w:r w:rsidR="00AA1635" w:rsidRPr="000119B2">
        <w:rPr>
          <w:i/>
          <w:lang w:val="es-419" w:eastAsia="en-US"/>
        </w:rPr>
        <w:t>2</w:t>
      </w:r>
      <w:r w:rsidR="006F088E">
        <w:rPr>
          <w:i/>
          <w:lang w:val="es-419" w:eastAsia="en-US"/>
        </w:rPr>
        <w:t>2</w:t>
      </w:r>
      <w:r w:rsidRPr="000119B2">
        <w:rPr>
          <w:i/>
          <w:lang w:val="es-419" w:eastAsia="en-US"/>
        </w:rPr>
        <w:t>, según lo solicitado en su cuadragésimo período de sesiones</w:t>
      </w:r>
      <w:r w:rsidR="008944D8">
        <w:rPr>
          <w:i/>
          <w:lang w:val="es-419" w:eastAsia="en-US"/>
        </w:rPr>
        <w:t>,</w:t>
      </w:r>
      <w:r w:rsidRPr="000119B2">
        <w:rPr>
          <w:i/>
          <w:lang w:val="es-419" w:eastAsia="en-US"/>
        </w:rPr>
        <w:t xml:space="preserve"> celebrado en </w:t>
      </w:r>
      <w:r w:rsidR="00DD0B1E">
        <w:rPr>
          <w:i/>
          <w:lang w:val="es-419" w:eastAsia="en-US"/>
        </w:rPr>
        <w:t>octubre de </w:t>
      </w:r>
      <w:r w:rsidRPr="000119B2">
        <w:rPr>
          <w:i/>
          <w:lang w:val="es-419" w:eastAsia="en-US"/>
        </w:rPr>
        <w:t>2011 (véase el párrafo 190 del documento WO/GA/40/19).</w:t>
      </w:r>
    </w:p>
    <w:p w:rsidR="005A355C" w:rsidRPr="00A91094" w:rsidRDefault="00EA0BE8" w:rsidP="00DD0B1E">
      <w:pPr>
        <w:pStyle w:val="Endofdocument"/>
        <w:ind w:left="5528"/>
        <w:rPr>
          <w:lang w:val="es-419"/>
        </w:rPr>
      </w:pPr>
      <w:r w:rsidRPr="00A91094">
        <w:rPr>
          <w:lang w:val="es-419"/>
        </w:rPr>
        <w:t>[Fin del documento]</w:t>
      </w:r>
    </w:p>
    <w:sectPr w:rsidR="005A355C" w:rsidRPr="00A91094" w:rsidSect="005A355C">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81C" w:rsidRDefault="00D0081C">
      <w:r>
        <w:separator/>
      </w:r>
    </w:p>
  </w:endnote>
  <w:endnote w:type="continuationSeparator" w:id="0">
    <w:p w:rsidR="00D0081C" w:rsidRPr="009D30E6" w:rsidRDefault="00D0081C" w:rsidP="007E663E">
      <w:pPr>
        <w:rPr>
          <w:sz w:val="17"/>
          <w:szCs w:val="17"/>
        </w:rPr>
      </w:pPr>
      <w:r w:rsidRPr="009D30E6">
        <w:rPr>
          <w:sz w:val="17"/>
          <w:szCs w:val="17"/>
        </w:rPr>
        <w:separator/>
      </w:r>
    </w:p>
    <w:p w:rsidR="00D0081C" w:rsidRPr="007E663E" w:rsidRDefault="00D0081C" w:rsidP="007E663E">
      <w:pPr>
        <w:spacing w:after="60"/>
        <w:rPr>
          <w:sz w:val="17"/>
          <w:szCs w:val="17"/>
        </w:rPr>
      </w:pPr>
      <w:r>
        <w:rPr>
          <w:sz w:val="17"/>
        </w:rPr>
        <w:t>[Continuación de la nota de la página anterior]</w:t>
      </w:r>
    </w:p>
  </w:endnote>
  <w:endnote w:type="continuationNotice" w:id="1">
    <w:p w:rsidR="00D0081C" w:rsidRPr="007E663E" w:rsidRDefault="00D0081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81C" w:rsidRDefault="00D0081C">
      <w:r>
        <w:separator/>
      </w:r>
    </w:p>
  </w:footnote>
  <w:footnote w:type="continuationSeparator" w:id="0">
    <w:p w:rsidR="00D0081C" w:rsidRPr="009D30E6" w:rsidRDefault="00D0081C" w:rsidP="007E663E">
      <w:pPr>
        <w:rPr>
          <w:sz w:val="17"/>
          <w:szCs w:val="17"/>
        </w:rPr>
      </w:pPr>
      <w:r w:rsidRPr="009D30E6">
        <w:rPr>
          <w:sz w:val="17"/>
          <w:szCs w:val="17"/>
        </w:rPr>
        <w:separator/>
      </w:r>
    </w:p>
    <w:p w:rsidR="00D0081C" w:rsidRPr="007E663E" w:rsidRDefault="00D0081C" w:rsidP="007E663E">
      <w:pPr>
        <w:spacing w:after="60"/>
        <w:rPr>
          <w:sz w:val="17"/>
          <w:szCs w:val="17"/>
        </w:rPr>
      </w:pPr>
      <w:r>
        <w:rPr>
          <w:sz w:val="17"/>
        </w:rPr>
        <w:t>[Continuación de la nota de la página anterior]</w:t>
      </w:r>
    </w:p>
  </w:footnote>
  <w:footnote w:type="continuationNotice" w:id="1">
    <w:p w:rsidR="00D0081C" w:rsidRPr="007E663E" w:rsidRDefault="00D0081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5A355C" w:rsidP="00477D6B">
    <w:pPr>
      <w:jc w:val="right"/>
      <w:rPr>
        <w:caps/>
      </w:rPr>
    </w:pPr>
    <w:bookmarkStart w:id="4" w:name="Code2"/>
    <w:bookmarkEnd w:id="4"/>
    <w:r>
      <w:rPr>
        <w:caps/>
      </w:rPr>
      <w:t>CWS/</w:t>
    </w:r>
    <w:r w:rsidR="001E1A84">
      <w:rPr>
        <w:caps/>
      </w:rPr>
      <w:t>9</w:t>
    </w:r>
    <w:r>
      <w:rPr>
        <w:caps/>
      </w:rPr>
      <w:t>/22</w:t>
    </w:r>
  </w:p>
  <w:p w:rsidR="00AE7F20" w:rsidRDefault="00AE7F20" w:rsidP="00477D6B">
    <w:pPr>
      <w:jc w:val="right"/>
    </w:pPr>
    <w:r>
      <w:t xml:space="preserve">página </w:t>
    </w:r>
    <w:r>
      <w:fldChar w:fldCharType="begin"/>
    </w:r>
    <w:r>
      <w:instrText xml:space="preserve"> PAGE  \* MERGEFORMAT </w:instrText>
    </w:r>
    <w:r>
      <w:fldChar w:fldCharType="separate"/>
    </w:r>
    <w:r w:rsidR="00C3340A">
      <w:rPr>
        <w:noProof/>
      </w:rPr>
      <w:t>4</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9B1C9C"/>
    <w:multiLevelType w:val="hybridMultilevel"/>
    <w:tmpl w:val="AAA85BAA"/>
    <w:lvl w:ilvl="0" w:tplc="3D82285A">
      <w:start w:val="1"/>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C44B3B"/>
    <w:multiLevelType w:val="hybridMultilevel"/>
    <w:tmpl w:val="95A2DE32"/>
    <w:lvl w:ilvl="0" w:tplc="9064BD66">
      <w:numFmt w:val="bullet"/>
      <w:lvlText w:val="-"/>
      <w:lvlJc w:val="left"/>
      <w:pPr>
        <w:ind w:left="720" w:hanging="360"/>
      </w:pPr>
      <w:rPr>
        <w:rFonts w:ascii="Arial" w:eastAsia="SimSun"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69EB2ADC"/>
    <w:multiLevelType w:val="multilevel"/>
    <w:tmpl w:val="F326B02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70802705"/>
    <w:multiLevelType w:val="hybridMultilevel"/>
    <w:tmpl w:val="ED58E1AA"/>
    <w:lvl w:ilvl="0" w:tplc="2760F4F4">
      <w:start w:val="13"/>
      <w:numFmt w:val="decimal"/>
      <w:lvlText w:val="%1."/>
      <w:lvlJc w:val="left"/>
      <w:pPr>
        <w:ind w:left="6254" w:hanging="360"/>
      </w:pPr>
      <w:rPr>
        <w:rFonts w:hint="default"/>
      </w:rPr>
    </w:lvl>
    <w:lvl w:ilvl="1" w:tplc="0C0A0019" w:tentative="1">
      <w:start w:val="1"/>
      <w:numFmt w:val="lowerLetter"/>
      <w:lvlText w:val="%2."/>
      <w:lvlJc w:val="left"/>
      <w:pPr>
        <w:ind w:left="6974" w:hanging="360"/>
      </w:pPr>
    </w:lvl>
    <w:lvl w:ilvl="2" w:tplc="0C0A001B" w:tentative="1">
      <w:start w:val="1"/>
      <w:numFmt w:val="lowerRoman"/>
      <w:lvlText w:val="%3."/>
      <w:lvlJc w:val="right"/>
      <w:pPr>
        <w:ind w:left="7694" w:hanging="180"/>
      </w:pPr>
    </w:lvl>
    <w:lvl w:ilvl="3" w:tplc="0C0A000F" w:tentative="1">
      <w:start w:val="1"/>
      <w:numFmt w:val="decimal"/>
      <w:lvlText w:val="%4."/>
      <w:lvlJc w:val="left"/>
      <w:pPr>
        <w:ind w:left="8414" w:hanging="360"/>
      </w:pPr>
    </w:lvl>
    <w:lvl w:ilvl="4" w:tplc="0C0A0019" w:tentative="1">
      <w:start w:val="1"/>
      <w:numFmt w:val="lowerLetter"/>
      <w:lvlText w:val="%5."/>
      <w:lvlJc w:val="left"/>
      <w:pPr>
        <w:ind w:left="9134" w:hanging="360"/>
      </w:pPr>
    </w:lvl>
    <w:lvl w:ilvl="5" w:tplc="0C0A001B" w:tentative="1">
      <w:start w:val="1"/>
      <w:numFmt w:val="lowerRoman"/>
      <w:lvlText w:val="%6."/>
      <w:lvlJc w:val="right"/>
      <w:pPr>
        <w:ind w:left="9854" w:hanging="180"/>
      </w:pPr>
    </w:lvl>
    <w:lvl w:ilvl="6" w:tplc="0C0A000F" w:tentative="1">
      <w:start w:val="1"/>
      <w:numFmt w:val="decimal"/>
      <w:lvlText w:val="%7."/>
      <w:lvlJc w:val="left"/>
      <w:pPr>
        <w:ind w:left="10574" w:hanging="360"/>
      </w:pPr>
    </w:lvl>
    <w:lvl w:ilvl="7" w:tplc="0C0A0019" w:tentative="1">
      <w:start w:val="1"/>
      <w:numFmt w:val="lowerLetter"/>
      <w:lvlText w:val="%8."/>
      <w:lvlJc w:val="left"/>
      <w:pPr>
        <w:ind w:left="11294" w:hanging="360"/>
      </w:pPr>
    </w:lvl>
    <w:lvl w:ilvl="8" w:tplc="0C0A001B" w:tentative="1">
      <w:start w:val="1"/>
      <w:numFmt w:val="lowerRoman"/>
      <w:lvlText w:val="%9."/>
      <w:lvlJc w:val="right"/>
      <w:pPr>
        <w:ind w:left="12014"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1"/>
  </w:num>
  <w:num w:numId="9">
    <w:abstractNumId w:val="1"/>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Norma ST.96|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5A355C"/>
    <w:rsid w:val="000031C8"/>
    <w:rsid w:val="00010686"/>
    <w:rsid w:val="000119B2"/>
    <w:rsid w:val="00026D45"/>
    <w:rsid w:val="000402D9"/>
    <w:rsid w:val="00052915"/>
    <w:rsid w:val="00054624"/>
    <w:rsid w:val="00063B20"/>
    <w:rsid w:val="00070BE1"/>
    <w:rsid w:val="000D189E"/>
    <w:rsid w:val="000D6004"/>
    <w:rsid w:val="000E3BB3"/>
    <w:rsid w:val="000E5B6F"/>
    <w:rsid w:val="000F5E56"/>
    <w:rsid w:val="0012227B"/>
    <w:rsid w:val="00125252"/>
    <w:rsid w:val="0013471D"/>
    <w:rsid w:val="001362EE"/>
    <w:rsid w:val="00152CEA"/>
    <w:rsid w:val="001832A6"/>
    <w:rsid w:val="001D2638"/>
    <w:rsid w:val="001E1A84"/>
    <w:rsid w:val="001E60C8"/>
    <w:rsid w:val="0021215B"/>
    <w:rsid w:val="00253958"/>
    <w:rsid w:val="002634C4"/>
    <w:rsid w:val="002C2E2F"/>
    <w:rsid w:val="002D23B5"/>
    <w:rsid w:val="002E0F47"/>
    <w:rsid w:val="002F4E68"/>
    <w:rsid w:val="00310826"/>
    <w:rsid w:val="00324687"/>
    <w:rsid w:val="00347613"/>
    <w:rsid w:val="00352FC1"/>
    <w:rsid w:val="00354647"/>
    <w:rsid w:val="00364318"/>
    <w:rsid w:val="00377273"/>
    <w:rsid w:val="003845C1"/>
    <w:rsid w:val="00387287"/>
    <w:rsid w:val="003B588C"/>
    <w:rsid w:val="003D7680"/>
    <w:rsid w:val="003E48F1"/>
    <w:rsid w:val="003E611E"/>
    <w:rsid w:val="003E629B"/>
    <w:rsid w:val="003F347A"/>
    <w:rsid w:val="00413C7D"/>
    <w:rsid w:val="00423E3E"/>
    <w:rsid w:val="004242BF"/>
    <w:rsid w:val="00427AF4"/>
    <w:rsid w:val="0045231F"/>
    <w:rsid w:val="004647DA"/>
    <w:rsid w:val="0046793F"/>
    <w:rsid w:val="00472A6E"/>
    <w:rsid w:val="00477808"/>
    <w:rsid w:val="00477D6B"/>
    <w:rsid w:val="004910E0"/>
    <w:rsid w:val="00495B4E"/>
    <w:rsid w:val="00497DB0"/>
    <w:rsid w:val="004A6C37"/>
    <w:rsid w:val="004D55CA"/>
    <w:rsid w:val="004E134E"/>
    <w:rsid w:val="004E297D"/>
    <w:rsid w:val="004E5CFE"/>
    <w:rsid w:val="004F0B22"/>
    <w:rsid w:val="004F5753"/>
    <w:rsid w:val="00517376"/>
    <w:rsid w:val="005222DF"/>
    <w:rsid w:val="0052722E"/>
    <w:rsid w:val="00531B02"/>
    <w:rsid w:val="005332F0"/>
    <w:rsid w:val="0055013B"/>
    <w:rsid w:val="00560AAC"/>
    <w:rsid w:val="00571B99"/>
    <w:rsid w:val="00582713"/>
    <w:rsid w:val="005862D1"/>
    <w:rsid w:val="005976BC"/>
    <w:rsid w:val="005A2022"/>
    <w:rsid w:val="005A355C"/>
    <w:rsid w:val="005E61F1"/>
    <w:rsid w:val="00605827"/>
    <w:rsid w:val="00643FF6"/>
    <w:rsid w:val="00672700"/>
    <w:rsid w:val="00675021"/>
    <w:rsid w:val="006863B9"/>
    <w:rsid w:val="006A06C6"/>
    <w:rsid w:val="006A7F89"/>
    <w:rsid w:val="006D0943"/>
    <w:rsid w:val="006F088E"/>
    <w:rsid w:val="007224C8"/>
    <w:rsid w:val="00727BCF"/>
    <w:rsid w:val="0073096E"/>
    <w:rsid w:val="00731837"/>
    <w:rsid w:val="00774935"/>
    <w:rsid w:val="00794BE2"/>
    <w:rsid w:val="007A5581"/>
    <w:rsid w:val="007A7356"/>
    <w:rsid w:val="007A799E"/>
    <w:rsid w:val="007B4D53"/>
    <w:rsid w:val="007B71FE"/>
    <w:rsid w:val="007D781E"/>
    <w:rsid w:val="007E663E"/>
    <w:rsid w:val="00813547"/>
    <w:rsid w:val="00815082"/>
    <w:rsid w:val="00823F73"/>
    <w:rsid w:val="00851679"/>
    <w:rsid w:val="00852A32"/>
    <w:rsid w:val="0088395E"/>
    <w:rsid w:val="00887265"/>
    <w:rsid w:val="008944D8"/>
    <w:rsid w:val="008B00FF"/>
    <w:rsid w:val="008B2CC1"/>
    <w:rsid w:val="008E0D33"/>
    <w:rsid w:val="008E6BD6"/>
    <w:rsid w:val="0090731E"/>
    <w:rsid w:val="00966A22"/>
    <w:rsid w:val="00972F03"/>
    <w:rsid w:val="009805D5"/>
    <w:rsid w:val="0098367F"/>
    <w:rsid w:val="009A0C8B"/>
    <w:rsid w:val="009A20CD"/>
    <w:rsid w:val="009B3691"/>
    <w:rsid w:val="009B6241"/>
    <w:rsid w:val="009B7030"/>
    <w:rsid w:val="00A110A1"/>
    <w:rsid w:val="00A16FC0"/>
    <w:rsid w:val="00A32577"/>
    <w:rsid w:val="00A32C9E"/>
    <w:rsid w:val="00A61EF9"/>
    <w:rsid w:val="00A80B77"/>
    <w:rsid w:val="00A91094"/>
    <w:rsid w:val="00AA1635"/>
    <w:rsid w:val="00AA1E22"/>
    <w:rsid w:val="00AB47E5"/>
    <w:rsid w:val="00AB613D"/>
    <w:rsid w:val="00AB6B2B"/>
    <w:rsid w:val="00AE7F20"/>
    <w:rsid w:val="00AF7DA9"/>
    <w:rsid w:val="00B04945"/>
    <w:rsid w:val="00B534D5"/>
    <w:rsid w:val="00B65A0A"/>
    <w:rsid w:val="00B67CDC"/>
    <w:rsid w:val="00B72D36"/>
    <w:rsid w:val="00B96424"/>
    <w:rsid w:val="00BB045A"/>
    <w:rsid w:val="00BC4164"/>
    <w:rsid w:val="00BD2DCC"/>
    <w:rsid w:val="00BD5DED"/>
    <w:rsid w:val="00BF5A8E"/>
    <w:rsid w:val="00C1674E"/>
    <w:rsid w:val="00C3340A"/>
    <w:rsid w:val="00C41A64"/>
    <w:rsid w:val="00C62A01"/>
    <w:rsid w:val="00C71D87"/>
    <w:rsid w:val="00C90559"/>
    <w:rsid w:val="00CA0500"/>
    <w:rsid w:val="00CA2251"/>
    <w:rsid w:val="00CC6042"/>
    <w:rsid w:val="00CE04AA"/>
    <w:rsid w:val="00CE4260"/>
    <w:rsid w:val="00D0081C"/>
    <w:rsid w:val="00D56C7C"/>
    <w:rsid w:val="00D71B4D"/>
    <w:rsid w:val="00D90289"/>
    <w:rsid w:val="00D93D55"/>
    <w:rsid w:val="00DC3B05"/>
    <w:rsid w:val="00DC4C60"/>
    <w:rsid w:val="00DD0B1E"/>
    <w:rsid w:val="00DD6CF4"/>
    <w:rsid w:val="00DF553E"/>
    <w:rsid w:val="00E0079A"/>
    <w:rsid w:val="00E444DA"/>
    <w:rsid w:val="00E45C84"/>
    <w:rsid w:val="00E504E5"/>
    <w:rsid w:val="00E7390A"/>
    <w:rsid w:val="00E8009D"/>
    <w:rsid w:val="00EA0BE8"/>
    <w:rsid w:val="00EB0D93"/>
    <w:rsid w:val="00EB7A3E"/>
    <w:rsid w:val="00EC1AA7"/>
    <w:rsid w:val="00EC401A"/>
    <w:rsid w:val="00ED6A78"/>
    <w:rsid w:val="00EF530A"/>
    <w:rsid w:val="00EF6622"/>
    <w:rsid w:val="00EF78A9"/>
    <w:rsid w:val="00F347E4"/>
    <w:rsid w:val="00F374ED"/>
    <w:rsid w:val="00F43AE2"/>
    <w:rsid w:val="00F55408"/>
    <w:rsid w:val="00F66152"/>
    <w:rsid w:val="00F80845"/>
    <w:rsid w:val="00F82102"/>
    <w:rsid w:val="00F843EA"/>
    <w:rsid w:val="00F84474"/>
    <w:rsid w:val="00FA0F0D"/>
    <w:rsid w:val="00FD4279"/>
    <w:rsid w:val="00FD59D1"/>
    <w:rsid w:val="00FD767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48EB4C-A7D1-49F6-BAD1-607993E8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5A355C"/>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5A355C"/>
    <w:rPr>
      <w:rFonts w:ascii="Arial" w:eastAsia="SimSun" w:hAnsi="Arial" w:cs="Arial"/>
      <w:sz w:val="22"/>
      <w:lang w:val="es-ES" w:eastAsia="zh-CN"/>
    </w:rPr>
  </w:style>
  <w:style w:type="paragraph" w:customStyle="1" w:styleId="Endofdocument">
    <w:name w:val="End of document"/>
    <w:basedOn w:val="Normal"/>
    <w:rsid w:val="005A355C"/>
    <w:pPr>
      <w:ind w:left="5534"/>
    </w:pPr>
    <w:rPr>
      <w:lang w:val="en-US"/>
    </w:rPr>
  </w:style>
  <w:style w:type="character" w:styleId="Hyperlink">
    <w:name w:val="Hyperlink"/>
    <w:rsid w:val="005A355C"/>
    <w:rPr>
      <w:color w:val="0000FF"/>
      <w:u w:val="single"/>
    </w:rPr>
  </w:style>
  <w:style w:type="character" w:customStyle="1" w:styleId="ONUMEChar">
    <w:name w:val="ONUM E Char"/>
    <w:basedOn w:val="DefaultParagraphFont"/>
    <w:link w:val="ONUME"/>
    <w:rsid w:val="005A355C"/>
    <w:rPr>
      <w:rFonts w:ascii="Arial" w:eastAsia="SimSun" w:hAnsi="Arial" w:cs="Arial"/>
      <w:sz w:val="22"/>
      <w:lang w:val="es-ES" w:eastAsia="zh-CN"/>
    </w:rPr>
  </w:style>
  <w:style w:type="paragraph" w:styleId="ListParagraph">
    <w:name w:val="List Paragraph"/>
    <w:basedOn w:val="Normal"/>
    <w:uiPriority w:val="34"/>
    <w:qFormat/>
    <w:rsid w:val="005A355C"/>
    <w:pPr>
      <w:ind w:left="720"/>
      <w:contextualSpacing/>
    </w:pPr>
    <w:rPr>
      <w:lang w:val="en-US"/>
    </w:rPr>
  </w:style>
  <w:style w:type="character" w:styleId="FollowedHyperlink">
    <w:name w:val="FollowedHyperlink"/>
    <w:basedOn w:val="DefaultParagraphFont"/>
    <w:semiHidden/>
    <w:unhideWhenUsed/>
    <w:rsid w:val="00AA16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34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tad/es/index.j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ipo.int/standards/es/sequence/index.html" TargetMode="External"/><Relationship Id="rId4" Type="http://schemas.openxmlformats.org/officeDocument/2006/relationships/webSettings" Target="webSettings.xml"/><Relationship Id="rId9" Type="http://schemas.openxmlformats.org/officeDocument/2006/relationships/hyperlink" Target="https://www.wipo.int/global_ip/es/activities/ip_office_business_solutions/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8 (S)</Template>
  <TotalTime>1</TotalTime>
  <Pages>4</Pages>
  <Words>1627</Words>
  <Characters>8395</Characters>
  <Application>Microsoft Office Word</Application>
  <DocSecurity>0</DocSecurity>
  <Lines>142</Lines>
  <Paragraphs>32</Paragraphs>
  <ScaleCrop>false</ScaleCrop>
  <HeadingPairs>
    <vt:vector size="2" baseType="variant">
      <vt:variant>
        <vt:lpstr>Title</vt:lpstr>
      </vt:variant>
      <vt:variant>
        <vt:i4>1</vt:i4>
      </vt:variant>
    </vt:vector>
  </HeadingPairs>
  <TitlesOfParts>
    <vt:vector size="1" baseType="lpstr">
      <vt:lpstr>CWS/8/22</vt:lpstr>
    </vt:vector>
  </TitlesOfParts>
  <Company>WIPO</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CWS/9/22</dc:title>
  <dc:creator>WIPO</dc:creator>
  <cp:keywords>FOR OFFICIAL USE ONLY</cp:keywords>
  <cp:lastModifiedBy>CHAVAS Louison</cp:lastModifiedBy>
  <cp:revision>3</cp:revision>
  <dcterms:created xsi:type="dcterms:W3CDTF">2021-09-14T08:57:00Z</dcterms:created>
  <dcterms:modified xsi:type="dcterms:W3CDTF">2021-09-14T09:03:00Z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e9bd17be-f463-4f8e-8dad-13216d861289</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