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A047C" w:rsidRDefault="00DB0349" w:rsidP="00DB0349">
      <w:pPr>
        <w:spacing w:after="120"/>
        <w:jc w:val="right"/>
        <w:rPr>
          <w:lang w:val="fr-FR"/>
        </w:rPr>
      </w:pPr>
      <w:r w:rsidRPr="002A047C">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A047C">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0C666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2A047C" w:rsidRDefault="00197881" w:rsidP="00DB0349">
      <w:pPr>
        <w:jc w:val="right"/>
        <w:rPr>
          <w:rFonts w:ascii="Arial Black" w:hAnsi="Arial Black"/>
          <w:caps/>
          <w:sz w:val="15"/>
          <w:szCs w:val="15"/>
          <w:lang w:val="fr-FR"/>
        </w:rPr>
      </w:pPr>
      <w:r w:rsidRPr="002A047C">
        <w:rPr>
          <w:rFonts w:ascii="Arial Black" w:hAnsi="Arial Black"/>
          <w:caps/>
          <w:sz w:val="15"/>
          <w:szCs w:val="15"/>
          <w:lang w:val="fr-FR"/>
        </w:rPr>
        <w:t>CWS/10/</w:t>
      </w:r>
      <w:bookmarkStart w:id="0" w:name="Code"/>
      <w:bookmarkEnd w:id="0"/>
      <w:r w:rsidR="00E05958" w:rsidRPr="002A047C">
        <w:rPr>
          <w:rFonts w:ascii="Arial Black" w:hAnsi="Arial Black"/>
          <w:caps/>
          <w:sz w:val="15"/>
          <w:szCs w:val="15"/>
          <w:lang w:val="fr-FR"/>
        </w:rPr>
        <w:t>11</w:t>
      </w:r>
    </w:p>
    <w:p w:rsidR="008B2CC1" w:rsidRPr="002A047C" w:rsidRDefault="00DB0349" w:rsidP="00DB0349">
      <w:pPr>
        <w:jc w:val="right"/>
        <w:rPr>
          <w:rFonts w:ascii="Arial Black" w:hAnsi="Arial Black"/>
          <w:caps/>
          <w:sz w:val="15"/>
          <w:szCs w:val="15"/>
          <w:lang w:val="fr-FR"/>
        </w:rPr>
      </w:pPr>
      <w:r w:rsidRPr="002A047C">
        <w:rPr>
          <w:rFonts w:ascii="Arial Black" w:hAnsi="Arial Black"/>
          <w:caps/>
          <w:sz w:val="15"/>
          <w:szCs w:val="15"/>
          <w:lang w:val="fr-FR"/>
        </w:rPr>
        <w:t>Original</w:t>
      </w:r>
      <w:r w:rsidR="009B32FE" w:rsidRPr="002A047C">
        <w:rPr>
          <w:rFonts w:ascii="Arial Black" w:hAnsi="Arial Black"/>
          <w:caps/>
          <w:sz w:val="15"/>
          <w:szCs w:val="15"/>
          <w:lang w:val="fr-FR"/>
        </w:rPr>
        <w:t> :</w:t>
      </w:r>
      <w:r w:rsidRPr="002A047C">
        <w:rPr>
          <w:rFonts w:ascii="Arial Black" w:hAnsi="Arial Black"/>
          <w:caps/>
          <w:sz w:val="15"/>
          <w:szCs w:val="15"/>
          <w:lang w:val="fr-FR"/>
        </w:rPr>
        <w:t xml:space="preserve"> </w:t>
      </w:r>
      <w:bookmarkStart w:id="1" w:name="Original"/>
      <w:r w:rsidR="00E05958" w:rsidRPr="002A047C">
        <w:rPr>
          <w:rFonts w:ascii="Arial Black" w:hAnsi="Arial Black"/>
          <w:caps/>
          <w:sz w:val="15"/>
          <w:szCs w:val="15"/>
          <w:lang w:val="fr-FR"/>
        </w:rPr>
        <w:t>anglais</w:t>
      </w:r>
    </w:p>
    <w:bookmarkEnd w:id="1"/>
    <w:p w:rsidR="008B2CC1" w:rsidRPr="002A047C" w:rsidRDefault="00DB0349" w:rsidP="00DB0349">
      <w:pPr>
        <w:spacing w:after="1200"/>
        <w:jc w:val="right"/>
        <w:rPr>
          <w:rFonts w:ascii="Arial Black" w:hAnsi="Arial Black"/>
          <w:b/>
          <w:caps/>
          <w:sz w:val="15"/>
          <w:szCs w:val="15"/>
          <w:lang w:val="fr-FR"/>
        </w:rPr>
      </w:pPr>
      <w:r w:rsidRPr="002A047C">
        <w:rPr>
          <w:rFonts w:ascii="Arial Black" w:hAnsi="Arial Black"/>
          <w:caps/>
          <w:sz w:val="15"/>
          <w:szCs w:val="15"/>
          <w:lang w:val="fr-FR"/>
        </w:rPr>
        <w:t>date</w:t>
      </w:r>
      <w:r w:rsidR="009B32FE" w:rsidRPr="002A047C">
        <w:rPr>
          <w:rFonts w:ascii="Arial Black" w:hAnsi="Arial Black"/>
          <w:caps/>
          <w:sz w:val="15"/>
          <w:szCs w:val="15"/>
          <w:lang w:val="fr-FR"/>
        </w:rPr>
        <w:t> :</w:t>
      </w:r>
      <w:r w:rsidRPr="002A047C">
        <w:rPr>
          <w:rFonts w:ascii="Arial Black" w:hAnsi="Arial Black"/>
          <w:caps/>
          <w:sz w:val="15"/>
          <w:szCs w:val="15"/>
          <w:lang w:val="fr-FR"/>
        </w:rPr>
        <w:t xml:space="preserve"> </w:t>
      </w:r>
      <w:bookmarkStart w:id="2" w:name="Date"/>
      <w:r w:rsidR="00E05958" w:rsidRPr="002A047C">
        <w:rPr>
          <w:rFonts w:ascii="Arial Black" w:hAnsi="Arial Black"/>
          <w:caps/>
          <w:sz w:val="15"/>
          <w:szCs w:val="15"/>
          <w:lang w:val="fr-FR"/>
        </w:rPr>
        <w:t>13 septembre 2022</w:t>
      </w:r>
    </w:p>
    <w:bookmarkEnd w:id="2"/>
    <w:p w:rsidR="00C40E15" w:rsidRPr="002A047C" w:rsidRDefault="00197881" w:rsidP="00DB0349">
      <w:pPr>
        <w:spacing w:after="600"/>
        <w:rPr>
          <w:b/>
          <w:sz w:val="28"/>
          <w:szCs w:val="28"/>
          <w:lang w:val="fr-FR"/>
        </w:rPr>
      </w:pPr>
      <w:r w:rsidRPr="002A047C">
        <w:rPr>
          <w:b/>
          <w:sz w:val="28"/>
          <w:szCs w:val="28"/>
          <w:lang w:val="fr-FR"/>
        </w:rPr>
        <w:t>Comité des normes de l</w:t>
      </w:r>
      <w:r w:rsidR="009B32FE" w:rsidRPr="002A047C">
        <w:rPr>
          <w:b/>
          <w:sz w:val="28"/>
          <w:szCs w:val="28"/>
          <w:lang w:val="fr-FR"/>
        </w:rPr>
        <w:t>’</w:t>
      </w:r>
      <w:r w:rsidRPr="002A047C">
        <w:rPr>
          <w:b/>
          <w:sz w:val="28"/>
          <w:szCs w:val="28"/>
          <w:lang w:val="fr-FR"/>
        </w:rPr>
        <w:t>OMPI (CWS)</w:t>
      </w:r>
    </w:p>
    <w:p w:rsidR="008B2CC1" w:rsidRPr="002A047C" w:rsidRDefault="00197881" w:rsidP="008B2CC1">
      <w:pPr>
        <w:rPr>
          <w:b/>
          <w:sz w:val="28"/>
          <w:szCs w:val="24"/>
          <w:lang w:val="fr-FR"/>
        </w:rPr>
      </w:pPr>
      <w:r w:rsidRPr="002A047C">
        <w:rPr>
          <w:b/>
          <w:sz w:val="24"/>
          <w:lang w:val="fr-FR"/>
        </w:rPr>
        <w:t>Dix</w:t>
      </w:r>
      <w:r w:rsidR="009B32FE" w:rsidRPr="002A047C">
        <w:rPr>
          <w:b/>
          <w:sz w:val="24"/>
          <w:lang w:val="fr-FR"/>
        </w:rPr>
        <w:t>ième session</w:t>
      </w:r>
    </w:p>
    <w:p w:rsidR="008B2CC1" w:rsidRPr="002A047C" w:rsidRDefault="00197881" w:rsidP="00DB0349">
      <w:pPr>
        <w:spacing w:after="720"/>
        <w:rPr>
          <w:b/>
          <w:sz w:val="28"/>
          <w:szCs w:val="24"/>
          <w:lang w:val="fr-FR"/>
        </w:rPr>
      </w:pPr>
      <w:r w:rsidRPr="002A047C">
        <w:rPr>
          <w:b/>
          <w:sz w:val="24"/>
          <w:lang w:val="fr-FR"/>
        </w:rPr>
        <w:t>Genève, 21</w:t>
      </w:r>
      <w:r w:rsidR="008236DE" w:rsidRPr="002A047C">
        <w:rPr>
          <w:b/>
          <w:sz w:val="24"/>
          <w:lang w:val="fr-FR"/>
        </w:rPr>
        <w:t xml:space="preserve"> </w:t>
      </w:r>
      <w:r w:rsidRPr="002A047C">
        <w:rPr>
          <w:b/>
          <w:sz w:val="24"/>
          <w:lang w:val="fr-FR"/>
        </w:rPr>
        <w:t>– 2</w:t>
      </w:r>
      <w:r w:rsidR="009B32FE" w:rsidRPr="002A047C">
        <w:rPr>
          <w:b/>
          <w:sz w:val="24"/>
          <w:lang w:val="fr-FR"/>
        </w:rPr>
        <w:t>5 novembre 20</w:t>
      </w:r>
      <w:r w:rsidRPr="002A047C">
        <w:rPr>
          <w:b/>
          <w:sz w:val="24"/>
          <w:lang w:val="fr-FR"/>
        </w:rPr>
        <w:t>22</w:t>
      </w:r>
    </w:p>
    <w:p w:rsidR="008B2CC1" w:rsidRPr="002A047C" w:rsidRDefault="00E05958" w:rsidP="00DB0349">
      <w:pPr>
        <w:spacing w:after="360"/>
        <w:rPr>
          <w:caps/>
          <w:sz w:val="24"/>
          <w:lang w:val="fr-FR"/>
        </w:rPr>
      </w:pPr>
      <w:bookmarkStart w:id="3" w:name="TitleOfDoc"/>
      <w:r w:rsidRPr="002A047C">
        <w:rPr>
          <w:caps/>
          <w:sz w:val="24"/>
          <w:lang w:val="fr-FR"/>
        </w:rPr>
        <w:t>Rapport de l</w:t>
      </w:r>
      <w:r w:rsidR="009B32FE" w:rsidRPr="002A047C">
        <w:rPr>
          <w:caps/>
          <w:sz w:val="24"/>
          <w:lang w:val="fr-FR"/>
        </w:rPr>
        <w:t>’</w:t>
      </w:r>
      <w:r w:rsidRPr="002A047C">
        <w:rPr>
          <w:caps/>
          <w:sz w:val="24"/>
          <w:lang w:val="fr-FR"/>
        </w:rPr>
        <w:t>Équipe d</w:t>
      </w:r>
      <w:r w:rsidR="009B32FE" w:rsidRPr="002A047C">
        <w:rPr>
          <w:caps/>
          <w:sz w:val="24"/>
          <w:lang w:val="fr-FR"/>
        </w:rPr>
        <w:t>’</w:t>
      </w:r>
      <w:r w:rsidRPr="002A047C">
        <w:rPr>
          <w:caps/>
          <w:sz w:val="24"/>
          <w:lang w:val="fr-FR"/>
        </w:rPr>
        <w:t>experts chargée de la situation juridique</w:t>
      </w:r>
    </w:p>
    <w:p w:rsidR="00525B63" w:rsidRPr="002A047C" w:rsidRDefault="00E05958" w:rsidP="00DB0349">
      <w:pPr>
        <w:spacing w:after="960"/>
        <w:rPr>
          <w:i/>
          <w:lang w:val="fr-FR"/>
        </w:rPr>
      </w:pPr>
      <w:bookmarkStart w:id="4" w:name="Prepared"/>
      <w:bookmarkEnd w:id="3"/>
      <w:r w:rsidRPr="002A047C">
        <w:rPr>
          <w:i/>
          <w:lang w:val="fr-FR"/>
        </w:rPr>
        <w:t>Document établi par le responsable de l</w:t>
      </w:r>
      <w:r w:rsidR="009B32FE" w:rsidRPr="002A047C">
        <w:rPr>
          <w:i/>
          <w:lang w:val="fr-FR"/>
        </w:rPr>
        <w:t>’</w:t>
      </w:r>
      <w:r w:rsidRPr="002A047C">
        <w:rPr>
          <w:i/>
          <w:lang w:val="fr-FR"/>
        </w:rPr>
        <w:t>Équipe d</w:t>
      </w:r>
      <w:r w:rsidR="009B32FE" w:rsidRPr="002A047C">
        <w:rPr>
          <w:i/>
          <w:lang w:val="fr-FR"/>
        </w:rPr>
        <w:t>’</w:t>
      </w:r>
      <w:r w:rsidRPr="002A047C">
        <w:rPr>
          <w:i/>
          <w:lang w:val="fr-FR"/>
        </w:rPr>
        <w:t>experts chargée de la situation juridique</w:t>
      </w:r>
    </w:p>
    <w:bookmarkEnd w:id="4"/>
    <w:p w:rsidR="00E05958" w:rsidRPr="002A047C" w:rsidRDefault="000B0082" w:rsidP="000B0082">
      <w:pPr>
        <w:pStyle w:val="Heading2"/>
        <w:rPr>
          <w:rFonts w:eastAsia="Malgun Gothic"/>
          <w:szCs w:val="22"/>
          <w:lang w:val="fr-FR"/>
        </w:rPr>
      </w:pPr>
      <w:r w:rsidRPr="002A047C">
        <w:rPr>
          <w:lang w:val="fr-FR"/>
        </w:rPr>
        <w:t>Contexte</w:t>
      </w:r>
    </w:p>
    <w:p w:rsidR="00E05958" w:rsidRPr="002A047C" w:rsidRDefault="00E05958" w:rsidP="000B0082">
      <w:pPr>
        <w:pStyle w:val="ONUMFS"/>
        <w:rPr>
          <w:lang w:val="fr-FR"/>
        </w:rPr>
      </w:pPr>
      <w:r w:rsidRPr="002A047C">
        <w:rPr>
          <w:lang w:val="fr-FR"/>
        </w:rPr>
        <w:t>À sa neuv</w:t>
      </w:r>
      <w:r w:rsidR="009B32FE" w:rsidRPr="002A047C">
        <w:rPr>
          <w:lang w:val="fr-FR"/>
        </w:rPr>
        <w:t>ième session</w:t>
      </w:r>
      <w:r w:rsidRPr="002A047C">
        <w:rPr>
          <w:lang w:val="fr-FR"/>
        </w:rPr>
        <w:t xml:space="preserve">, tenue </w:t>
      </w:r>
      <w:r w:rsidR="009B32FE" w:rsidRPr="002A047C">
        <w:rPr>
          <w:lang w:val="fr-FR"/>
        </w:rPr>
        <w:t>en 2021</w:t>
      </w:r>
      <w:r w:rsidRPr="002A047C">
        <w:rPr>
          <w:lang w:val="fr-FR"/>
        </w:rPr>
        <w:t>, le Comité des normes de l</w:t>
      </w:r>
      <w:r w:rsidR="009B32FE" w:rsidRPr="002A047C">
        <w:rPr>
          <w:lang w:val="fr-FR"/>
        </w:rPr>
        <w:t>’</w:t>
      </w:r>
      <w:r w:rsidRPr="002A047C">
        <w:rPr>
          <w:lang w:val="fr-FR"/>
        </w:rPr>
        <w:t>OMPI (CWS) a pris note des avancées réalisées par l</w:t>
      </w:r>
      <w:r w:rsidR="009B32FE" w:rsidRPr="002A047C">
        <w:rPr>
          <w:lang w:val="fr-FR"/>
        </w:rPr>
        <w:t>’</w:t>
      </w:r>
      <w:r w:rsidRPr="002A047C">
        <w:rPr>
          <w:lang w:val="fr-FR"/>
        </w:rPr>
        <w:t>Équipe d</w:t>
      </w:r>
      <w:r w:rsidR="009B32FE" w:rsidRPr="002A047C">
        <w:rPr>
          <w:lang w:val="fr-FR"/>
        </w:rPr>
        <w:t>’</w:t>
      </w:r>
      <w:r w:rsidRPr="002A047C">
        <w:rPr>
          <w:lang w:val="fr-FR"/>
        </w:rPr>
        <w:t>experts chargée de la situation juridique concernant l</w:t>
      </w:r>
      <w:r w:rsidR="009B32FE" w:rsidRPr="002A047C">
        <w:rPr>
          <w:lang w:val="fr-FR"/>
        </w:rPr>
        <w:t>’</w:t>
      </w:r>
      <w:r w:rsidRPr="002A047C">
        <w:rPr>
          <w:lang w:val="fr-FR"/>
        </w:rPr>
        <w:t>examen d</w:t>
      </w:r>
      <w:r w:rsidR="009B32FE" w:rsidRPr="002A047C">
        <w:rPr>
          <w:lang w:val="fr-FR"/>
        </w:rPr>
        <w:t>’</w:t>
      </w:r>
      <w:r w:rsidRPr="002A047C">
        <w:rPr>
          <w:lang w:val="fr-FR"/>
        </w:rPr>
        <w:t>une fusion éventuelle des normes</w:t>
      </w:r>
      <w:r w:rsidR="00782203" w:rsidRPr="002A047C">
        <w:rPr>
          <w:lang w:val="fr-FR"/>
        </w:rPr>
        <w:t> </w:t>
      </w:r>
      <w:r w:rsidRPr="002A047C">
        <w:rPr>
          <w:lang w:val="fr-FR"/>
        </w:rPr>
        <w:t>ST.27, ST.87 et ST.61 de l</w:t>
      </w:r>
      <w:r w:rsidR="009B32FE" w:rsidRPr="002A047C">
        <w:rPr>
          <w:lang w:val="fr-FR"/>
        </w:rPr>
        <w:t>’</w:t>
      </w:r>
      <w:r w:rsidRPr="002A047C">
        <w:rPr>
          <w:lang w:val="fr-FR"/>
        </w:rPr>
        <w:t>OMPI relatives à la situation juridiq</w:t>
      </w:r>
      <w:r w:rsidR="002A047C" w:rsidRPr="002A047C">
        <w:rPr>
          <w:lang w:val="fr-FR"/>
        </w:rPr>
        <w:t>ue.  L’é</w:t>
      </w:r>
      <w:r w:rsidRPr="002A047C">
        <w:rPr>
          <w:lang w:val="fr-FR"/>
        </w:rPr>
        <w:t>quipe d</w:t>
      </w:r>
      <w:r w:rsidR="009B32FE" w:rsidRPr="002A047C">
        <w:rPr>
          <w:lang w:val="fr-FR"/>
        </w:rPr>
        <w:t>’</w:t>
      </w:r>
      <w:r w:rsidRPr="002A047C">
        <w:rPr>
          <w:lang w:val="fr-FR"/>
        </w:rPr>
        <w:t>experts n</w:t>
      </w:r>
      <w:r w:rsidR="009B32FE" w:rsidRPr="002A047C">
        <w:rPr>
          <w:lang w:val="fr-FR"/>
        </w:rPr>
        <w:t>’</w:t>
      </w:r>
      <w:r w:rsidRPr="002A047C">
        <w:rPr>
          <w:lang w:val="fr-FR"/>
        </w:rPr>
        <w:t>ayant pas été en mesure de s</w:t>
      </w:r>
      <w:r w:rsidR="009B32FE" w:rsidRPr="002A047C">
        <w:rPr>
          <w:lang w:val="fr-FR"/>
        </w:rPr>
        <w:t>’</w:t>
      </w:r>
      <w:r w:rsidRPr="002A047C">
        <w:rPr>
          <w:lang w:val="fr-FR"/>
        </w:rPr>
        <w:t>entendre sur la façon de procéder quant à cette fusion, le comité a prié l</w:t>
      </w:r>
      <w:r w:rsidR="009B32FE" w:rsidRPr="002A047C">
        <w:rPr>
          <w:lang w:val="fr-FR"/>
        </w:rPr>
        <w:t>’</w:t>
      </w:r>
      <w:r w:rsidRPr="002A047C">
        <w:rPr>
          <w:lang w:val="fr-FR"/>
        </w:rPr>
        <w:t>équipe d</w:t>
      </w:r>
      <w:r w:rsidR="009B32FE" w:rsidRPr="002A047C">
        <w:rPr>
          <w:lang w:val="fr-FR"/>
        </w:rPr>
        <w:t>’</w:t>
      </w:r>
      <w:r w:rsidRPr="002A047C">
        <w:rPr>
          <w:lang w:val="fr-FR"/>
        </w:rPr>
        <w:t>experts d</w:t>
      </w:r>
      <w:r w:rsidR="009B32FE" w:rsidRPr="002A047C">
        <w:rPr>
          <w:lang w:val="fr-FR"/>
        </w:rPr>
        <w:t>’</w:t>
      </w:r>
      <w:r w:rsidRPr="002A047C">
        <w:rPr>
          <w:lang w:val="fr-FR"/>
        </w:rPr>
        <w:t>envisager s</w:t>
      </w:r>
      <w:r w:rsidR="009B32FE" w:rsidRPr="002A047C">
        <w:rPr>
          <w:lang w:val="fr-FR"/>
        </w:rPr>
        <w:t>’</w:t>
      </w:r>
      <w:r w:rsidRPr="002A047C">
        <w:rPr>
          <w:lang w:val="fr-FR"/>
        </w:rPr>
        <w:t>il convenait de poursuivre les travaux sur ce point et de formuler une recommandation à cet égard à la dix</w:t>
      </w:r>
      <w:r w:rsidR="009B32FE" w:rsidRPr="002A047C">
        <w:rPr>
          <w:lang w:val="fr-FR"/>
        </w:rPr>
        <w:t>ième session</w:t>
      </w:r>
      <w:r w:rsidRPr="002A047C">
        <w:rPr>
          <w:lang w:val="fr-FR"/>
        </w:rPr>
        <w:t>, notamment concernant les avancées réalisées dans le cadre de la tâche n° 47, le cas échéa</w:t>
      </w:r>
      <w:r w:rsidR="002A047C" w:rsidRPr="002A047C">
        <w:rPr>
          <w:lang w:val="fr-FR"/>
        </w:rPr>
        <w:t>nt.  Le</w:t>
      </w:r>
      <w:r w:rsidR="009B32FE" w:rsidRPr="002A047C">
        <w:rPr>
          <w:lang w:val="fr-FR"/>
        </w:rPr>
        <w:t> CWS</w:t>
      </w:r>
      <w:r w:rsidRPr="002A047C">
        <w:rPr>
          <w:lang w:val="fr-FR"/>
        </w:rPr>
        <w:t xml:space="preserve"> a approuvé une révision de la norme</w:t>
      </w:r>
      <w:r w:rsidR="00782203" w:rsidRPr="002A047C">
        <w:rPr>
          <w:lang w:val="fr-FR"/>
        </w:rPr>
        <w:t> </w:t>
      </w:r>
      <w:r w:rsidRPr="002A047C">
        <w:rPr>
          <w:lang w:val="fr-FR"/>
        </w:rPr>
        <w:t>ST.27 pour ce qui concerne les indicateurs d</w:t>
      </w:r>
      <w:r w:rsidR="009B32FE" w:rsidRPr="002A047C">
        <w:rPr>
          <w:lang w:val="fr-FR"/>
        </w:rPr>
        <w:t>’</w:t>
      </w:r>
      <w:r w:rsidRPr="002A047C">
        <w:rPr>
          <w:lang w:val="fr-FR"/>
        </w:rPr>
        <w:t>événemen</w:t>
      </w:r>
      <w:r w:rsidR="002A047C" w:rsidRPr="002A047C">
        <w:rPr>
          <w:lang w:val="fr-FR"/>
        </w:rPr>
        <w:t>ts.  Il</w:t>
      </w:r>
      <w:r w:rsidRPr="002A047C">
        <w:rPr>
          <w:lang w:val="fr-FR"/>
        </w:rPr>
        <w:t xml:space="preserve"> a également approuvé la publication des tables de correspondance des offices de propriété intellectuelle pour la norme</w:t>
      </w:r>
      <w:r w:rsidR="00782203" w:rsidRPr="002A047C">
        <w:rPr>
          <w:lang w:val="fr-FR"/>
        </w:rPr>
        <w:t> </w:t>
      </w:r>
      <w:r w:rsidRPr="002A047C">
        <w:rPr>
          <w:lang w:val="fr-FR"/>
        </w:rPr>
        <w:t xml:space="preserve">ST.61 (voir les </w:t>
      </w:r>
      <w:r w:rsidR="009B32FE" w:rsidRPr="002A047C">
        <w:rPr>
          <w:lang w:val="fr-FR"/>
        </w:rPr>
        <w:t>paragraphes 4</w:t>
      </w:r>
      <w:r w:rsidRPr="002A047C">
        <w:rPr>
          <w:lang w:val="fr-FR"/>
        </w:rPr>
        <w:t>5 à 56 du document CWS/9/25).</w:t>
      </w:r>
    </w:p>
    <w:p w:rsidR="00E05958" w:rsidRPr="002A047C" w:rsidRDefault="000B0082" w:rsidP="000B0082">
      <w:pPr>
        <w:pStyle w:val="Heading2"/>
        <w:rPr>
          <w:rFonts w:eastAsia="Malgun Gothic"/>
          <w:szCs w:val="22"/>
          <w:lang w:val="fr-FR"/>
        </w:rPr>
      </w:pPr>
      <w:r w:rsidRPr="002A047C">
        <w:rPr>
          <w:lang w:val="fr-FR"/>
        </w:rPr>
        <w:t>Rapport sur les activités</w:t>
      </w:r>
    </w:p>
    <w:p w:rsidR="00E05958" w:rsidRPr="002A047C" w:rsidRDefault="00E05958" w:rsidP="000B0082">
      <w:pPr>
        <w:pStyle w:val="ONUMFS"/>
        <w:rPr>
          <w:lang w:val="fr-FR"/>
        </w:rPr>
      </w:pPr>
      <w:r w:rsidRPr="002A047C">
        <w:rPr>
          <w:lang w:val="fr-FR"/>
        </w:rPr>
        <w:t>En mars 2022, le Secrétariat a publié les tables de correspondance de la norme</w:t>
      </w:r>
      <w:r w:rsidR="00782203" w:rsidRPr="002A047C">
        <w:rPr>
          <w:lang w:val="fr-FR"/>
        </w:rPr>
        <w:t> </w:t>
      </w:r>
      <w:r w:rsidRPr="002A047C">
        <w:rPr>
          <w:lang w:val="fr-FR"/>
        </w:rPr>
        <w:t>ST.61 fournies par 11</w:t>
      </w:r>
      <w:r w:rsidR="002A047C">
        <w:rPr>
          <w:lang w:val="fr-FR"/>
        </w:rPr>
        <w:t> </w:t>
      </w:r>
      <w:r w:rsidRPr="002A047C">
        <w:rPr>
          <w:lang w:val="fr-FR"/>
        </w:rPr>
        <w:t>offices dans la partie</w:t>
      </w:r>
      <w:r w:rsidR="002A047C">
        <w:rPr>
          <w:lang w:val="fr-FR"/>
        </w:rPr>
        <w:t> </w:t>
      </w:r>
      <w:r w:rsidRPr="002A047C">
        <w:rPr>
          <w:lang w:val="fr-FR"/>
        </w:rPr>
        <w:t>7.13.3 du Manuel de l</w:t>
      </w:r>
      <w:r w:rsidR="009B32FE" w:rsidRPr="002A047C">
        <w:rPr>
          <w:lang w:val="fr-FR"/>
        </w:rPr>
        <w:t>’</w:t>
      </w:r>
      <w:r w:rsidRPr="002A047C">
        <w:rPr>
          <w:lang w:val="fr-FR"/>
        </w:rPr>
        <w:t>O</w:t>
      </w:r>
      <w:r w:rsidR="002A047C" w:rsidRPr="002A047C">
        <w:rPr>
          <w:lang w:val="fr-FR"/>
        </w:rPr>
        <w:t>MPI.  En</w:t>
      </w:r>
      <w:r w:rsidRPr="002A047C">
        <w:rPr>
          <w:lang w:val="fr-FR"/>
        </w:rPr>
        <w:t xml:space="preserve"> juillet 2022, le Secrétariat a ajouté une douzième table de correspondances fournie par l</w:t>
      </w:r>
      <w:r w:rsidR="009B32FE" w:rsidRPr="002A047C">
        <w:rPr>
          <w:lang w:val="fr-FR"/>
        </w:rPr>
        <w:t>’</w:t>
      </w:r>
      <w:r w:rsidRPr="002A047C">
        <w:rPr>
          <w:lang w:val="fr-FR"/>
        </w:rPr>
        <w:t>Office de l</w:t>
      </w:r>
      <w:r w:rsidR="009B32FE" w:rsidRPr="002A047C">
        <w:rPr>
          <w:lang w:val="fr-FR"/>
        </w:rPr>
        <w:t>’</w:t>
      </w:r>
      <w:r w:rsidRPr="002A047C">
        <w:rPr>
          <w:lang w:val="fr-FR"/>
        </w:rPr>
        <w:t>Union européenne pour la propriété intellectuelle (EUIPO).</w:t>
      </w:r>
    </w:p>
    <w:p w:rsidR="000B0082" w:rsidRPr="002A047C" w:rsidRDefault="00E05958" w:rsidP="000B0082">
      <w:pPr>
        <w:pStyle w:val="ONUMFS"/>
        <w:rPr>
          <w:lang w:val="fr-FR"/>
        </w:rPr>
      </w:pPr>
      <w:r w:rsidRPr="002A047C">
        <w:rPr>
          <w:lang w:val="fr-FR"/>
        </w:rPr>
        <w:t>Dans le cadre de l</w:t>
      </w:r>
      <w:r w:rsidR="009B32FE" w:rsidRPr="002A047C">
        <w:rPr>
          <w:lang w:val="fr-FR"/>
        </w:rPr>
        <w:t>’</w:t>
      </w:r>
      <w:r w:rsidRPr="002A047C">
        <w:rPr>
          <w:lang w:val="fr-FR"/>
        </w:rPr>
        <w:t>établissement du programme de travail de l</w:t>
      </w:r>
      <w:r w:rsidR="009B32FE" w:rsidRPr="002A047C">
        <w:rPr>
          <w:lang w:val="fr-FR"/>
        </w:rPr>
        <w:t>’</w:t>
      </w:r>
      <w:r w:rsidRPr="002A047C">
        <w:rPr>
          <w:lang w:val="fr-FR"/>
        </w:rPr>
        <w:t>équipe d</w:t>
      </w:r>
      <w:r w:rsidR="009B32FE" w:rsidRPr="002A047C">
        <w:rPr>
          <w:lang w:val="fr-FR"/>
        </w:rPr>
        <w:t>’</w:t>
      </w:r>
      <w:r w:rsidRPr="002A047C">
        <w:rPr>
          <w:lang w:val="fr-FR"/>
        </w:rPr>
        <w:t xml:space="preserve">experts </w:t>
      </w:r>
      <w:r w:rsidR="009B32FE" w:rsidRPr="002A047C">
        <w:rPr>
          <w:lang w:val="fr-FR"/>
        </w:rPr>
        <w:t>pour 2022</w:t>
      </w:r>
      <w:r w:rsidRPr="002A047C">
        <w:rPr>
          <w:lang w:val="fr-FR"/>
        </w:rPr>
        <w:t>, le responsable de l</w:t>
      </w:r>
      <w:r w:rsidR="009B32FE" w:rsidRPr="002A047C">
        <w:rPr>
          <w:lang w:val="fr-FR"/>
        </w:rPr>
        <w:t>’</w:t>
      </w:r>
      <w:r w:rsidRPr="002A047C">
        <w:rPr>
          <w:lang w:val="fr-FR"/>
        </w:rPr>
        <w:t>équipe d</w:t>
      </w:r>
      <w:r w:rsidR="009B32FE" w:rsidRPr="002A047C">
        <w:rPr>
          <w:lang w:val="fr-FR"/>
        </w:rPr>
        <w:t>’</w:t>
      </w:r>
      <w:r w:rsidRPr="002A047C">
        <w:rPr>
          <w:lang w:val="fr-FR"/>
        </w:rPr>
        <w:t>experts a demandé aux membres de l</w:t>
      </w:r>
      <w:r w:rsidR="009B32FE" w:rsidRPr="002A047C">
        <w:rPr>
          <w:lang w:val="fr-FR"/>
        </w:rPr>
        <w:t>’</w:t>
      </w:r>
      <w:r w:rsidRPr="002A047C">
        <w:rPr>
          <w:lang w:val="fr-FR"/>
        </w:rPr>
        <w:t>équipe quels étaient leurs projets et objectifs en termes de mise en œuv</w:t>
      </w:r>
      <w:r w:rsidR="002A047C" w:rsidRPr="002A047C">
        <w:rPr>
          <w:lang w:val="fr-FR"/>
        </w:rPr>
        <w:t>re.  Pl</w:t>
      </w:r>
      <w:r w:rsidRPr="002A047C">
        <w:rPr>
          <w:lang w:val="fr-FR"/>
        </w:rPr>
        <w:t>usieurs membres ont relevé qu</w:t>
      </w:r>
      <w:r w:rsidR="009B32FE" w:rsidRPr="002A047C">
        <w:rPr>
          <w:lang w:val="fr-FR"/>
        </w:rPr>
        <w:t>’</w:t>
      </w:r>
      <w:r w:rsidRPr="002A047C">
        <w:rPr>
          <w:lang w:val="fr-FR"/>
        </w:rPr>
        <w:t>ils avaient besoin de plus de temps pour avancer dans la mise en œuvre des normes</w:t>
      </w:r>
      <w:r w:rsidR="00782203" w:rsidRPr="002A047C">
        <w:rPr>
          <w:lang w:val="fr-FR"/>
        </w:rPr>
        <w:t> </w:t>
      </w:r>
      <w:r w:rsidRPr="002A047C">
        <w:rPr>
          <w:lang w:val="fr-FR"/>
        </w:rPr>
        <w:t>ST.27, ST.87 et ST.61 avant de poursuivre les travaux concernant les problèmes non résolus devant l</w:t>
      </w:r>
      <w:r w:rsidR="009B32FE" w:rsidRPr="002A047C">
        <w:rPr>
          <w:lang w:val="fr-FR"/>
        </w:rPr>
        <w:t>’</w:t>
      </w:r>
      <w:r w:rsidRPr="002A047C">
        <w:rPr>
          <w:lang w:val="fr-FR"/>
        </w:rPr>
        <w:t>équipe d</w:t>
      </w:r>
      <w:r w:rsidR="009B32FE" w:rsidRPr="002A047C">
        <w:rPr>
          <w:lang w:val="fr-FR"/>
        </w:rPr>
        <w:t>’</w:t>
      </w:r>
      <w:r w:rsidRPr="002A047C">
        <w:rPr>
          <w:lang w:val="fr-FR"/>
        </w:rPr>
        <w:t>exper</w:t>
      </w:r>
      <w:r w:rsidR="002A047C" w:rsidRPr="002A047C">
        <w:rPr>
          <w:lang w:val="fr-FR"/>
        </w:rPr>
        <w:t>ts.  Ce</w:t>
      </w:r>
      <w:r w:rsidRPr="002A047C">
        <w:rPr>
          <w:lang w:val="fr-FR"/>
        </w:rPr>
        <w:t>s membres ont estimé qu</w:t>
      </w:r>
      <w:r w:rsidR="009B32FE" w:rsidRPr="002A047C">
        <w:rPr>
          <w:lang w:val="fr-FR"/>
        </w:rPr>
        <w:t>’</w:t>
      </w:r>
      <w:r w:rsidRPr="002A047C">
        <w:rPr>
          <w:lang w:val="fr-FR"/>
        </w:rPr>
        <w:t xml:space="preserve">ils seraient plus aptes à envisager les </w:t>
      </w:r>
      <w:r w:rsidRPr="002A047C">
        <w:rPr>
          <w:lang w:val="fr-FR"/>
        </w:rPr>
        <w:lastRenderedPageBreak/>
        <w:t>différentes alternatives possibles devant l</w:t>
      </w:r>
      <w:r w:rsidR="009B32FE" w:rsidRPr="002A047C">
        <w:rPr>
          <w:lang w:val="fr-FR"/>
        </w:rPr>
        <w:t>’</w:t>
      </w:r>
      <w:r w:rsidRPr="002A047C">
        <w:rPr>
          <w:lang w:val="fr-FR"/>
        </w:rPr>
        <w:t>équipe d</w:t>
      </w:r>
      <w:r w:rsidR="009B32FE" w:rsidRPr="002A047C">
        <w:rPr>
          <w:lang w:val="fr-FR"/>
        </w:rPr>
        <w:t>’</w:t>
      </w:r>
      <w:r w:rsidRPr="002A047C">
        <w:rPr>
          <w:lang w:val="fr-FR"/>
        </w:rPr>
        <w:t>experts s</w:t>
      </w:r>
      <w:r w:rsidR="009B32FE" w:rsidRPr="002A047C">
        <w:rPr>
          <w:lang w:val="fr-FR"/>
        </w:rPr>
        <w:t>’</w:t>
      </w:r>
      <w:r w:rsidRPr="002A047C">
        <w:rPr>
          <w:lang w:val="fr-FR"/>
        </w:rPr>
        <w:t>ils avaient une meilleure connaissance des moyens de mise en œuvre des normes relatives à la situation juridique dans le cadre de leurs propres systèm</w:t>
      </w:r>
      <w:r w:rsidR="002A047C" w:rsidRPr="002A047C">
        <w:rPr>
          <w:lang w:val="fr-FR"/>
        </w:rPr>
        <w:t>es.  Ce</w:t>
      </w:r>
      <w:r w:rsidRPr="002A047C">
        <w:rPr>
          <w:lang w:val="fr-FR"/>
        </w:rPr>
        <w:t>la englobe les questions concernant le fait d</w:t>
      </w:r>
      <w:r w:rsidR="009B32FE" w:rsidRPr="002A047C">
        <w:rPr>
          <w:lang w:val="fr-FR"/>
        </w:rPr>
        <w:t>’</w:t>
      </w:r>
      <w:r w:rsidRPr="002A047C">
        <w:rPr>
          <w:lang w:val="fr-FR"/>
        </w:rPr>
        <w:t>ajouter ou non les indicateurs d</w:t>
      </w:r>
      <w:r w:rsidR="009B32FE" w:rsidRPr="002A047C">
        <w:rPr>
          <w:lang w:val="fr-FR"/>
        </w:rPr>
        <w:t>’</w:t>
      </w:r>
      <w:r w:rsidRPr="002A047C">
        <w:rPr>
          <w:lang w:val="fr-FR"/>
        </w:rPr>
        <w:t xml:space="preserve">événements adoptés pour la situation juridique des brevets, </w:t>
      </w:r>
      <w:r w:rsidR="009B32FE" w:rsidRPr="002A047C">
        <w:rPr>
          <w:lang w:val="fr-FR"/>
        </w:rPr>
        <w:t>à savoir</w:t>
      </w:r>
      <w:r w:rsidRPr="002A047C">
        <w:rPr>
          <w:lang w:val="fr-FR"/>
        </w:rPr>
        <w:t xml:space="preserve"> la norme</w:t>
      </w:r>
      <w:r w:rsidR="00782203" w:rsidRPr="002A047C">
        <w:rPr>
          <w:lang w:val="fr-FR"/>
        </w:rPr>
        <w:t> </w:t>
      </w:r>
      <w:r w:rsidRPr="002A047C">
        <w:rPr>
          <w:lang w:val="fr-FR"/>
        </w:rPr>
        <w:t>ST.27, aux normes relatives aux marques et aux dessins et modèles industriels, respectivement les normes</w:t>
      </w:r>
      <w:r w:rsidR="00782203" w:rsidRPr="002A047C">
        <w:rPr>
          <w:lang w:val="fr-FR"/>
        </w:rPr>
        <w:t> </w:t>
      </w:r>
      <w:r w:rsidRPr="002A047C">
        <w:rPr>
          <w:lang w:val="fr-FR"/>
        </w:rPr>
        <w:t>ST.61 et ST.87, ainsi que les propositions en suspens au sein de l</w:t>
      </w:r>
      <w:r w:rsidR="009B32FE" w:rsidRPr="002A047C">
        <w:rPr>
          <w:lang w:val="fr-FR"/>
        </w:rPr>
        <w:t>’</w:t>
      </w:r>
      <w:r w:rsidRPr="002A047C">
        <w:rPr>
          <w:lang w:val="fr-FR"/>
        </w:rPr>
        <w:t>équipe d</w:t>
      </w:r>
      <w:r w:rsidR="009B32FE" w:rsidRPr="002A047C">
        <w:rPr>
          <w:lang w:val="fr-FR"/>
        </w:rPr>
        <w:t>’</w:t>
      </w:r>
      <w:r w:rsidRPr="002A047C">
        <w:rPr>
          <w:lang w:val="fr-FR"/>
        </w:rPr>
        <w:t>experts pour ce qui concerne la révision des événements et des catégories de la norme</w:t>
      </w:r>
      <w:r w:rsidR="00782203" w:rsidRPr="002A047C">
        <w:rPr>
          <w:lang w:val="fr-FR"/>
        </w:rPr>
        <w:t> </w:t>
      </w:r>
      <w:r w:rsidRPr="002A047C">
        <w:rPr>
          <w:lang w:val="fr-FR"/>
        </w:rPr>
        <w:t>ST.27.</w:t>
      </w:r>
    </w:p>
    <w:p w:rsidR="00E05958" w:rsidRPr="002A047C" w:rsidRDefault="00E05958" w:rsidP="000B0082">
      <w:pPr>
        <w:pStyle w:val="ONUMFS"/>
        <w:rPr>
          <w:lang w:val="fr-FR"/>
        </w:rPr>
      </w:pPr>
      <w:r w:rsidRPr="002A047C">
        <w:rPr>
          <w:lang w:val="fr-FR"/>
        </w:rPr>
        <w:t>Sur la base de ces observations, le responsable de l</w:t>
      </w:r>
      <w:r w:rsidR="009B32FE" w:rsidRPr="002A047C">
        <w:rPr>
          <w:lang w:val="fr-FR"/>
        </w:rPr>
        <w:t>’</w:t>
      </w:r>
      <w:r w:rsidRPr="002A047C">
        <w:rPr>
          <w:lang w:val="fr-FR"/>
        </w:rPr>
        <w:t>équipe d</w:t>
      </w:r>
      <w:r w:rsidR="009B32FE" w:rsidRPr="002A047C">
        <w:rPr>
          <w:lang w:val="fr-FR"/>
        </w:rPr>
        <w:t>’</w:t>
      </w:r>
      <w:r w:rsidRPr="002A047C">
        <w:rPr>
          <w:lang w:val="fr-FR"/>
        </w:rPr>
        <w:t>experts a décidé de donner la priorité aux travaux portant sur l</w:t>
      </w:r>
      <w:r w:rsidR="009B32FE" w:rsidRPr="002A047C">
        <w:rPr>
          <w:lang w:val="fr-FR"/>
        </w:rPr>
        <w:t>’</w:t>
      </w:r>
      <w:r w:rsidRPr="002A047C">
        <w:rPr>
          <w:lang w:val="fr-FR"/>
        </w:rPr>
        <w:t>élaboration des documents de formation relatifs aux normes sur la situation juridique destinés à appuyer les mesures de mise en œuvre des offices de propriété intellectuel</w:t>
      </w:r>
      <w:r w:rsidR="002A047C" w:rsidRPr="002A047C">
        <w:rPr>
          <w:lang w:val="fr-FR"/>
        </w:rPr>
        <w:t>le.  Le</w:t>
      </w:r>
      <w:r w:rsidRPr="002A047C">
        <w:rPr>
          <w:lang w:val="fr-FR"/>
        </w:rPr>
        <w:t>s données d</w:t>
      </w:r>
      <w:r w:rsidR="009B32FE" w:rsidRPr="002A047C">
        <w:rPr>
          <w:lang w:val="fr-FR"/>
        </w:rPr>
        <w:t>’</w:t>
      </w:r>
      <w:r w:rsidRPr="002A047C">
        <w:rPr>
          <w:lang w:val="fr-FR"/>
        </w:rPr>
        <w:t>expérience et les observations relevées par le Secrétariat dans le cadre de ses travaux avec les offices de propriété intellectuelle concernant la mise en place de webinaires et de documents relatifs à la date effective de mise en œuvre de la norme</w:t>
      </w:r>
      <w:r w:rsidR="00782203" w:rsidRPr="002A047C">
        <w:rPr>
          <w:lang w:val="fr-FR"/>
        </w:rPr>
        <w:t> </w:t>
      </w:r>
      <w:r w:rsidRPr="002A047C">
        <w:rPr>
          <w:lang w:val="fr-FR"/>
        </w:rPr>
        <w:t>ST.26 en juillet 2022 ont été utiles pour prévoir la façon de procéder en ce qui concerne l</w:t>
      </w:r>
      <w:r w:rsidR="009B32FE" w:rsidRPr="002A047C">
        <w:rPr>
          <w:lang w:val="fr-FR"/>
        </w:rPr>
        <w:t>’</w:t>
      </w:r>
      <w:r w:rsidRPr="002A047C">
        <w:rPr>
          <w:lang w:val="fr-FR"/>
        </w:rPr>
        <w:t>élaboration des documents de formation sur la situation juridiq</w:t>
      </w:r>
      <w:r w:rsidR="002A047C" w:rsidRPr="002A047C">
        <w:rPr>
          <w:lang w:val="fr-FR"/>
        </w:rPr>
        <w:t>ue.  Le</w:t>
      </w:r>
      <w:r w:rsidRPr="002A047C">
        <w:rPr>
          <w:lang w:val="fr-FR"/>
        </w:rPr>
        <w:t xml:space="preserve"> Secrétariat entend faire part de ses projets concernant l</w:t>
      </w:r>
      <w:r w:rsidR="009B32FE" w:rsidRPr="002A047C">
        <w:rPr>
          <w:lang w:val="fr-FR"/>
        </w:rPr>
        <w:t>’</w:t>
      </w:r>
      <w:r w:rsidRPr="002A047C">
        <w:rPr>
          <w:lang w:val="fr-FR"/>
        </w:rPr>
        <w:t>élaboration des documents de formation avec l</w:t>
      </w:r>
      <w:r w:rsidR="009B32FE" w:rsidRPr="002A047C">
        <w:rPr>
          <w:lang w:val="fr-FR"/>
        </w:rPr>
        <w:t>’</w:t>
      </w:r>
      <w:r w:rsidRPr="002A047C">
        <w:rPr>
          <w:lang w:val="fr-FR"/>
        </w:rPr>
        <w:t>Équipe d</w:t>
      </w:r>
      <w:r w:rsidR="009B32FE" w:rsidRPr="002A047C">
        <w:rPr>
          <w:lang w:val="fr-FR"/>
        </w:rPr>
        <w:t>’</w:t>
      </w:r>
      <w:r w:rsidRPr="002A047C">
        <w:rPr>
          <w:lang w:val="fr-FR"/>
        </w:rPr>
        <w:t>experts chargée de la situation juridique pour examen après la dix</w:t>
      </w:r>
      <w:r w:rsidR="009B32FE" w:rsidRPr="002A047C">
        <w:rPr>
          <w:lang w:val="fr-FR"/>
        </w:rPr>
        <w:t>ième session</w:t>
      </w:r>
      <w:r w:rsidRPr="002A047C">
        <w:rPr>
          <w:lang w:val="fr-FR"/>
        </w:rPr>
        <w:t>.</w:t>
      </w:r>
    </w:p>
    <w:p w:rsidR="00E05958" w:rsidRPr="002A047C" w:rsidRDefault="000B0082" w:rsidP="000B0082">
      <w:pPr>
        <w:pStyle w:val="Heading2"/>
        <w:rPr>
          <w:rFonts w:eastAsia="Malgun Gothic"/>
          <w:szCs w:val="22"/>
          <w:lang w:val="fr-FR"/>
        </w:rPr>
      </w:pPr>
      <w:r w:rsidRPr="002A047C">
        <w:rPr>
          <w:lang w:val="fr-FR"/>
        </w:rPr>
        <w:t>Révision de la norme</w:t>
      </w:r>
      <w:r w:rsidR="00782203" w:rsidRPr="002A047C">
        <w:rPr>
          <w:lang w:val="fr-FR"/>
        </w:rPr>
        <w:t> </w:t>
      </w:r>
      <w:r w:rsidRPr="002A047C">
        <w:rPr>
          <w:lang w:val="fr-FR"/>
        </w:rPr>
        <w:t>ST.87</w:t>
      </w:r>
    </w:p>
    <w:p w:rsidR="00E05958" w:rsidRPr="002A047C" w:rsidRDefault="00E05958" w:rsidP="000B0082">
      <w:pPr>
        <w:pStyle w:val="ONUMFS"/>
        <w:rPr>
          <w:lang w:val="fr-FR"/>
        </w:rPr>
      </w:pPr>
      <w:r w:rsidRPr="002A047C">
        <w:rPr>
          <w:lang w:val="fr-FR"/>
        </w:rPr>
        <w:t>L</w:t>
      </w:r>
      <w:r w:rsidR="009B32FE" w:rsidRPr="002A047C">
        <w:rPr>
          <w:lang w:val="fr-FR"/>
        </w:rPr>
        <w:t>’</w:t>
      </w:r>
      <w:r w:rsidRPr="002A047C">
        <w:rPr>
          <w:lang w:val="fr-FR"/>
        </w:rPr>
        <w:t>équipe d</w:t>
      </w:r>
      <w:r w:rsidR="009B32FE" w:rsidRPr="002A047C">
        <w:rPr>
          <w:lang w:val="fr-FR"/>
        </w:rPr>
        <w:t>’</w:t>
      </w:r>
      <w:r w:rsidRPr="002A047C">
        <w:rPr>
          <w:lang w:val="fr-FR"/>
        </w:rPr>
        <w:t>experts a également établi une révision de l</w:t>
      </w:r>
      <w:r w:rsidR="009B32FE" w:rsidRPr="002A047C">
        <w:rPr>
          <w:lang w:val="fr-FR"/>
        </w:rPr>
        <w:t>’</w:t>
      </w:r>
      <w:r w:rsidRPr="002A047C">
        <w:rPr>
          <w:lang w:val="fr-FR"/>
        </w:rPr>
        <w:t>annexe II de la norme</w:t>
      </w:r>
      <w:r w:rsidR="00782203" w:rsidRPr="002A047C">
        <w:rPr>
          <w:lang w:val="fr-FR"/>
        </w:rPr>
        <w:t> </w:t>
      </w:r>
      <w:r w:rsidRPr="002A047C">
        <w:rPr>
          <w:lang w:val="fr-FR"/>
        </w:rPr>
        <w:t>ST.87 concernant les données supplémentaires, qui figure à l</w:t>
      </w:r>
      <w:r w:rsidR="009B32FE" w:rsidRPr="002A047C">
        <w:rPr>
          <w:lang w:val="fr-FR"/>
        </w:rPr>
        <w:t>’</w:t>
      </w:r>
      <w:r w:rsidRPr="002A047C">
        <w:rPr>
          <w:lang w:val="fr-FR"/>
        </w:rPr>
        <w:t>annexe du présent docume</w:t>
      </w:r>
      <w:r w:rsidR="002A047C" w:rsidRPr="002A047C">
        <w:rPr>
          <w:lang w:val="fr-FR"/>
        </w:rPr>
        <w:t>nt.  L’o</w:t>
      </w:r>
      <w:r w:rsidRPr="002A047C">
        <w:rPr>
          <w:lang w:val="fr-FR"/>
        </w:rPr>
        <w:t>bjectif de cette révision est d</w:t>
      </w:r>
      <w:r w:rsidR="009B32FE" w:rsidRPr="002A047C">
        <w:rPr>
          <w:lang w:val="fr-FR"/>
        </w:rPr>
        <w:t>’</w:t>
      </w:r>
      <w:r w:rsidRPr="002A047C">
        <w:rPr>
          <w:lang w:val="fr-FR"/>
        </w:rPr>
        <w:t>adapter la norme</w:t>
      </w:r>
      <w:r w:rsidR="00782203" w:rsidRPr="002A047C">
        <w:rPr>
          <w:lang w:val="fr-FR"/>
        </w:rPr>
        <w:t> </w:t>
      </w:r>
      <w:r w:rsidRPr="002A047C">
        <w:rPr>
          <w:lang w:val="fr-FR"/>
        </w:rPr>
        <w:t>ST.8</w:t>
      </w:r>
      <w:r w:rsidR="00344AAF">
        <w:rPr>
          <w:lang w:val="fr-FR"/>
        </w:rPr>
        <w:t>7</w:t>
      </w:r>
      <w:r w:rsidRPr="002A047C">
        <w:rPr>
          <w:lang w:val="fr-FR"/>
        </w:rPr>
        <w:t xml:space="preserve"> aux normes</w:t>
      </w:r>
      <w:r w:rsidR="00782203" w:rsidRPr="002A047C">
        <w:rPr>
          <w:lang w:val="fr-FR"/>
        </w:rPr>
        <w:t> </w:t>
      </w:r>
      <w:r w:rsidRPr="002A047C">
        <w:rPr>
          <w:lang w:val="fr-FR"/>
        </w:rPr>
        <w:t>ST.27 et ST.61, qui ont fait l</w:t>
      </w:r>
      <w:r w:rsidR="009B32FE" w:rsidRPr="002A047C">
        <w:rPr>
          <w:lang w:val="fr-FR"/>
        </w:rPr>
        <w:t>’</w:t>
      </w:r>
      <w:r w:rsidRPr="002A047C">
        <w:rPr>
          <w:lang w:val="fr-FR"/>
        </w:rPr>
        <w:t>objet d</w:t>
      </w:r>
      <w:r w:rsidR="009B32FE" w:rsidRPr="002A047C">
        <w:rPr>
          <w:lang w:val="fr-FR"/>
        </w:rPr>
        <w:t>’</w:t>
      </w:r>
      <w:r w:rsidRPr="002A047C">
        <w:rPr>
          <w:lang w:val="fr-FR"/>
        </w:rPr>
        <w:t>une mise à jour récen</w:t>
      </w:r>
      <w:r w:rsidR="002A047C" w:rsidRPr="002A047C">
        <w:rPr>
          <w:lang w:val="fr-FR"/>
        </w:rPr>
        <w:t>te.  Le</w:t>
      </w:r>
      <w:r w:rsidRPr="002A047C">
        <w:rPr>
          <w:lang w:val="fr-FR"/>
        </w:rPr>
        <w:t>s principales modifications apportées à la proposition de révision de l</w:t>
      </w:r>
      <w:r w:rsidR="009B32FE" w:rsidRPr="002A047C">
        <w:rPr>
          <w:lang w:val="fr-FR"/>
        </w:rPr>
        <w:t>’</w:t>
      </w:r>
      <w:r w:rsidRPr="002A047C">
        <w:rPr>
          <w:lang w:val="fr-FR"/>
        </w:rPr>
        <w:t>annexe II de la norme</w:t>
      </w:r>
      <w:r w:rsidR="00782203" w:rsidRPr="002A047C">
        <w:rPr>
          <w:lang w:val="fr-FR"/>
        </w:rPr>
        <w:t> </w:t>
      </w:r>
      <w:r w:rsidRPr="002A047C">
        <w:rPr>
          <w:lang w:val="fr-FR"/>
        </w:rPr>
        <w:t>ST.87 sont notamment les suivantes</w:t>
      </w:r>
      <w:r w:rsidR="009B32FE" w:rsidRPr="002A047C">
        <w:rPr>
          <w:lang w:val="fr-FR"/>
        </w:rPr>
        <w:t> :</w:t>
      </w:r>
    </w:p>
    <w:p w:rsidR="00E05958" w:rsidRPr="002A047C" w:rsidRDefault="00E05958" w:rsidP="000B0082">
      <w:pPr>
        <w:pStyle w:val="ONUMFS"/>
        <w:numPr>
          <w:ilvl w:val="0"/>
          <w:numId w:val="9"/>
        </w:numPr>
        <w:tabs>
          <w:tab w:val="clear" w:pos="567"/>
          <w:tab w:val="num" w:pos="1134"/>
        </w:tabs>
        <w:spacing w:after="120"/>
        <w:ind w:left="1134" w:hanging="567"/>
        <w:rPr>
          <w:lang w:val="fr-FR"/>
        </w:rPr>
      </w:pPr>
      <w:proofErr w:type="gramStart"/>
      <w:r w:rsidRPr="002A047C">
        <w:rPr>
          <w:lang w:val="fr-FR"/>
        </w:rPr>
        <w:t>séparer</w:t>
      </w:r>
      <w:proofErr w:type="gramEnd"/>
      <w:r w:rsidRPr="002A047C">
        <w:rPr>
          <w:lang w:val="fr-FR"/>
        </w:rPr>
        <w:t xml:space="preserve"> et étendre les éléments de données communs qui s</w:t>
      </w:r>
      <w:r w:rsidR="009B32FE" w:rsidRPr="002A047C">
        <w:rPr>
          <w:lang w:val="fr-FR"/>
        </w:rPr>
        <w:t>’</w:t>
      </w:r>
      <w:r w:rsidRPr="002A047C">
        <w:rPr>
          <w:lang w:val="fr-FR"/>
        </w:rPr>
        <w:t>appliquent à toutes les catégories;</w:t>
      </w:r>
    </w:p>
    <w:p w:rsidR="009B32FE" w:rsidRPr="002A047C" w:rsidRDefault="00E05958" w:rsidP="000B0082">
      <w:pPr>
        <w:pStyle w:val="ONUMFS"/>
        <w:numPr>
          <w:ilvl w:val="0"/>
          <w:numId w:val="9"/>
        </w:numPr>
        <w:tabs>
          <w:tab w:val="clear" w:pos="567"/>
          <w:tab w:val="num" w:pos="1134"/>
        </w:tabs>
        <w:spacing w:after="120"/>
        <w:ind w:left="1134" w:hanging="567"/>
        <w:rPr>
          <w:lang w:val="fr-FR"/>
        </w:rPr>
      </w:pPr>
      <w:proofErr w:type="gramStart"/>
      <w:r w:rsidRPr="002A047C">
        <w:rPr>
          <w:lang w:val="fr-FR"/>
        </w:rPr>
        <w:t>combiner</w:t>
      </w:r>
      <w:proofErr w:type="gramEnd"/>
      <w:r w:rsidRPr="002A047C">
        <w:rPr>
          <w:lang w:val="fr-FR"/>
        </w:rPr>
        <w:t xml:space="preserve"> les champs de données personnelles afin de tenir compte de l</w:t>
      </w:r>
      <w:r w:rsidR="009B32FE" w:rsidRPr="002A047C">
        <w:rPr>
          <w:lang w:val="fr-FR"/>
        </w:rPr>
        <w:t>’</w:t>
      </w:r>
      <w:r w:rsidRPr="002A047C">
        <w:rPr>
          <w:lang w:val="fr-FR"/>
        </w:rPr>
        <w:t>approche adoptée pour les éléments communs de la norme</w:t>
      </w:r>
      <w:r w:rsidR="00782203" w:rsidRPr="002A047C">
        <w:rPr>
          <w:lang w:val="fr-FR"/>
        </w:rPr>
        <w:t> </w:t>
      </w:r>
      <w:r w:rsidRPr="002A047C">
        <w:rPr>
          <w:lang w:val="fr-FR"/>
        </w:rPr>
        <w:t>ST.96;</w:t>
      </w:r>
    </w:p>
    <w:p w:rsidR="00E05958" w:rsidRPr="002A047C" w:rsidRDefault="00E05958" w:rsidP="000B0082">
      <w:pPr>
        <w:pStyle w:val="ONUMFS"/>
        <w:numPr>
          <w:ilvl w:val="0"/>
          <w:numId w:val="9"/>
        </w:numPr>
        <w:tabs>
          <w:tab w:val="clear" w:pos="567"/>
          <w:tab w:val="num" w:pos="1134"/>
        </w:tabs>
        <w:spacing w:after="120"/>
        <w:ind w:left="1134" w:hanging="567"/>
        <w:rPr>
          <w:lang w:val="fr-FR"/>
        </w:rPr>
      </w:pPr>
      <w:proofErr w:type="gramStart"/>
      <w:r w:rsidRPr="002A047C">
        <w:rPr>
          <w:lang w:val="fr-FR"/>
        </w:rPr>
        <w:t>ajouter</w:t>
      </w:r>
      <w:proofErr w:type="gramEnd"/>
      <w:r w:rsidRPr="002A047C">
        <w:rPr>
          <w:lang w:val="fr-FR"/>
        </w:rPr>
        <w:t xml:space="preserve"> quelques éléments d</w:t>
      </w:r>
      <w:r w:rsidR="009B32FE" w:rsidRPr="002A047C">
        <w:rPr>
          <w:lang w:val="fr-FR"/>
        </w:rPr>
        <w:t>’</w:t>
      </w:r>
      <w:r w:rsidRPr="002A047C">
        <w:rPr>
          <w:lang w:val="fr-FR"/>
        </w:rPr>
        <w:t>explication tels que “Motif de non</w:t>
      </w:r>
      <w:r w:rsidR="009B32FE" w:rsidRPr="002A047C">
        <w:rPr>
          <w:lang w:val="fr-FR"/>
        </w:rPr>
        <w:t>-</w:t>
      </w:r>
      <w:r w:rsidRPr="002A047C">
        <w:rPr>
          <w:lang w:val="fr-FR"/>
        </w:rPr>
        <w:t>entrée en vigueur”;  et</w:t>
      </w:r>
    </w:p>
    <w:p w:rsidR="00E05958" w:rsidRPr="002A047C" w:rsidRDefault="00E05958" w:rsidP="000B0082">
      <w:pPr>
        <w:pStyle w:val="ONUMFS"/>
        <w:numPr>
          <w:ilvl w:val="0"/>
          <w:numId w:val="9"/>
        </w:numPr>
        <w:tabs>
          <w:tab w:val="clear" w:pos="567"/>
          <w:tab w:val="num" w:pos="1134"/>
        </w:tabs>
        <w:ind w:left="1134" w:hanging="567"/>
        <w:rPr>
          <w:lang w:val="fr-FR"/>
        </w:rPr>
      </w:pPr>
      <w:proofErr w:type="gramStart"/>
      <w:r w:rsidRPr="002A047C">
        <w:rPr>
          <w:lang w:val="fr-FR"/>
        </w:rPr>
        <w:t>remplacer</w:t>
      </w:r>
      <w:proofErr w:type="gramEnd"/>
      <w:r w:rsidRPr="002A047C">
        <w:rPr>
          <w:lang w:val="fr-FR"/>
        </w:rPr>
        <w:t xml:space="preserve"> certains termes particuliers liés aux brevets de la version précédente.</w:t>
      </w:r>
    </w:p>
    <w:p w:rsidR="00E05958" w:rsidRPr="002A047C" w:rsidRDefault="000B0082" w:rsidP="000B0082">
      <w:pPr>
        <w:pStyle w:val="Heading2"/>
        <w:rPr>
          <w:rFonts w:eastAsia="Malgun Gothic"/>
          <w:szCs w:val="22"/>
          <w:lang w:val="fr-FR"/>
        </w:rPr>
      </w:pPr>
      <w:r w:rsidRPr="002A047C">
        <w:rPr>
          <w:lang w:val="fr-FR"/>
        </w:rPr>
        <w:t>Proposition de modification de la tâche n° 47</w:t>
      </w:r>
    </w:p>
    <w:p w:rsidR="00E05958" w:rsidRPr="002A047C" w:rsidRDefault="00E05958" w:rsidP="000B0082">
      <w:pPr>
        <w:pStyle w:val="ONUMFS"/>
        <w:rPr>
          <w:lang w:val="fr-FR"/>
        </w:rPr>
      </w:pPr>
      <w:r w:rsidRPr="002A047C">
        <w:rPr>
          <w:lang w:val="fr-FR"/>
        </w:rPr>
        <w:t>Le CWS et l</w:t>
      </w:r>
      <w:r w:rsidR="009B32FE" w:rsidRPr="002A047C">
        <w:rPr>
          <w:lang w:val="fr-FR"/>
        </w:rPr>
        <w:t>’</w:t>
      </w:r>
      <w:r w:rsidRPr="002A047C">
        <w:rPr>
          <w:lang w:val="fr-FR"/>
        </w:rPr>
        <w:t>équipe d</w:t>
      </w:r>
      <w:r w:rsidR="009B32FE" w:rsidRPr="002A047C">
        <w:rPr>
          <w:lang w:val="fr-FR"/>
        </w:rPr>
        <w:t>’</w:t>
      </w:r>
      <w:r w:rsidRPr="002A047C">
        <w:rPr>
          <w:lang w:val="fr-FR"/>
        </w:rPr>
        <w:t>experts n</w:t>
      </w:r>
      <w:r w:rsidR="009B32FE" w:rsidRPr="002A047C">
        <w:rPr>
          <w:lang w:val="fr-FR"/>
        </w:rPr>
        <w:t>’</w:t>
      </w:r>
      <w:r w:rsidRPr="002A047C">
        <w:rPr>
          <w:lang w:val="fr-FR"/>
        </w:rPr>
        <w:t>ayant pas été en mesure de savoir comment procéder dans le cadre des travaux relatifs à une fusion éventuelle des trois</w:t>
      </w:r>
      <w:r w:rsidR="00782203" w:rsidRPr="002A047C">
        <w:rPr>
          <w:lang w:val="fr-FR"/>
        </w:rPr>
        <w:t> </w:t>
      </w:r>
      <w:r w:rsidRPr="002A047C">
        <w:rPr>
          <w:lang w:val="fr-FR"/>
        </w:rPr>
        <w:t>normes sur la situation juridique, l</w:t>
      </w:r>
      <w:r w:rsidR="009B32FE" w:rsidRPr="002A047C">
        <w:rPr>
          <w:lang w:val="fr-FR"/>
        </w:rPr>
        <w:t>’</w:t>
      </w:r>
      <w:r w:rsidRPr="002A047C">
        <w:rPr>
          <w:lang w:val="fr-FR"/>
        </w:rPr>
        <w:t>équipe d</w:t>
      </w:r>
      <w:r w:rsidR="009B32FE" w:rsidRPr="002A047C">
        <w:rPr>
          <w:lang w:val="fr-FR"/>
        </w:rPr>
        <w:t>’</w:t>
      </w:r>
      <w:r w:rsidRPr="002A047C">
        <w:rPr>
          <w:lang w:val="fr-FR"/>
        </w:rPr>
        <w:t>experts suggère d</w:t>
      </w:r>
      <w:r w:rsidR="009B32FE" w:rsidRPr="002A047C">
        <w:rPr>
          <w:lang w:val="fr-FR"/>
        </w:rPr>
        <w:t>’</w:t>
      </w:r>
      <w:r w:rsidRPr="002A047C">
        <w:rPr>
          <w:lang w:val="fr-FR"/>
        </w:rPr>
        <w:t>interrompre les travaux à cet éga</w:t>
      </w:r>
      <w:r w:rsidR="002A047C" w:rsidRPr="002A047C">
        <w:rPr>
          <w:lang w:val="fr-FR"/>
        </w:rPr>
        <w:t>rd.  En</w:t>
      </w:r>
      <w:r w:rsidRPr="002A047C">
        <w:rPr>
          <w:lang w:val="fr-FR"/>
        </w:rPr>
        <w:t xml:space="preserve"> conséquence, l</w:t>
      </w:r>
      <w:r w:rsidR="009B32FE" w:rsidRPr="002A047C">
        <w:rPr>
          <w:lang w:val="fr-FR"/>
        </w:rPr>
        <w:t>’</w:t>
      </w:r>
      <w:r w:rsidRPr="002A047C">
        <w:rPr>
          <w:lang w:val="fr-FR"/>
        </w:rPr>
        <w:t>équipe d</w:t>
      </w:r>
      <w:r w:rsidR="009B32FE" w:rsidRPr="002A047C">
        <w:rPr>
          <w:lang w:val="fr-FR"/>
        </w:rPr>
        <w:t>’</w:t>
      </w:r>
      <w:r w:rsidRPr="002A047C">
        <w:rPr>
          <w:lang w:val="fr-FR"/>
        </w:rPr>
        <w:t>experts propose d</w:t>
      </w:r>
      <w:r w:rsidR="009B32FE" w:rsidRPr="002A047C">
        <w:rPr>
          <w:lang w:val="fr-FR"/>
        </w:rPr>
        <w:t>’</w:t>
      </w:r>
      <w:r w:rsidRPr="002A047C">
        <w:rPr>
          <w:lang w:val="fr-FR"/>
        </w:rPr>
        <w:t>actualiser la description de la tâche n° 47 comme suit</w:t>
      </w:r>
      <w:r w:rsidR="009B32FE" w:rsidRPr="002A047C">
        <w:rPr>
          <w:lang w:val="fr-FR"/>
        </w:rPr>
        <w:t> :</w:t>
      </w:r>
    </w:p>
    <w:p w:rsidR="002E700A" w:rsidRDefault="00E05958" w:rsidP="000B0082">
      <w:pPr>
        <w:pStyle w:val="ONUMFS"/>
        <w:numPr>
          <w:ilvl w:val="0"/>
          <w:numId w:val="0"/>
        </w:numPr>
        <w:ind w:left="567"/>
        <w:rPr>
          <w:lang w:val="fr-FR"/>
        </w:rPr>
      </w:pPr>
      <w:r w:rsidRPr="002A047C">
        <w:rPr>
          <w:lang w:val="fr-FR"/>
        </w:rPr>
        <w:t>Procéder aux révisions et mises à jour nécessaires des normes</w:t>
      </w:r>
      <w:r w:rsidR="00782203" w:rsidRPr="002A047C">
        <w:rPr>
          <w:lang w:val="fr-FR"/>
        </w:rPr>
        <w:t> </w:t>
      </w:r>
      <w:r w:rsidRPr="002A047C">
        <w:rPr>
          <w:lang w:val="fr-FR"/>
        </w:rPr>
        <w:t xml:space="preserve">ST.27, ST.87 et ST.61 de </w:t>
      </w:r>
      <w:proofErr w:type="gramStart"/>
      <w:r w:rsidRPr="002A047C">
        <w:rPr>
          <w:lang w:val="fr-FR"/>
        </w:rPr>
        <w:t>l</w:t>
      </w:r>
      <w:r w:rsidR="009B32FE" w:rsidRPr="002A047C">
        <w:rPr>
          <w:lang w:val="fr-FR"/>
        </w:rPr>
        <w:t>’</w:t>
      </w:r>
      <w:r w:rsidRPr="002A047C">
        <w:rPr>
          <w:lang w:val="fr-FR"/>
        </w:rPr>
        <w:t>OMPI;  établir</w:t>
      </w:r>
      <w:proofErr w:type="gramEnd"/>
      <w:r w:rsidRPr="002A047C">
        <w:rPr>
          <w:lang w:val="fr-FR"/>
        </w:rPr>
        <w:t xml:space="preserve"> des documents d</w:t>
      </w:r>
      <w:r w:rsidR="009B32FE" w:rsidRPr="002A047C">
        <w:rPr>
          <w:lang w:val="fr-FR"/>
        </w:rPr>
        <w:t>’</w:t>
      </w:r>
      <w:r w:rsidRPr="002A047C">
        <w:rPr>
          <w:lang w:val="fr-FR"/>
        </w:rPr>
        <w:t>appui pour faciliter l</w:t>
      </w:r>
      <w:r w:rsidR="009B32FE" w:rsidRPr="002A047C">
        <w:rPr>
          <w:lang w:val="fr-FR"/>
        </w:rPr>
        <w:t>’</w:t>
      </w:r>
      <w:r w:rsidRPr="002A047C">
        <w:rPr>
          <w:lang w:val="fr-FR"/>
        </w:rPr>
        <w:t xml:space="preserve">utilisation de ces normes dans la communauté de la propriété intellectuelle; </w:t>
      </w:r>
      <w:r w:rsidR="00782203" w:rsidRPr="002A047C">
        <w:rPr>
          <w:lang w:val="fr-FR"/>
        </w:rPr>
        <w:t xml:space="preserve"> </w:t>
      </w:r>
      <w:r w:rsidRPr="002A047C">
        <w:rPr>
          <w:strike/>
          <w:lang w:val="fr-FR"/>
        </w:rPr>
        <w:t>analyser la possibilité de fusionner les trois</w:t>
      </w:r>
      <w:r w:rsidR="00782203" w:rsidRPr="002A047C">
        <w:rPr>
          <w:strike/>
          <w:lang w:val="fr-FR"/>
        </w:rPr>
        <w:t> </w:t>
      </w:r>
      <w:r w:rsidRPr="002A047C">
        <w:rPr>
          <w:strike/>
          <w:lang w:val="fr-FR"/>
        </w:rPr>
        <w:t>normes</w:t>
      </w:r>
      <w:r w:rsidR="00782203" w:rsidRPr="002A047C">
        <w:rPr>
          <w:strike/>
          <w:lang w:val="fr-FR"/>
        </w:rPr>
        <w:t> </w:t>
      </w:r>
      <w:r w:rsidRPr="002A047C">
        <w:rPr>
          <w:strike/>
          <w:lang w:val="fr-FR"/>
        </w:rPr>
        <w:t xml:space="preserve">ST.27, ST.87 et ST.61; </w:t>
      </w:r>
      <w:r w:rsidR="00782203" w:rsidRPr="002A047C">
        <w:rPr>
          <w:strike/>
          <w:lang w:val="fr-FR"/>
        </w:rPr>
        <w:t xml:space="preserve"> </w:t>
      </w:r>
      <w:r w:rsidRPr="002A047C">
        <w:rPr>
          <w:lang w:val="fr-FR"/>
        </w:rPr>
        <w:t>et soutenir l</w:t>
      </w:r>
      <w:r w:rsidR="009B32FE" w:rsidRPr="002A047C">
        <w:rPr>
          <w:lang w:val="fr-FR"/>
        </w:rPr>
        <w:t>’</w:t>
      </w:r>
      <w:r w:rsidRPr="002A047C">
        <w:rPr>
          <w:lang w:val="fr-FR"/>
        </w:rPr>
        <w:t>Équipe d</w:t>
      </w:r>
      <w:r w:rsidR="009B32FE" w:rsidRPr="002A047C">
        <w:rPr>
          <w:lang w:val="fr-FR"/>
        </w:rPr>
        <w:t>’</w:t>
      </w:r>
      <w:r w:rsidRPr="002A047C">
        <w:rPr>
          <w:lang w:val="fr-FR"/>
        </w:rPr>
        <w:t>experts chargée de la norme</w:t>
      </w:r>
      <w:r w:rsidR="00782203" w:rsidRPr="002A047C">
        <w:rPr>
          <w:lang w:val="fr-FR"/>
        </w:rPr>
        <w:t> </w:t>
      </w:r>
      <w:r w:rsidRPr="002A047C">
        <w:rPr>
          <w:lang w:val="fr-FR"/>
        </w:rPr>
        <w:t>XML4IP dans l</w:t>
      </w:r>
      <w:r w:rsidR="009B32FE" w:rsidRPr="002A047C">
        <w:rPr>
          <w:lang w:val="fr-FR"/>
        </w:rPr>
        <w:t>’</w:t>
      </w:r>
      <w:r w:rsidRPr="002A047C">
        <w:rPr>
          <w:lang w:val="fr-FR"/>
        </w:rPr>
        <w:t>élaboration des composantes du schéma XML pour les données relatives à la situation juridique.</w:t>
      </w:r>
    </w:p>
    <w:p w:rsidR="002E700A" w:rsidRDefault="002E700A">
      <w:pPr>
        <w:rPr>
          <w:lang w:val="fr-FR"/>
        </w:rPr>
      </w:pPr>
      <w:r>
        <w:rPr>
          <w:lang w:val="fr-FR"/>
        </w:rPr>
        <w:br w:type="page"/>
      </w:r>
    </w:p>
    <w:p w:rsidR="009B32FE" w:rsidRPr="002A047C" w:rsidRDefault="00E05958" w:rsidP="000B0082">
      <w:pPr>
        <w:pStyle w:val="ONUMFS"/>
        <w:ind w:left="5533"/>
        <w:rPr>
          <w:i/>
          <w:lang w:val="fr-FR"/>
        </w:rPr>
      </w:pPr>
      <w:bookmarkStart w:id="5" w:name="_GoBack"/>
      <w:bookmarkEnd w:id="5"/>
      <w:r w:rsidRPr="002A047C">
        <w:rPr>
          <w:i/>
          <w:lang w:val="fr-FR"/>
        </w:rPr>
        <w:lastRenderedPageBreak/>
        <w:t>Le CWS est invité</w:t>
      </w:r>
    </w:p>
    <w:p w:rsidR="00E05958" w:rsidRPr="002A047C" w:rsidRDefault="00E05958" w:rsidP="000B0082">
      <w:pPr>
        <w:pStyle w:val="ONUMFS"/>
        <w:numPr>
          <w:ilvl w:val="1"/>
          <w:numId w:val="6"/>
        </w:numPr>
        <w:tabs>
          <w:tab w:val="left" w:pos="6804"/>
        </w:tabs>
        <w:ind w:left="5533" w:firstLine="704"/>
        <w:rPr>
          <w:i/>
          <w:lang w:val="fr-FR"/>
        </w:rPr>
      </w:pPr>
      <w:proofErr w:type="gramStart"/>
      <w:r w:rsidRPr="002A047C">
        <w:rPr>
          <w:i/>
          <w:lang w:val="fr-FR"/>
        </w:rPr>
        <w:t>à</w:t>
      </w:r>
      <w:proofErr w:type="gramEnd"/>
      <w:r w:rsidRPr="002A047C">
        <w:rPr>
          <w:i/>
          <w:lang w:val="fr-FR"/>
        </w:rPr>
        <w:t xml:space="preserve"> prendre note</w:t>
      </w:r>
      <w:r w:rsidR="000B0082" w:rsidRPr="002A047C">
        <w:rPr>
          <w:i/>
          <w:lang w:val="fr-FR"/>
        </w:rPr>
        <w:t xml:space="preserve"> du contenu du présent document,</w:t>
      </w:r>
    </w:p>
    <w:p w:rsidR="00E05958" w:rsidRPr="002A047C" w:rsidRDefault="00E05958" w:rsidP="000B0082">
      <w:pPr>
        <w:pStyle w:val="ONUMFS"/>
        <w:numPr>
          <w:ilvl w:val="1"/>
          <w:numId w:val="6"/>
        </w:numPr>
        <w:tabs>
          <w:tab w:val="left" w:pos="6804"/>
        </w:tabs>
        <w:ind w:left="5533" w:firstLine="704"/>
        <w:rPr>
          <w:i/>
          <w:lang w:val="fr-FR"/>
        </w:rPr>
      </w:pPr>
      <w:proofErr w:type="gramStart"/>
      <w:r w:rsidRPr="002A047C">
        <w:rPr>
          <w:i/>
          <w:lang w:val="fr-FR"/>
        </w:rPr>
        <w:t>à</w:t>
      </w:r>
      <w:proofErr w:type="gramEnd"/>
      <w:r w:rsidRPr="002A047C">
        <w:rPr>
          <w:i/>
          <w:lang w:val="fr-FR"/>
        </w:rPr>
        <w:t xml:space="preserve"> examiner et à approuver la proposition de révision de la norme</w:t>
      </w:r>
      <w:r w:rsidR="00782203" w:rsidRPr="002A047C">
        <w:rPr>
          <w:i/>
          <w:lang w:val="fr-FR"/>
        </w:rPr>
        <w:t> </w:t>
      </w:r>
      <w:r w:rsidRPr="002A047C">
        <w:rPr>
          <w:i/>
          <w:lang w:val="fr-FR"/>
        </w:rPr>
        <w:t>ST.87, qui figure à l</w:t>
      </w:r>
      <w:r w:rsidR="009B32FE" w:rsidRPr="002A047C">
        <w:rPr>
          <w:i/>
          <w:lang w:val="fr-FR"/>
        </w:rPr>
        <w:t>’</w:t>
      </w:r>
      <w:r w:rsidRPr="002A047C">
        <w:rPr>
          <w:i/>
          <w:lang w:val="fr-FR"/>
        </w:rPr>
        <w:t>annexe du présent document</w:t>
      </w:r>
      <w:r w:rsidR="000B0082" w:rsidRPr="002A047C">
        <w:rPr>
          <w:i/>
          <w:lang w:val="fr-FR"/>
        </w:rPr>
        <w:t>,</w:t>
      </w:r>
      <w:r w:rsidRPr="002A047C">
        <w:rPr>
          <w:i/>
          <w:lang w:val="fr-FR"/>
        </w:rPr>
        <w:t xml:space="preserve"> et</w:t>
      </w:r>
    </w:p>
    <w:p w:rsidR="00E05958" w:rsidRPr="002A047C" w:rsidRDefault="00E05958" w:rsidP="000B0082">
      <w:pPr>
        <w:pStyle w:val="ONUMFS"/>
        <w:numPr>
          <w:ilvl w:val="1"/>
          <w:numId w:val="6"/>
        </w:numPr>
        <w:tabs>
          <w:tab w:val="left" w:pos="6804"/>
        </w:tabs>
        <w:ind w:left="5533" w:firstLine="704"/>
        <w:rPr>
          <w:lang w:val="fr-FR"/>
        </w:rPr>
      </w:pPr>
      <w:proofErr w:type="gramStart"/>
      <w:r w:rsidRPr="002A047C">
        <w:rPr>
          <w:i/>
          <w:lang w:val="fr-FR"/>
        </w:rPr>
        <w:t>à</w:t>
      </w:r>
      <w:proofErr w:type="gramEnd"/>
      <w:r w:rsidRPr="002A047C">
        <w:rPr>
          <w:i/>
          <w:lang w:val="fr-FR"/>
        </w:rPr>
        <w:t xml:space="preserve"> approuver la révision de la description de la tâche n° 47 citée au paragraphe 6 ci</w:t>
      </w:r>
      <w:r w:rsidR="009B32FE" w:rsidRPr="002A047C">
        <w:rPr>
          <w:i/>
          <w:lang w:val="fr-FR"/>
        </w:rPr>
        <w:t>-</w:t>
      </w:r>
      <w:r w:rsidRPr="002A047C">
        <w:rPr>
          <w:i/>
          <w:lang w:val="fr-FR"/>
        </w:rPr>
        <w:t>dessus.</w:t>
      </w:r>
    </w:p>
    <w:p w:rsidR="000F5E56" w:rsidRPr="002A047C" w:rsidRDefault="00E05958" w:rsidP="00E05958">
      <w:pPr>
        <w:pStyle w:val="Endofdocument"/>
        <w:spacing w:before="720"/>
      </w:pPr>
      <w:r w:rsidRPr="002A047C">
        <w:rPr>
          <w:sz w:val="22"/>
        </w:rPr>
        <w:t>[L</w:t>
      </w:r>
      <w:r w:rsidR="009B32FE" w:rsidRPr="002A047C">
        <w:rPr>
          <w:sz w:val="22"/>
        </w:rPr>
        <w:t>’</w:t>
      </w:r>
      <w:r w:rsidRPr="002A047C">
        <w:rPr>
          <w:sz w:val="22"/>
        </w:rPr>
        <w:t>annexe suit]</w:t>
      </w:r>
    </w:p>
    <w:sectPr w:rsidR="000F5E56" w:rsidRPr="002A047C" w:rsidSect="00E05958">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58" w:rsidRDefault="00E05958">
      <w:r>
        <w:separator/>
      </w:r>
    </w:p>
  </w:endnote>
  <w:endnote w:type="continuationSeparator" w:id="0">
    <w:p w:rsidR="00E05958" w:rsidRPr="009D30E6" w:rsidRDefault="00E05958" w:rsidP="00D45252">
      <w:pPr>
        <w:rPr>
          <w:sz w:val="17"/>
          <w:szCs w:val="17"/>
        </w:rPr>
      </w:pPr>
      <w:r w:rsidRPr="009D30E6">
        <w:rPr>
          <w:sz w:val="17"/>
          <w:szCs w:val="17"/>
        </w:rPr>
        <w:separator/>
      </w:r>
    </w:p>
    <w:p w:rsidR="00E05958" w:rsidRPr="009D30E6" w:rsidRDefault="00E05958" w:rsidP="00D45252">
      <w:pPr>
        <w:spacing w:after="60"/>
        <w:rPr>
          <w:sz w:val="17"/>
          <w:szCs w:val="17"/>
        </w:rPr>
      </w:pPr>
      <w:r w:rsidRPr="009D30E6">
        <w:rPr>
          <w:sz w:val="17"/>
          <w:szCs w:val="17"/>
        </w:rPr>
        <w:t>[Suite de la note de la page précédente]</w:t>
      </w:r>
    </w:p>
  </w:endnote>
  <w:endnote w:type="continuationNotice" w:id="1">
    <w:p w:rsidR="00E05958" w:rsidRPr="009D30E6" w:rsidRDefault="00E0595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58" w:rsidRDefault="00E05958">
      <w:r>
        <w:separator/>
      </w:r>
    </w:p>
  </w:footnote>
  <w:footnote w:type="continuationSeparator" w:id="0">
    <w:p w:rsidR="00E05958" w:rsidRDefault="00E05958" w:rsidP="007461F1">
      <w:r>
        <w:separator/>
      </w:r>
    </w:p>
    <w:p w:rsidR="00E05958" w:rsidRPr="009D30E6" w:rsidRDefault="00E05958" w:rsidP="007461F1">
      <w:pPr>
        <w:spacing w:after="60"/>
        <w:rPr>
          <w:sz w:val="17"/>
          <w:szCs w:val="17"/>
        </w:rPr>
      </w:pPr>
      <w:r w:rsidRPr="009D30E6">
        <w:rPr>
          <w:sz w:val="17"/>
          <w:szCs w:val="17"/>
        </w:rPr>
        <w:t>[Suite de la note de la page précédente]</w:t>
      </w:r>
    </w:p>
  </w:footnote>
  <w:footnote w:type="continuationNotice" w:id="1">
    <w:p w:rsidR="00E05958" w:rsidRPr="009D30E6" w:rsidRDefault="00E0595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E05958" w:rsidP="00477D6B">
    <w:pPr>
      <w:jc w:val="right"/>
    </w:pPr>
    <w:bookmarkStart w:id="6" w:name="Code2"/>
    <w:bookmarkEnd w:id="6"/>
    <w:r>
      <w:t>CWS/10/11</w:t>
    </w:r>
  </w:p>
  <w:p w:rsidR="004F4E31" w:rsidRDefault="000B0082" w:rsidP="000B0082">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152EFE">
      <w:rPr>
        <w:noProof/>
      </w:rPr>
      <w:t>3</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A3140C"/>
    <w:multiLevelType w:val="multilevel"/>
    <w:tmpl w:val="AC26ADB4"/>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58"/>
    <w:rsid w:val="00011B7D"/>
    <w:rsid w:val="00075432"/>
    <w:rsid w:val="000B0082"/>
    <w:rsid w:val="000F5E56"/>
    <w:rsid w:val="001362EE"/>
    <w:rsid w:val="00152EFE"/>
    <w:rsid w:val="001832A6"/>
    <w:rsid w:val="00195C6E"/>
    <w:rsid w:val="00197881"/>
    <w:rsid w:val="001B266A"/>
    <w:rsid w:val="001D3D56"/>
    <w:rsid w:val="00240654"/>
    <w:rsid w:val="002634C4"/>
    <w:rsid w:val="002A047C"/>
    <w:rsid w:val="002D4918"/>
    <w:rsid w:val="002E4D1A"/>
    <w:rsid w:val="002E700A"/>
    <w:rsid w:val="002F16BC"/>
    <w:rsid w:val="002F4E68"/>
    <w:rsid w:val="00315FCA"/>
    <w:rsid w:val="00344AAF"/>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82203"/>
    <w:rsid w:val="007D6961"/>
    <w:rsid w:val="007F07CB"/>
    <w:rsid w:val="00810CEF"/>
    <w:rsid w:val="0081208D"/>
    <w:rsid w:val="008236DE"/>
    <w:rsid w:val="00842A13"/>
    <w:rsid w:val="008B2CC1"/>
    <w:rsid w:val="008E7930"/>
    <w:rsid w:val="0090731E"/>
    <w:rsid w:val="00966A22"/>
    <w:rsid w:val="00974CD6"/>
    <w:rsid w:val="009B32FE"/>
    <w:rsid w:val="009D30E6"/>
    <w:rsid w:val="009E3F6F"/>
    <w:rsid w:val="009F499F"/>
    <w:rsid w:val="00A02BD3"/>
    <w:rsid w:val="00AA1F20"/>
    <w:rsid w:val="00AC0AE4"/>
    <w:rsid w:val="00AD61DB"/>
    <w:rsid w:val="00B87BCF"/>
    <w:rsid w:val="00B943E2"/>
    <w:rsid w:val="00BA62D4"/>
    <w:rsid w:val="00C153FD"/>
    <w:rsid w:val="00C36EB0"/>
    <w:rsid w:val="00C40E15"/>
    <w:rsid w:val="00C664C8"/>
    <w:rsid w:val="00C76A79"/>
    <w:rsid w:val="00CA15F5"/>
    <w:rsid w:val="00CF0460"/>
    <w:rsid w:val="00D45252"/>
    <w:rsid w:val="00D71B4D"/>
    <w:rsid w:val="00D75C1E"/>
    <w:rsid w:val="00D93D55"/>
    <w:rsid w:val="00DB0349"/>
    <w:rsid w:val="00DD6A16"/>
    <w:rsid w:val="00E0091A"/>
    <w:rsid w:val="00E05958"/>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E3D760"/>
  <w15:docId w15:val="{136AB80B-33C8-4AD3-9E65-91E06374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E05958"/>
    <w:pPr>
      <w:spacing w:line="260" w:lineRule="atLeast"/>
      <w:ind w:left="5534"/>
    </w:pPr>
    <w:rPr>
      <w:rFonts w:eastAsia="Times New Roman" w:cs="Times New Roman"/>
      <w:sz w:val="20"/>
      <w:lang w:val="fr-FR" w:eastAsia="en-US"/>
    </w:rPr>
  </w:style>
  <w:style w:type="character" w:customStyle="1" w:styleId="Heading2Char">
    <w:name w:val="Heading 2 Char"/>
    <w:basedOn w:val="DefaultParagraphFont"/>
    <w:link w:val="Heading2"/>
    <w:rsid w:val="00E05958"/>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05958"/>
    <w:rPr>
      <w:rFonts w:ascii="Arial" w:eastAsia="SimSun" w:hAnsi="Arial" w:cs="Arial"/>
      <w:sz w:val="22"/>
      <w:lang w:eastAsia="zh-CN"/>
    </w:rPr>
  </w:style>
  <w:style w:type="character" w:styleId="Hyperlink">
    <w:name w:val="Hyperlink"/>
    <w:basedOn w:val="DefaultParagraphFont"/>
    <w:semiHidden/>
    <w:unhideWhenUsed/>
    <w:rsid w:val="002A0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1</TotalTime>
  <Pages>3</Pages>
  <Words>908</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CWS/10/11</vt:lpstr>
    </vt:vector>
  </TitlesOfParts>
  <Company>WIPO</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CWS/10/11</dc:title>
  <dc:creator>WIPO</dc:creator>
  <cp:keywords>FOR OFFICIAL USE ONLY</cp:keywords>
  <cp:lastModifiedBy>CHAVAS Louison</cp:lastModifiedBy>
  <cp:revision>2</cp:revision>
  <cp:lastPrinted>2022-09-27T09:48:00Z</cp:lastPrinted>
  <dcterms:created xsi:type="dcterms:W3CDTF">2022-09-27T09:49:00Z</dcterms:created>
  <dcterms:modified xsi:type="dcterms:W3CDTF">2022-09-27T09:49:00Z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