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175F" w14:textId="5D57BB1A" w:rsidR="00514C79" w:rsidRPr="00514C79" w:rsidRDefault="00514C79" w:rsidP="00514C79">
      <w:pPr>
        <w:widowControl/>
        <w:kinsoku/>
        <w:rPr>
          <w:b/>
          <w:i/>
          <w:caps/>
          <w:sz w:val="22"/>
          <w:szCs w:val="22"/>
        </w:rPr>
      </w:pPr>
      <w:bookmarkStart w:id="0" w:name="_GoBack"/>
      <w:bookmarkEnd w:id="0"/>
      <w:r>
        <w:rPr>
          <w:b/>
          <w:caps/>
          <w:sz w:val="22"/>
        </w:rPr>
        <w:t>PROPOSITION DE NOUVEAUX EXEMPLES POUR L</w:t>
      </w:r>
      <w:r w:rsidR="00B26FAE">
        <w:rPr>
          <w:b/>
          <w:caps/>
          <w:sz w:val="22"/>
        </w:rPr>
        <w:t>’</w:t>
      </w:r>
      <w:r>
        <w:rPr>
          <w:b/>
          <w:caps/>
          <w:sz w:val="22"/>
        </w:rPr>
        <w:t>ANNEXE</w:t>
      </w:r>
      <w:r w:rsidR="004E2068">
        <w:rPr>
          <w:b/>
          <w:caps/>
          <w:sz w:val="22"/>
        </w:rPr>
        <w:t> </w:t>
      </w:r>
      <w:r>
        <w:rPr>
          <w:b/>
          <w:caps/>
          <w:sz w:val="22"/>
        </w:rPr>
        <w:t>VI DE LA NORME ST.26</w:t>
      </w:r>
    </w:p>
    <w:p w14:paraId="1F543620" w14:textId="77777777" w:rsidR="00514C79" w:rsidRDefault="00514C79" w:rsidP="00D251E9">
      <w:pPr>
        <w:pStyle w:val="Heading3"/>
        <w:spacing w:before="0" w:after="120"/>
        <w:rPr>
          <w:i/>
          <w:sz w:val="22"/>
          <w:szCs w:val="22"/>
          <w:u w:val="none"/>
          <w:lang w:eastAsia="en-US"/>
        </w:rPr>
      </w:pPr>
    </w:p>
    <w:p w14:paraId="3FB0811F" w14:textId="6CCFBC01" w:rsidR="00D251E9" w:rsidRPr="00AE54E9" w:rsidRDefault="00B26FAE" w:rsidP="00D251E9">
      <w:pPr>
        <w:pStyle w:val="Heading3"/>
        <w:spacing w:before="0" w:after="120"/>
        <w:rPr>
          <w:i/>
          <w:sz w:val="22"/>
          <w:szCs w:val="22"/>
          <w:u w:val="none"/>
        </w:rPr>
      </w:pPr>
      <w:r>
        <w:rPr>
          <w:i/>
          <w:sz w:val="22"/>
          <w:u w:val="none"/>
        </w:rPr>
        <w:t>Paragraphe 9</w:t>
      </w:r>
      <w:r w:rsidR="00D251E9">
        <w:rPr>
          <w:i/>
          <w:sz w:val="22"/>
          <w:u w:val="none"/>
        </w:rPr>
        <w:t>4 – Toute séquence variante divulguée comme une séquence unique avec des résidus alternatifs énumérés</w:t>
      </w:r>
    </w:p>
    <w:p w14:paraId="71566829" w14:textId="76DBCA80" w:rsidR="00D251E9" w:rsidRPr="00AE54E9" w:rsidRDefault="00D251E9" w:rsidP="00D251E9">
      <w:pPr>
        <w:widowControl/>
        <w:kinsoku/>
        <w:spacing w:after="170"/>
        <w:rPr>
          <w:rFonts w:eastAsiaTheme="minorEastAsia"/>
          <w:b/>
          <w:sz w:val="22"/>
          <w:szCs w:val="22"/>
        </w:rPr>
      </w:pPr>
      <w:bookmarkStart w:id="1" w:name="page55"/>
      <w:r>
        <w:rPr>
          <w:b/>
          <w:sz w:val="22"/>
        </w:rPr>
        <w:t>Exemple</w:t>
      </w:r>
      <w:r w:rsidR="004E2068">
        <w:rPr>
          <w:b/>
          <w:sz w:val="22"/>
        </w:rPr>
        <w:t> </w:t>
      </w:r>
      <w:r>
        <w:rPr>
          <w:b/>
          <w:sz w:val="22"/>
        </w:rPr>
        <w:t>94</w:t>
      </w:r>
      <w:r w:rsidR="00B26FAE">
        <w:rPr>
          <w:b/>
          <w:sz w:val="22"/>
        </w:rPr>
        <w:t>-</w:t>
      </w:r>
      <w:r>
        <w:rPr>
          <w:b/>
          <w:sz w:val="22"/>
        </w:rPr>
        <w:t>2</w:t>
      </w:r>
      <w:r w:rsidR="004E2068">
        <w:rPr>
          <w:b/>
          <w:sz w:val="22"/>
        </w:rPr>
        <w:t xml:space="preserve"> </w:t>
      </w:r>
      <w:r>
        <w:rPr>
          <w:b/>
          <w:sz w:val="22"/>
        </w:rPr>
        <w:t>– Représentation d</w:t>
      </w:r>
      <w:r w:rsidR="00B26FAE">
        <w:rPr>
          <w:b/>
          <w:sz w:val="22"/>
        </w:rPr>
        <w:t>’</w:t>
      </w:r>
      <w:r>
        <w:rPr>
          <w:b/>
          <w:sz w:val="22"/>
        </w:rPr>
        <w:t>une séquence unique avec des acides aminés alternatifs énumérés qui peuvent être des acides aminés modifiés</w:t>
      </w:r>
    </w:p>
    <w:bookmarkEnd w:id="1"/>
    <w:p w14:paraId="1AE6EE4C" w14:textId="596C1E37" w:rsidR="00D251E9" w:rsidRPr="00AE54E9" w:rsidRDefault="00D251E9" w:rsidP="004E2068">
      <w:pPr>
        <w:widowControl/>
        <w:kinsoku/>
        <w:spacing w:after="170" w:line="276" w:lineRule="auto"/>
        <w:ind w:left="567"/>
        <w:rPr>
          <w:rFonts w:eastAsiaTheme="minorEastAsia"/>
          <w:sz w:val="22"/>
          <w:szCs w:val="22"/>
        </w:rPr>
      </w:pPr>
      <w:r>
        <w:rPr>
          <w:sz w:val="22"/>
        </w:rPr>
        <w:t>Une demande de brevet décrit le polypeptide suivant</w:t>
      </w:r>
      <w:r w:rsidR="00B26FAE">
        <w:rPr>
          <w:sz w:val="22"/>
        </w:rPr>
        <w:t> :</w:t>
      </w:r>
    </w:p>
    <w:p w14:paraId="2850A7C3" w14:textId="50ED4948" w:rsidR="00D251E9" w:rsidRPr="00AE54E9" w:rsidRDefault="00D251E9" w:rsidP="004E2068">
      <w:pPr>
        <w:widowControl/>
        <w:kinsoku/>
        <w:spacing w:after="170" w:line="276" w:lineRule="auto"/>
        <w:ind w:left="567"/>
        <w:rPr>
          <w:rFonts w:eastAsiaTheme="minorEastAsia"/>
          <w:sz w:val="22"/>
          <w:szCs w:val="22"/>
        </w:rPr>
      </w:pPr>
      <w:r>
        <w:rPr>
          <w:sz w:val="22"/>
        </w:rPr>
        <w:t>Leu</w:t>
      </w:r>
      <w:r w:rsidR="00B26FAE">
        <w:rPr>
          <w:sz w:val="22"/>
        </w:rPr>
        <w:t>-</w:t>
      </w:r>
      <w:r>
        <w:rPr>
          <w:sz w:val="22"/>
        </w:rPr>
        <w:t>Glu</w:t>
      </w:r>
      <w:r w:rsidR="00B26FAE">
        <w:rPr>
          <w:sz w:val="22"/>
        </w:rPr>
        <w:t>-</w:t>
      </w:r>
      <w:r>
        <w:rPr>
          <w:sz w:val="22"/>
        </w:rPr>
        <w:t>Tyr</w:t>
      </w:r>
      <w:r w:rsidR="00B26FAE">
        <w:rPr>
          <w:sz w:val="22"/>
        </w:rPr>
        <w:t>-</w:t>
      </w:r>
      <w:r>
        <w:rPr>
          <w:sz w:val="22"/>
        </w:rPr>
        <w:t>Cys</w:t>
      </w:r>
      <w:r w:rsidR="00B26FAE">
        <w:rPr>
          <w:sz w:val="22"/>
        </w:rPr>
        <w:t>-</w:t>
      </w:r>
      <w:r>
        <w:rPr>
          <w:sz w:val="22"/>
        </w:rPr>
        <w:t>Leu</w:t>
      </w:r>
      <w:r w:rsidR="00B26FAE">
        <w:rPr>
          <w:sz w:val="22"/>
        </w:rPr>
        <w:t>-</w:t>
      </w:r>
      <w:r>
        <w:rPr>
          <w:sz w:val="22"/>
        </w:rPr>
        <w:t>Lys</w:t>
      </w:r>
      <w:r w:rsidR="00B26FAE">
        <w:rPr>
          <w:sz w:val="22"/>
        </w:rPr>
        <w:t>-</w:t>
      </w:r>
      <w:r>
        <w:rPr>
          <w:sz w:val="22"/>
        </w:rPr>
        <w:t>Arg</w:t>
      </w:r>
      <w:r w:rsidR="00B26FAE">
        <w:rPr>
          <w:sz w:val="22"/>
        </w:rPr>
        <w:t>-</w:t>
      </w:r>
      <w:r>
        <w:rPr>
          <w:sz w:val="22"/>
        </w:rPr>
        <w:t>Trp</w:t>
      </w:r>
      <w:r w:rsidR="00B26FAE">
        <w:rPr>
          <w:sz w:val="22"/>
        </w:rPr>
        <w:t>-</w:t>
      </w:r>
      <w:r>
        <w:rPr>
          <w:sz w:val="22"/>
        </w:rPr>
        <w:t>Xaa</w:t>
      </w:r>
      <w:r w:rsidR="00B26FAE">
        <w:rPr>
          <w:sz w:val="22"/>
        </w:rPr>
        <w:t>-</w:t>
      </w:r>
      <w:r>
        <w:rPr>
          <w:sz w:val="22"/>
        </w:rPr>
        <w:t>Glu</w:t>
      </w:r>
      <w:r w:rsidR="00B26FAE">
        <w:rPr>
          <w:sz w:val="22"/>
        </w:rPr>
        <w:t>-</w:t>
      </w:r>
      <w:r>
        <w:rPr>
          <w:sz w:val="22"/>
        </w:rPr>
        <w:t>Thr</w:t>
      </w:r>
      <w:r w:rsidR="00B26FAE">
        <w:rPr>
          <w:sz w:val="22"/>
        </w:rPr>
        <w:t>-</w:t>
      </w:r>
      <w:r>
        <w:rPr>
          <w:sz w:val="22"/>
        </w:rPr>
        <w:t>Ile</w:t>
      </w:r>
      <w:r w:rsidR="00B26FAE">
        <w:rPr>
          <w:sz w:val="22"/>
        </w:rPr>
        <w:t>-</w:t>
      </w:r>
      <w:r>
        <w:rPr>
          <w:sz w:val="22"/>
        </w:rPr>
        <w:t>Ser</w:t>
      </w:r>
      <w:r w:rsidR="00B26FAE">
        <w:rPr>
          <w:sz w:val="22"/>
        </w:rPr>
        <w:t>-</w:t>
      </w:r>
      <w:r>
        <w:rPr>
          <w:sz w:val="22"/>
        </w:rPr>
        <w:t>His</w:t>
      </w:r>
      <w:r w:rsidR="00B26FAE">
        <w:rPr>
          <w:sz w:val="22"/>
        </w:rPr>
        <w:t>-</w:t>
      </w:r>
      <w:r>
        <w:rPr>
          <w:sz w:val="22"/>
        </w:rPr>
        <w:t>Cys</w:t>
      </w:r>
      <w:r w:rsidR="00B26FAE">
        <w:rPr>
          <w:sz w:val="22"/>
        </w:rPr>
        <w:t>-</w:t>
      </w:r>
      <w:r>
        <w:rPr>
          <w:sz w:val="22"/>
        </w:rPr>
        <w:t>Ala</w:t>
      </w:r>
      <w:r w:rsidR="00B26FAE">
        <w:rPr>
          <w:sz w:val="22"/>
        </w:rPr>
        <w:t>-</w:t>
      </w:r>
      <w:r>
        <w:rPr>
          <w:sz w:val="22"/>
        </w:rPr>
        <w:t>Trp</w:t>
      </w:r>
    </w:p>
    <w:p w14:paraId="3940A8A0" w14:textId="77777777" w:rsidR="00957D4E" w:rsidRPr="00AE54E9" w:rsidRDefault="00957D4E" w:rsidP="004E2068">
      <w:pPr>
        <w:widowControl/>
        <w:kinsoku/>
        <w:spacing w:after="170" w:line="276" w:lineRule="auto"/>
        <w:ind w:left="567"/>
        <w:rPr>
          <w:rFonts w:eastAsiaTheme="minorEastAsia"/>
          <w:sz w:val="22"/>
          <w:szCs w:val="22"/>
        </w:rPr>
      </w:pPr>
      <w:proofErr w:type="gramStart"/>
      <w:r>
        <w:rPr>
          <w:sz w:val="22"/>
        </w:rPr>
        <w:t>où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Xaa</w:t>
      </w:r>
      <w:proofErr w:type="spellEnd"/>
      <w:r>
        <w:rPr>
          <w:sz w:val="22"/>
        </w:rPr>
        <w:t xml:space="preserve"> peut être Ile, </w:t>
      </w:r>
      <w:proofErr w:type="spellStart"/>
      <w:r>
        <w:rPr>
          <w:sz w:val="22"/>
        </w:rPr>
        <w:t>Ala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Phe</w:t>
      </w:r>
      <w:proofErr w:type="spellEnd"/>
      <w:r>
        <w:rPr>
          <w:sz w:val="22"/>
        </w:rPr>
        <w:t xml:space="preserve">, Tyr, </w:t>
      </w:r>
      <w:proofErr w:type="spellStart"/>
      <w:r>
        <w:rPr>
          <w:sz w:val="22"/>
        </w:rPr>
        <w:t>aIle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MeIle</w:t>
      </w:r>
      <w:proofErr w:type="spellEnd"/>
      <w:r>
        <w:rPr>
          <w:sz w:val="22"/>
        </w:rPr>
        <w:t xml:space="preserve"> ou </w:t>
      </w:r>
      <w:proofErr w:type="spellStart"/>
      <w:r>
        <w:rPr>
          <w:sz w:val="22"/>
        </w:rPr>
        <w:t>Nle</w:t>
      </w:r>
      <w:proofErr w:type="spellEnd"/>
      <w:r>
        <w:rPr>
          <w:sz w:val="22"/>
        </w:rPr>
        <w:t>.</w:t>
      </w:r>
    </w:p>
    <w:p w14:paraId="0091D23A" w14:textId="3E635EF9" w:rsidR="00D251E9" w:rsidRPr="00AE54E9" w:rsidRDefault="00D251E9" w:rsidP="00D251E9">
      <w:pPr>
        <w:widowControl/>
        <w:kinsoku/>
        <w:spacing w:after="170"/>
        <w:rPr>
          <w:rFonts w:eastAsiaTheme="minorEastAsia"/>
          <w:b/>
          <w:bCs/>
          <w:sz w:val="22"/>
          <w:szCs w:val="22"/>
        </w:rPr>
      </w:pPr>
      <w:r>
        <w:rPr>
          <w:b/>
          <w:sz w:val="22"/>
        </w:rPr>
        <w:t>Question</w:t>
      </w:r>
      <w:r w:rsidR="004E2068">
        <w:rPr>
          <w:b/>
          <w:sz w:val="22"/>
        </w:rPr>
        <w:t> </w:t>
      </w:r>
      <w:r>
        <w:rPr>
          <w:b/>
          <w:sz w:val="22"/>
        </w:rPr>
        <w:t>1</w:t>
      </w:r>
      <w:r w:rsidR="00B26FAE">
        <w:rPr>
          <w:b/>
          <w:sz w:val="22"/>
        </w:rPr>
        <w:t> :</w:t>
      </w:r>
      <w:r>
        <w:rPr>
          <w:b/>
          <w:sz w:val="22"/>
        </w:rPr>
        <w:t xml:space="preserve"> La norme</w:t>
      </w:r>
      <w:r w:rsidR="009C7BD1">
        <w:rPr>
          <w:b/>
          <w:sz w:val="22"/>
        </w:rPr>
        <w:t> </w:t>
      </w:r>
      <w:r>
        <w:rPr>
          <w:b/>
          <w:sz w:val="22"/>
        </w:rPr>
        <w:t>ST.26 prescrit</w:t>
      </w:r>
      <w:r w:rsidR="00B26FAE">
        <w:rPr>
          <w:b/>
          <w:sz w:val="22"/>
        </w:rPr>
        <w:t>-</w:t>
      </w:r>
      <w:r>
        <w:rPr>
          <w:b/>
          <w:sz w:val="22"/>
        </w:rPr>
        <w:t>elle l</w:t>
      </w:r>
      <w:r w:rsidR="00B26FAE">
        <w:rPr>
          <w:b/>
          <w:sz w:val="22"/>
        </w:rPr>
        <w:t>’</w:t>
      </w:r>
      <w:r>
        <w:rPr>
          <w:b/>
          <w:sz w:val="22"/>
        </w:rPr>
        <w:t>intégration de la ou des séquences?</w:t>
      </w:r>
    </w:p>
    <w:p w14:paraId="753AB536" w14:textId="77777777" w:rsidR="00D251E9" w:rsidRPr="00AE54E9" w:rsidRDefault="00D251E9" w:rsidP="004E2068">
      <w:pPr>
        <w:widowControl/>
        <w:kinsoku/>
        <w:spacing w:after="170" w:line="276" w:lineRule="auto"/>
        <w:ind w:left="567"/>
        <w:rPr>
          <w:rFonts w:eastAsiaTheme="minorEastAsia"/>
          <w:b/>
          <w:sz w:val="22"/>
          <w:szCs w:val="22"/>
        </w:rPr>
      </w:pPr>
      <w:r>
        <w:rPr>
          <w:b/>
          <w:sz w:val="22"/>
        </w:rPr>
        <w:t>OUI</w:t>
      </w:r>
    </w:p>
    <w:p w14:paraId="6846D705" w14:textId="12E011AE" w:rsidR="00D251E9" w:rsidRPr="00AE54E9" w:rsidRDefault="00D251E9" w:rsidP="004E2068">
      <w:pPr>
        <w:widowControl/>
        <w:kinsoku/>
        <w:spacing w:after="170" w:line="276" w:lineRule="auto"/>
        <w:ind w:left="567"/>
        <w:rPr>
          <w:rFonts w:eastAsiaTheme="minorEastAsia"/>
          <w:sz w:val="22"/>
          <w:szCs w:val="22"/>
          <w:shd w:val="clear" w:color="auto" w:fill="FFFFFF"/>
        </w:rPr>
      </w:pPr>
      <w:r>
        <w:rPr>
          <w:sz w:val="22"/>
          <w:shd w:val="clear" w:color="auto" w:fill="FFFFFF"/>
        </w:rPr>
        <w:t>Le peptide énuméré fournit 16</w:t>
      </w:r>
      <w:r w:rsidR="004E2068">
        <w:rPr>
          <w:sz w:val="22"/>
          <w:shd w:val="clear" w:color="auto" w:fill="FFFFFF"/>
        </w:rPr>
        <w:t> </w:t>
      </w:r>
      <w:r>
        <w:rPr>
          <w:sz w:val="22"/>
          <w:shd w:val="clear" w:color="auto" w:fill="FFFFFF"/>
        </w:rPr>
        <w:t>acides aminés définis avec précisi</w:t>
      </w:r>
      <w:r w:rsidR="002A5D5F">
        <w:rPr>
          <w:sz w:val="22"/>
          <w:shd w:val="clear" w:color="auto" w:fill="FFFFFF"/>
        </w:rPr>
        <w:t>on.  Pa</w:t>
      </w:r>
      <w:r>
        <w:rPr>
          <w:sz w:val="22"/>
          <w:shd w:val="clear" w:color="auto" w:fill="FFFFFF"/>
        </w:rPr>
        <w:t>r conséquent, la séquence doit être intégrée dans un listage des séquences comme l</w:t>
      </w:r>
      <w:r w:rsidR="00B26FAE">
        <w:rPr>
          <w:sz w:val="22"/>
          <w:shd w:val="clear" w:color="auto" w:fill="FFFFFF"/>
        </w:rPr>
        <w:t>’</w:t>
      </w:r>
      <w:r>
        <w:rPr>
          <w:sz w:val="22"/>
          <w:shd w:val="clear" w:color="auto" w:fill="FFFFFF"/>
        </w:rPr>
        <w:t xml:space="preserve">exige le </w:t>
      </w:r>
      <w:r w:rsidR="00B26FAE">
        <w:rPr>
          <w:sz w:val="22"/>
          <w:shd w:val="clear" w:color="auto" w:fill="FFFFFF"/>
        </w:rPr>
        <w:t>paragraphe 7</w:t>
      </w:r>
      <w:r>
        <w:rPr>
          <w:sz w:val="22"/>
          <w:shd w:val="clear" w:color="auto" w:fill="FFFFFF"/>
        </w:rPr>
        <w:t>.b) de la norme</w:t>
      </w:r>
      <w:r w:rsidR="009C7BD1">
        <w:rPr>
          <w:sz w:val="22"/>
          <w:shd w:val="clear" w:color="auto" w:fill="FFFFFF"/>
        </w:rPr>
        <w:t> </w:t>
      </w:r>
      <w:r>
        <w:rPr>
          <w:sz w:val="22"/>
          <w:shd w:val="clear" w:color="auto" w:fill="FFFFFF"/>
        </w:rPr>
        <w:t>ST.26.</w:t>
      </w:r>
    </w:p>
    <w:p w14:paraId="00B3D0AF" w14:textId="66DBDD98" w:rsidR="00D251E9" w:rsidRPr="00AE54E9" w:rsidRDefault="00D251E9" w:rsidP="00D251E9">
      <w:pPr>
        <w:widowControl/>
        <w:kinsoku/>
        <w:spacing w:after="170" w:line="276" w:lineRule="auto"/>
        <w:rPr>
          <w:rFonts w:eastAsiaTheme="minorEastAsia"/>
          <w:b/>
          <w:bCs/>
          <w:sz w:val="22"/>
          <w:szCs w:val="22"/>
        </w:rPr>
      </w:pPr>
      <w:r>
        <w:rPr>
          <w:b/>
          <w:sz w:val="22"/>
        </w:rPr>
        <w:t>Question</w:t>
      </w:r>
      <w:r w:rsidR="004E2068">
        <w:rPr>
          <w:b/>
          <w:sz w:val="22"/>
        </w:rPr>
        <w:t> </w:t>
      </w:r>
      <w:r>
        <w:rPr>
          <w:b/>
          <w:sz w:val="22"/>
        </w:rPr>
        <w:t>3</w:t>
      </w:r>
      <w:r w:rsidR="00B26FAE">
        <w:rPr>
          <w:b/>
          <w:sz w:val="22"/>
        </w:rPr>
        <w:t> :</w:t>
      </w:r>
      <w:r>
        <w:rPr>
          <w:b/>
          <w:sz w:val="22"/>
        </w:rPr>
        <w:t xml:space="preserve"> Comment la ou les séquences devraient</w:t>
      </w:r>
      <w:r w:rsidR="00B26FAE">
        <w:rPr>
          <w:b/>
          <w:sz w:val="22"/>
        </w:rPr>
        <w:t>-</w:t>
      </w:r>
      <w:r>
        <w:rPr>
          <w:b/>
          <w:sz w:val="22"/>
        </w:rPr>
        <w:t>elles être représentées dans le listage des séquences?</w:t>
      </w:r>
    </w:p>
    <w:p w14:paraId="0D597257" w14:textId="0BE911E7" w:rsidR="005B0528" w:rsidRPr="00AE54E9" w:rsidRDefault="005B0528" w:rsidP="004E2068">
      <w:pPr>
        <w:widowControl/>
        <w:kinsoku/>
        <w:spacing w:after="170" w:line="276" w:lineRule="auto"/>
        <w:ind w:left="567"/>
        <w:rPr>
          <w:rFonts w:eastAsiaTheme="minorEastAsia"/>
          <w:sz w:val="22"/>
          <w:szCs w:val="22"/>
        </w:rPr>
      </w:pPr>
      <w:r>
        <w:rPr>
          <w:sz w:val="22"/>
        </w:rPr>
        <w:t xml:space="preserve">Le symbole ambigu le plus restrictif pouvant englober “Ile, </w:t>
      </w:r>
      <w:proofErr w:type="spellStart"/>
      <w:r>
        <w:rPr>
          <w:sz w:val="22"/>
        </w:rPr>
        <w:t>Ala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Phe</w:t>
      </w:r>
      <w:proofErr w:type="spellEnd"/>
      <w:r>
        <w:rPr>
          <w:sz w:val="22"/>
        </w:rPr>
        <w:t xml:space="preserve">, Tyr, </w:t>
      </w:r>
      <w:proofErr w:type="spellStart"/>
      <w:r>
        <w:rPr>
          <w:sz w:val="22"/>
        </w:rPr>
        <w:t>aIle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MeIle</w:t>
      </w:r>
      <w:proofErr w:type="spellEnd"/>
      <w:r>
        <w:rPr>
          <w:sz w:val="22"/>
        </w:rPr>
        <w:t xml:space="preserve">, ou </w:t>
      </w:r>
      <w:proofErr w:type="spellStart"/>
      <w:r>
        <w:rPr>
          <w:sz w:val="22"/>
        </w:rPr>
        <w:t>Nle</w:t>
      </w:r>
      <w:proofErr w:type="spellEnd"/>
      <w:r>
        <w:rPr>
          <w:sz w:val="22"/>
        </w:rPr>
        <w:t>” est “X”, la séquence doit être intégrée dans un listage de séquences comme suit</w:t>
      </w:r>
      <w:r w:rsidR="00B26FAE">
        <w:rPr>
          <w:sz w:val="22"/>
        </w:rPr>
        <w:t> :</w:t>
      </w:r>
    </w:p>
    <w:p w14:paraId="3B841FE4" w14:textId="53A2FAD5" w:rsidR="00D251E9" w:rsidRPr="00AE54E9" w:rsidRDefault="005B0528" w:rsidP="00C22584">
      <w:pPr>
        <w:widowControl/>
        <w:kinsoku/>
        <w:spacing w:after="170" w:line="276" w:lineRule="auto"/>
        <w:ind w:left="567"/>
        <w:rPr>
          <w:rFonts w:eastAsiaTheme="minorEastAsia"/>
          <w:sz w:val="22"/>
          <w:szCs w:val="22"/>
        </w:rPr>
      </w:pPr>
      <w:r>
        <w:rPr>
          <w:sz w:val="22"/>
        </w:rPr>
        <w:t xml:space="preserve">LEYCLKRWXETISHCAW </w:t>
      </w:r>
      <w:r>
        <w:rPr>
          <w:color w:val="000000"/>
          <w:sz w:val="22"/>
        </w:rPr>
        <w:t>(SEQ ID NO: xx)</w:t>
      </w:r>
    </w:p>
    <w:p w14:paraId="4A1DEC1C" w14:textId="39BE46F7" w:rsidR="00B26FAE" w:rsidRDefault="00C36C56" w:rsidP="004E2068">
      <w:pPr>
        <w:widowControl/>
        <w:kinsoku/>
        <w:spacing w:after="170" w:line="276" w:lineRule="auto"/>
        <w:ind w:left="567"/>
        <w:rPr>
          <w:sz w:val="22"/>
        </w:rPr>
      </w:pPr>
      <w:r>
        <w:rPr>
          <w:sz w:val="22"/>
          <w:shd w:val="clear" w:color="auto" w:fill="FFFFFF"/>
        </w:rPr>
        <w:t xml:space="preserve">Le </w:t>
      </w:r>
      <w:r w:rsidR="00B26FAE">
        <w:rPr>
          <w:sz w:val="22"/>
          <w:shd w:val="clear" w:color="auto" w:fill="FFFFFF"/>
        </w:rPr>
        <w:t>paragraphe 3</w:t>
      </w:r>
      <w:r>
        <w:rPr>
          <w:sz w:val="22"/>
          <w:shd w:val="clear" w:color="auto" w:fill="FFFFFF"/>
        </w:rPr>
        <w:t>0 de la norme</w:t>
      </w:r>
      <w:r w:rsidR="009C7BD1">
        <w:rPr>
          <w:sz w:val="22"/>
          <w:shd w:val="clear" w:color="auto" w:fill="FFFFFF"/>
        </w:rPr>
        <w:t> </w:t>
      </w:r>
      <w:r>
        <w:rPr>
          <w:sz w:val="22"/>
          <w:shd w:val="clear" w:color="auto" w:fill="FFFFFF"/>
        </w:rPr>
        <w:t>ST.26 requiert qu</w:t>
      </w:r>
      <w:r w:rsidR="00B26FAE">
        <w:rPr>
          <w:sz w:val="22"/>
          <w:shd w:val="clear" w:color="auto" w:fill="FFFFFF"/>
        </w:rPr>
        <w:t>’</w:t>
      </w:r>
      <w:r>
        <w:rPr>
          <w:sz w:val="22"/>
          <w:shd w:val="clear" w:color="auto" w:fill="FFFFFF"/>
        </w:rPr>
        <w:t>“[u]n acide aminé modifié doit être accompagné d</w:t>
      </w:r>
      <w:r w:rsidR="00B26FAE">
        <w:rPr>
          <w:sz w:val="22"/>
          <w:shd w:val="clear" w:color="auto" w:fill="FFFFFF"/>
        </w:rPr>
        <w:t>’</w:t>
      </w:r>
      <w:r>
        <w:rPr>
          <w:sz w:val="22"/>
          <w:shd w:val="clear" w:color="auto" w:fill="FFFFFF"/>
        </w:rPr>
        <w:t>une description supplémentaire dans le tableau des caractéristiques”.  Cependant, il n</w:t>
      </w:r>
      <w:r w:rsidR="00B26FAE">
        <w:rPr>
          <w:sz w:val="22"/>
          <w:shd w:val="clear" w:color="auto" w:fill="FFFFFF"/>
        </w:rPr>
        <w:t>’</w:t>
      </w:r>
      <w:r>
        <w:rPr>
          <w:sz w:val="22"/>
          <w:shd w:val="clear" w:color="auto" w:fill="FFFFFF"/>
        </w:rPr>
        <w:t>exige pas l</w:t>
      </w:r>
      <w:r w:rsidR="00B26FAE">
        <w:rPr>
          <w:sz w:val="22"/>
          <w:shd w:val="clear" w:color="auto" w:fill="FFFFFF"/>
        </w:rPr>
        <w:t>’</w:t>
      </w:r>
      <w:r>
        <w:rPr>
          <w:sz w:val="22"/>
          <w:shd w:val="clear" w:color="auto" w:fill="FFFFFF"/>
        </w:rPr>
        <w:t>utilisation d</w:t>
      </w:r>
      <w:r w:rsidR="00B26FAE">
        <w:rPr>
          <w:sz w:val="22"/>
          <w:shd w:val="clear" w:color="auto" w:fill="FFFFFF"/>
        </w:rPr>
        <w:t>’</w:t>
      </w:r>
      <w:r>
        <w:rPr>
          <w:sz w:val="22"/>
          <w:shd w:val="clear" w:color="auto" w:fill="FFFFFF"/>
        </w:rPr>
        <w:t xml:space="preserve">une clé de caractérisation spécifique pour décrire les acides aminés modifiés.  Même si le </w:t>
      </w:r>
      <w:r w:rsidR="00B26FAE">
        <w:rPr>
          <w:sz w:val="22"/>
          <w:shd w:val="clear" w:color="auto" w:fill="FFFFFF"/>
        </w:rPr>
        <w:t>paragraphe 3</w:t>
      </w:r>
      <w:r>
        <w:rPr>
          <w:sz w:val="22"/>
          <w:shd w:val="clear" w:color="auto" w:fill="FFFFFF"/>
        </w:rPr>
        <w:t>0 décrit l</w:t>
      </w:r>
      <w:r w:rsidR="00B26FAE">
        <w:rPr>
          <w:sz w:val="22"/>
          <w:shd w:val="clear" w:color="auto" w:fill="FFFFFF"/>
        </w:rPr>
        <w:t>’</w:t>
      </w:r>
      <w:r>
        <w:rPr>
          <w:sz w:val="22"/>
          <w:shd w:val="clear" w:color="auto" w:fill="FFFFFF"/>
        </w:rPr>
        <w:t>utilisation des clés de caractérisation “CARBOHYD”, “LIPID”, “MOD_RES”, et “SITE”, ces clés sont plus appropriées pour les scénarios où l</w:t>
      </w:r>
      <w:r w:rsidR="00B26FAE">
        <w:rPr>
          <w:sz w:val="22"/>
          <w:shd w:val="clear" w:color="auto" w:fill="FFFFFF"/>
        </w:rPr>
        <w:t>’</w:t>
      </w:r>
      <w:r>
        <w:rPr>
          <w:sz w:val="22"/>
          <w:shd w:val="clear" w:color="auto" w:fill="FFFFFF"/>
        </w:rPr>
        <w:t>acide aminé modifié ne figure pas dans la liste d</w:t>
      </w:r>
      <w:r w:rsidR="00B26FAE">
        <w:rPr>
          <w:sz w:val="22"/>
          <w:shd w:val="clear" w:color="auto" w:fill="FFFFFF"/>
        </w:rPr>
        <w:t>’</w:t>
      </w:r>
      <w:r>
        <w:rPr>
          <w:sz w:val="22"/>
          <w:shd w:val="clear" w:color="auto" w:fill="FFFFFF"/>
        </w:rPr>
        <w:t>alternatives d</w:t>
      </w:r>
      <w:r w:rsidR="00B26FAE">
        <w:rPr>
          <w:sz w:val="22"/>
          <w:shd w:val="clear" w:color="auto" w:fill="FFFFFF"/>
        </w:rPr>
        <w:t>’</w:t>
      </w:r>
      <w:r>
        <w:rPr>
          <w:sz w:val="22"/>
          <w:shd w:val="clear" w:color="auto" w:fill="FFFFFF"/>
        </w:rPr>
        <w:t>un emplacement donné.  Dans cet exemple, la clé de caractérisation “VARIANT” satisfait à l</w:t>
      </w:r>
      <w:r w:rsidR="00B26FAE">
        <w:rPr>
          <w:sz w:val="22"/>
          <w:shd w:val="clear" w:color="auto" w:fill="FFFFFF"/>
        </w:rPr>
        <w:t>’</w:t>
      </w:r>
      <w:r>
        <w:rPr>
          <w:sz w:val="22"/>
          <w:shd w:val="clear" w:color="auto" w:fill="FFFFFF"/>
        </w:rPr>
        <w:t xml:space="preserve">exigence du </w:t>
      </w:r>
      <w:r w:rsidR="00B26FAE">
        <w:rPr>
          <w:sz w:val="22"/>
          <w:shd w:val="clear" w:color="auto" w:fill="FFFFFF"/>
        </w:rPr>
        <w:t>paragraphe 3</w:t>
      </w:r>
      <w:r>
        <w:rPr>
          <w:sz w:val="22"/>
          <w:shd w:val="clear" w:color="auto" w:fill="FFFFFF"/>
        </w:rPr>
        <w:t>0, puisqu</w:t>
      </w:r>
      <w:r w:rsidR="00B26FAE">
        <w:rPr>
          <w:sz w:val="22"/>
          <w:shd w:val="clear" w:color="auto" w:fill="FFFFFF"/>
        </w:rPr>
        <w:t>’</w:t>
      </w:r>
      <w:r>
        <w:rPr>
          <w:sz w:val="22"/>
          <w:shd w:val="clear" w:color="auto" w:fill="FFFFFF"/>
        </w:rPr>
        <w:t>elle permet de représenter toutes les alternatives à l</w:t>
      </w:r>
      <w:r w:rsidR="00B26FAE">
        <w:rPr>
          <w:sz w:val="22"/>
          <w:shd w:val="clear" w:color="auto" w:fill="FFFFFF"/>
        </w:rPr>
        <w:t>’</w:t>
      </w:r>
      <w:r>
        <w:rPr>
          <w:sz w:val="22"/>
          <w:shd w:val="clear" w:color="auto" w:fill="FFFFFF"/>
        </w:rPr>
        <w:t xml:space="preserve">emplacement de la variante.  Ainsi, la clé “VARIANT” accompagnée du qualificateur “note” “Ile, </w:t>
      </w:r>
      <w:proofErr w:type="spellStart"/>
      <w:r>
        <w:rPr>
          <w:sz w:val="22"/>
          <w:shd w:val="clear" w:color="auto" w:fill="FFFFFF"/>
        </w:rPr>
        <w:t>Ala</w:t>
      </w:r>
      <w:proofErr w:type="spellEnd"/>
      <w:r>
        <w:rPr>
          <w:sz w:val="22"/>
          <w:shd w:val="clear" w:color="auto" w:fill="FFFFFF"/>
        </w:rPr>
        <w:t xml:space="preserve">, </w:t>
      </w:r>
      <w:proofErr w:type="spellStart"/>
      <w:r>
        <w:rPr>
          <w:sz w:val="22"/>
          <w:shd w:val="clear" w:color="auto" w:fill="FFFFFF"/>
        </w:rPr>
        <w:t>Phe</w:t>
      </w:r>
      <w:proofErr w:type="spellEnd"/>
      <w:r>
        <w:rPr>
          <w:sz w:val="22"/>
          <w:shd w:val="clear" w:color="auto" w:fill="FFFFFF"/>
        </w:rPr>
        <w:t xml:space="preserve">, Tyr, </w:t>
      </w:r>
      <w:proofErr w:type="spellStart"/>
      <w:r>
        <w:rPr>
          <w:sz w:val="22"/>
        </w:rPr>
        <w:t>aIle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MeIle</w:t>
      </w:r>
      <w:proofErr w:type="spellEnd"/>
      <w:r>
        <w:rPr>
          <w:sz w:val="22"/>
        </w:rPr>
        <w:t xml:space="preserve">, ou </w:t>
      </w:r>
      <w:proofErr w:type="spellStart"/>
      <w:r>
        <w:rPr>
          <w:sz w:val="22"/>
        </w:rPr>
        <w:t>Nle</w:t>
      </w:r>
      <w:proofErr w:type="spellEnd"/>
      <w:r>
        <w:rPr>
          <w:sz w:val="22"/>
        </w:rPr>
        <w:t xml:space="preserve">” </w:t>
      </w:r>
      <w:r>
        <w:rPr>
          <w:sz w:val="22"/>
          <w:shd w:val="clear" w:color="auto" w:fill="FFFFFF"/>
        </w:rPr>
        <w:t xml:space="preserve">en tant que valeur de qualificateur </w:t>
      </w:r>
      <w:r>
        <w:rPr>
          <w:sz w:val="22"/>
        </w:rPr>
        <w:t>doit être utilisée pour décrire l</w:t>
      </w:r>
      <w:r w:rsidR="00B26FAE">
        <w:rPr>
          <w:sz w:val="22"/>
        </w:rPr>
        <w:t>’</w:t>
      </w:r>
      <w:r>
        <w:rPr>
          <w:sz w:val="22"/>
        </w:rPr>
        <w:t>emplacement de la variante en position 9.  L</w:t>
      </w:r>
      <w:r w:rsidR="00B26FAE">
        <w:rPr>
          <w:sz w:val="22"/>
        </w:rPr>
        <w:t>’</w:t>
      </w:r>
      <w:r>
        <w:rPr>
          <w:sz w:val="22"/>
        </w:rPr>
        <w:t>utilisation d</w:t>
      </w:r>
      <w:r w:rsidR="00B26FAE">
        <w:rPr>
          <w:sz w:val="22"/>
        </w:rPr>
        <w:t>’</w:t>
      </w:r>
      <w:r>
        <w:rPr>
          <w:sz w:val="22"/>
        </w:rPr>
        <w:t>une deuxième clé de caractérisation telle que “SITE” et du qualificateur “note” peut être employée pour mieux définir les acides aminés modifiés trouvés en position</w:t>
      </w:r>
      <w:r w:rsidR="004E2068">
        <w:rPr>
          <w:sz w:val="22"/>
        </w:rPr>
        <w:t> </w:t>
      </w:r>
      <w:r>
        <w:rPr>
          <w:sz w:val="22"/>
        </w:rPr>
        <w:t>9.</w:t>
      </w:r>
    </w:p>
    <w:p w14:paraId="5A6E43F8" w14:textId="504C09C4" w:rsidR="00ED2F74" w:rsidRPr="00AE54E9" w:rsidRDefault="00D251E9" w:rsidP="00D251E9">
      <w:pPr>
        <w:widowControl/>
        <w:kinsoku/>
        <w:spacing w:after="170" w:line="276" w:lineRule="auto"/>
        <w:rPr>
          <w:rFonts w:eastAsiaTheme="minorEastAsia"/>
          <w:sz w:val="22"/>
          <w:szCs w:val="22"/>
        </w:rPr>
      </w:pPr>
      <w:r>
        <w:rPr>
          <w:b/>
          <w:sz w:val="22"/>
        </w:rPr>
        <w:t>Paragraphe(s) pertinent(s) de la norme</w:t>
      </w:r>
      <w:r w:rsidR="009C7BD1">
        <w:rPr>
          <w:b/>
          <w:sz w:val="22"/>
        </w:rPr>
        <w:t> </w:t>
      </w:r>
      <w:r>
        <w:rPr>
          <w:b/>
          <w:sz w:val="22"/>
        </w:rPr>
        <w:t>ST.26</w:t>
      </w:r>
      <w:r w:rsidR="00B26FAE">
        <w:rPr>
          <w:b/>
          <w:sz w:val="22"/>
        </w:rPr>
        <w:t> :</w:t>
      </w:r>
      <w:r>
        <w:rPr>
          <w:b/>
          <w:sz w:val="22"/>
        </w:rPr>
        <w:t xml:space="preserve"> </w:t>
      </w:r>
      <w:r>
        <w:rPr>
          <w:sz w:val="22"/>
        </w:rPr>
        <w:t xml:space="preserve">3.a), 7.b), 26, 27, 30, </w:t>
      </w:r>
      <w:r>
        <w:rPr>
          <w:b/>
          <w:sz w:val="22"/>
        </w:rPr>
        <w:t>94</w:t>
      </w:r>
      <w:r>
        <w:rPr>
          <w:sz w:val="22"/>
        </w:rPr>
        <w:t xml:space="preserve">, 96 et </w:t>
      </w:r>
      <w:r w:rsidR="00B26FAE">
        <w:rPr>
          <w:sz w:val="22"/>
        </w:rPr>
        <w:t>annexe I</w:t>
      </w:r>
      <w:r>
        <w:rPr>
          <w:sz w:val="22"/>
        </w:rPr>
        <w:t xml:space="preserve">, </w:t>
      </w:r>
      <w:r w:rsidR="00B26FAE">
        <w:rPr>
          <w:sz w:val="22"/>
        </w:rPr>
        <w:t>section 4</w:t>
      </w:r>
      <w:r>
        <w:rPr>
          <w:sz w:val="22"/>
        </w:rPr>
        <w:t>, tableau</w:t>
      </w:r>
      <w:r w:rsidR="009C7BD1">
        <w:rPr>
          <w:sz w:val="22"/>
        </w:rPr>
        <w:t> </w:t>
      </w:r>
      <w:r>
        <w:rPr>
          <w:sz w:val="22"/>
        </w:rPr>
        <w:t>4</w:t>
      </w:r>
    </w:p>
    <w:p w14:paraId="533261D3" w14:textId="77777777" w:rsidR="00ED2F74" w:rsidRPr="00AE54E9" w:rsidRDefault="00ED2F74" w:rsidP="00ED2F74">
      <w:pPr>
        <w:rPr>
          <w:sz w:val="22"/>
          <w:szCs w:val="22"/>
        </w:rPr>
      </w:pPr>
      <w:r>
        <w:br w:type="page"/>
      </w:r>
    </w:p>
    <w:p w14:paraId="4EDFC899" w14:textId="25D5E9F5" w:rsidR="00ED2F74" w:rsidRPr="00AE54E9" w:rsidRDefault="00B26FAE" w:rsidP="00ED2F74">
      <w:pPr>
        <w:pStyle w:val="Heading3"/>
        <w:spacing w:before="0" w:after="120"/>
        <w:rPr>
          <w:i/>
          <w:sz w:val="22"/>
          <w:szCs w:val="22"/>
          <w:u w:val="none"/>
        </w:rPr>
      </w:pPr>
      <w:r>
        <w:rPr>
          <w:i/>
          <w:sz w:val="22"/>
          <w:u w:val="none"/>
        </w:rPr>
        <w:lastRenderedPageBreak/>
        <w:t>Paragraphe 3</w:t>
      </w:r>
      <w:r w:rsidR="00ED2F74">
        <w:rPr>
          <w:i/>
          <w:sz w:val="22"/>
          <w:u w:val="none"/>
        </w:rPr>
        <w:t>0 – Annotation d</w:t>
      </w:r>
      <w:r>
        <w:rPr>
          <w:i/>
          <w:sz w:val="22"/>
          <w:u w:val="none"/>
        </w:rPr>
        <w:t>’</w:t>
      </w:r>
      <w:r w:rsidR="00ED2F74">
        <w:rPr>
          <w:i/>
          <w:sz w:val="22"/>
          <w:u w:val="none"/>
        </w:rPr>
        <w:t>un acide aminé modifié</w:t>
      </w:r>
    </w:p>
    <w:p w14:paraId="7A1F7377" w14:textId="22BA4F46" w:rsidR="00ED2F74" w:rsidRPr="00AE54E9" w:rsidRDefault="00ED2F74" w:rsidP="00ED2F74">
      <w:pPr>
        <w:widowControl/>
        <w:kinsoku/>
        <w:spacing w:after="170"/>
        <w:rPr>
          <w:rFonts w:eastAsiaTheme="minorEastAsia"/>
          <w:b/>
          <w:sz w:val="22"/>
          <w:szCs w:val="22"/>
        </w:rPr>
      </w:pPr>
      <w:r>
        <w:rPr>
          <w:b/>
          <w:sz w:val="22"/>
        </w:rPr>
        <w:t>Exemple</w:t>
      </w:r>
      <w:r w:rsidR="004E2068">
        <w:rPr>
          <w:b/>
          <w:sz w:val="22"/>
        </w:rPr>
        <w:t> </w:t>
      </w:r>
      <w:r>
        <w:rPr>
          <w:b/>
          <w:sz w:val="22"/>
        </w:rPr>
        <w:t>30</w:t>
      </w:r>
      <w:r w:rsidR="00B26FAE">
        <w:rPr>
          <w:b/>
          <w:sz w:val="22"/>
        </w:rPr>
        <w:t>-</w:t>
      </w:r>
      <w:r>
        <w:rPr>
          <w:b/>
          <w:sz w:val="22"/>
        </w:rPr>
        <w:t>2</w:t>
      </w:r>
      <w:r w:rsidR="004E2068">
        <w:rPr>
          <w:b/>
          <w:sz w:val="22"/>
        </w:rPr>
        <w:t xml:space="preserve"> </w:t>
      </w:r>
      <w:r>
        <w:rPr>
          <w:b/>
          <w:sz w:val="22"/>
        </w:rPr>
        <w:t>– Acides aminés modifiés après traduction</w:t>
      </w:r>
    </w:p>
    <w:p w14:paraId="239D8CED" w14:textId="7C71DC0A" w:rsidR="00ED2F74" w:rsidRPr="00AE54E9" w:rsidRDefault="00ED2F74" w:rsidP="004E2068">
      <w:pPr>
        <w:widowControl/>
        <w:kinsoku/>
        <w:spacing w:after="170" w:line="276" w:lineRule="auto"/>
        <w:ind w:left="567"/>
        <w:rPr>
          <w:rFonts w:eastAsiaTheme="minorEastAsia"/>
          <w:sz w:val="22"/>
          <w:szCs w:val="22"/>
        </w:rPr>
      </w:pPr>
      <w:r>
        <w:rPr>
          <w:sz w:val="22"/>
        </w:rPr>
        <w:t>Une demande de brevet décrit le polypeptide suivant</w:t>
      </w:r>
      <w:r w:rsidR="00B26FAE">
        <w:rPr>
          <w:sz w:val="22"/>
        </w:rPr>
        <w:t> :</w:t>
      </w:r>
    </w:p>
    <w:p w14:paraId="6E341AC4" w14:textId="755EC22B" w:rsidR="00ED2F74" w:rsidRPr="00AE54E9" w:rsidRDefault="00ED2F74" w:rsidP="004E2068">
      <w:pPr>
        <w:widowControl/>
        <w:kinsoku/>
        <w:spacing w:after="170" w:line="276" w:lineRule="auto"/>
        <w:ind w:left="567"/>
        <w:rPr>
          <w:rFonts w:eastAsiaTheme="minorEastAsia"/>
          <w:sz w:val="22"/>
          <w:szCs w:val="22"/>
        </w:rPr>
      </w:pPr>
      <w:r>
        <w:rPr>
          <w:sz w:val="22"/>
        </w:rPr>
        <w:t>Leu</w:t>
      </w:r>
      <w:r w:rsidR="00B26FAE">
        <w:rPr>
          <w:sz w:val="22"/>
        </w:rPr>
        <w:t>-</w:t>
      </w:r>
      <w:r>
        <w:rPr>
          <w:sz w:val="22"/>
        </w:rPr>
        <w:t>Glu</w:t>
      </w:r>
      <w:r w:rsidR="00B26FAE">
        <w:rPr>
          <w:sz w:val="22"/>
        </w:rPr>
        <w:t>-</w:t>
      </w:r>
      <w:r>
        <w:rPr>
          <w:sz w:val="22"/>
        </w:rPr>
        <w:t>Tyr</w:t>
      </w:r>
      <w:r w:rsidR="00B26FAE">
        <w:rPr>
          <w:sz w:val="22"/>
        </w:rPr>
        <w:t>-</w:t>
      </w:r>
      <w:proofErr w:type="spellStart"/>
      <w:r>
        <w:rPr>
          <w:sz w:val="22"/>
        </w:rPr>
        <w:t>Cys</w:t>
      </w:r>
      <w:proofErr w:type="spellEnd"/>
      <w:r w:rsidR="00B26FAE">
        <w:rPr>
          <w:sz w:val="22"/>
        </w:rPr>
        <w:t>-</w:t>
      </w:r>
      <w:r>
        <w:rPr>
          <w:sz w:val="22"/>
        </w:rPr>
        <w:t>Leu</w:t>
      </w:r>
      <w:r w:rsidR="00B26FAE">
        <w:rPr>
          <w:sz w:val="22"/>
        </w:rPr>
        <w:t>-</w:t>
      </w:r>
      <w:r>
        <w:rPr>
          <w:sz w:val="22"/>
        </w:rPr>
        <w:t>Lys</w:t>
      </w:r>
      <w:r w:rsidR="00B26FAE">
        <w:rPr>
          <w:sz w:val="22"/>
        </w:rPr>
        <w:t>-</w:t>
      </w:r>
      <w:proofErr w:type="spellStart"/>
      <w:r>
        <w:rPr>
          <w:b/>
          <w:sz w:val="22"/>
        </w:rPr>
        <w:t>Arg</w:t>
      </w:r>
      <w:proofErr w:type="spellEnd"/>
      <w:r w:rsidR="00B26FAE">
        <w:rPr>
          <w:sz w:val="22"/>
        </w:rPr>
        <w:t>-</w:t>
      </w:r>
      <w:proofErr w:type="spellStart"/>
      <w:r>
        <w:rPr>
          <w:sz w:val="22"/>
        </w:rPr>
        <w:t>Trp</w:t>
      </w:r>
      <w:proofErr w:type="spellEnd"/>
      <w:r w:rsidR="00B26FAE">
        <w:rPr>
          <w:sz w:val="22"/>
        </w:rPr>
        <w:t>-</w:t>
      </w:r>
      <w:proofErr w:type="spellStart"/>
      <w:r>
        <w:rPr>
          <w:sz w:val="22"/>
        </w:rPr>
        <w:t>Xaa</w:t>
      </w:r>
      <w:proofErr w:type="spellEnd"/>
      <w:r w:rsidR="00B26FAE">
        <w:rPr>
          <w:sz w:val="22"/>
        </w:rPr>
        <w:t>-</w:t>
      </w:r>
      <w:r>
        <w:rPr>
          <w:sz w:val="22"/>
        </w:rPr>
        <w:t>Glu</w:t>
      </w:r>
      <w:r w:rsidR="00B26FAE">
        <w:rPr>
          <w:sz w:val="22"/>
        </w:rPr>
        <w:t>-</w:t>
      </w:r>
      <w:proofErr w:type="spellStart"/>
      <w:r>
        <w:rPr>
          <w:sz w:val="22"/>
        </w:rPr>
        <w:t>Thr</w:t>
      </w:r>
      <w:proofErr w:type="spellEnd"/>
      <w:r w:rsidR="00B26FAE">
        <w:rPr>
          <w:sz w:val="22"/>
        </w:rPr>
        <w:t>-</w:t>
      </w:r>
      <w:r>
        <w:rPr>
          <w:sz w:val="22"/>
        </w:rPr>
        <w:t>Ile</w:t>
      </w:r>
      <w:r w:rsidR="00B26FAE">
        <w:rPr>
          <w:sz w:val="22"/>
        </w:rPr>
        <w:t>-</w:t>
      </w:r>
      <w:proofErr w:type="spellStart"/>
      <w:r>
        <w:rPr>
          <w:sz w:val="22"/>
        </w:rPr>
        <w:t>Ser</w:t>
      </w:r>
      <w:proofErr w:type="spellEnd"/>
      <w:r w:rsidR="00B26FAE">
        <w:rPr>
          <w:sz w:val="22"/>
        </w:rPr>
        <w:t>-</w:t>
      </w:r>
      <w:proofErr w:type="spellStart"/>
      <w:r>
        <w:rPr>
          <w:sz w:val="22"/>
        </w:rPr>
        <w:t>His</w:t>
      </w:r>
      <w:proofErr w:type="spellEnd"/>
    </w:p>
    <w:p w14:paraId="5FF3B3A8" w14:textId="04663A2D" w:rsidR="00080F9B" w:rsidRPr="00AE54E9" w:rsidRDefault="00080F9B" w:rsidP="004E2068">
      <w:pPr>
        <w:widowControl/>
        <w:kinsoku/>
        <w:spacing w:after="170" w:line="276" w:lineRule="auto"/>
        <w:ind w:left="567"/>
        <w:rPr>
          <w:rFonts w:eastAsiaTheme="minorEastAsia"/>
          <w:sz w:val="22"/>
          <w:szCs w:val="22"/>
        </w:rPr>
      </w:pPr>
      <w:proofErr w:type="gramStart"/>
      <w:r>
        <w:rPr>
          <w:sz w:val="22"/>
        </w:rPr>
        <w:t>dans</w:t>
      </w:r>
      <w:proofErr w:type="gramEnd"/>
      <w:r>
        <w:rPr>
          <w:sz w:val="22"/>
        </w:rPr>
        <w:t xml:space="preserve"> lequel l</w:t>
      </w:r>
      <w:r w:rsidR="00B26FAE">
        <w:rPr>
          <w:sz w:val="22"/>
        </w:rPr>
        <w:t>’</w:t>
      </w:r>
      <w:proofErr w:type="spellStart"/>
      <w:r>
        <w:rPr>
          <w:sz w:val="22"/>
        </w:rPr>
        <w:t>Arg</w:t>
      </w:r>
      <w:proofErr w:type="spellEnd"/>
      <w:r>
        <w:rPr>
          <w:sz w:val="22"/>
        </w:rPr>
        <w:t xml:space="preserve"> en position</w:t>
      </w:r>
      <w:r w:rsidR="004E2068">
        <w:rPr>
          <w:sz w:val="22"/>
        </w:rPr>
        <w:t> </w:t>
      </w:r>
      <w:r>
        <w:rPr>
          <w:sz w:val="22"/>
        </w:rPr>
        <w:t xml:space="preserve">7 peut être modifié en </w:t>
      </w:r>
      <w:proofErr w:type="spellStart"/>
      <w:r>
        <w:rPr>
          <w:sz w:val="22"/>
        </w:rPr>
        <w:t>citrulline</w:t>
      </w:r>
      <w:proofErr w:type="spellEnd"/>
      <w:r>
        <w:rPr>
          <w:sz w:val="22"/>
        </w:rPr>
        <w:t xml:space="preserve"> après traduction.</w:t>
      </w:r>
    </w:p>
    <w:p w14:paraId="234027F3" w14:textId="06D5EA4D" w:rsidR="00ED2F74" w:rsidRPr="00AE54E9" w:rsidRDefault="00ED2F74" w:rsidP="00ED2F74">
      <w:pPr>
        <w:widowControl/>
        <w:kinsoku/>
        <w:spacing w:after="170"/>
        <w:rPr>
          <w:rFonts w:eastAsiaTheme="minorEastAsia"/>
          <w:b/>
          <w:bCs/>
          <w:sz w:val="22"/>
          <w:szCs w:val="22"/>
        </w:rPr>
      </w:pPr>
      <w:r>
        <w:rPr>
          <w:b/>
          <w:sz w:val="22"/>
        </w:rPr>
        <w:t>Question</w:t>
      </w:r>
      <w:r w:rsidR="004E2068">
        <w:rPr>
          <w:b/>
          <w:sz w:val="22"/>
        </w:rPr>
        <w:t> </w:t>
      </w:r>
      <w:r>
        <w:rPr>
          <w:b/>
          <w:sz w:val="22"/>
        </w:rPr>
        <w:t>1</w:t>
      </w:r>
      <w:r w:rsidR="00B26FAE">
        <w:rPr>
          <w:b/>
          <w:sz w:val="22"/>
        </w:rPr>
        <w:t> :</w:t>
      </w:r>
      <w:r>
        <w:rPr>
          <w:b/>
          <w:sz w:val="22"/>
        </w:rPr>
        <w:t xml:space="preserve"> La norme</w:t>
      </w:r>
      <w:r w:rsidR="009C7BD1">
        <w:rPr>
          <w:b/>
          <w:sz w:val="22"/>
        </w:rPr>
        <w:t> </w:t>
      </w:r>
      <w:r>
        <w:rPr>
          <w:b/>
          <w:sz w:val="22"/>
        </w:rPr>
        <w:t>ST.26 prescrit</w:t>
      </w:r>
      <w:r w:rsidR="00B26FAE">
        <w:rPr>
          <w:b/>
          <w:sz w:val="22"/>
        </w:rPr>
        <w:t>-</w:t>
      </w:r>
      <w:r>
        <w:rPr>
          <w:b/>
          <w:sz w:val="22"/>
        </w:rPr>
        <w:t>elle l</w:t>
      </w:r>
      <w:r w:rsidR="00B26FAE">
        <w:rPr>
          <w:b/>
          <w:sz w:val="22"/>
        </w:rPr>
        <w:t>’</w:t>
      </w:r>
      <w:r>
        <w:rPr>
          <w:b/>
          <w:sz w:val="22"/>
        </w:rPr>
        <w:t>intégration de la ou des séquences?</w:t>
      </w:r>
    </w:p>
    <w:p w14:paraId="6F4948AD" w14:textId="77777777" w:rsidR="00ED2F74" w:rsidRPr="00AE54E9" w:rsidRDefault="00ED2F74" w:rsidP="004E2068">
      <w:pPr>
        <w:widowControl/>
        <w:kinsoku/>
        <w:spacing w:after="170" w:line="276" w:lineRule="auto"/>
        <w:ind w:left="567"/>
        <w:rPr>
          <w:rFonts w:eastAsiaTheme="minorEastAsia"/>
          <w:b/>
          <w:sz w:val="22"/>
          <w:szCs w:val="22"/>
        </w:rPr>
      </w:pPr>
      <w:r>
        <w:rPr>
          <w:b/>
          <w:sz w:val="22"/>
        </w:rPr>
        <w:t>OUI</w:t>
      </w:r>
    </w:p>
    <w:p w14:paraId="697605EA" w14:textId="2A997064" w:rsidR="00ED2F74" w:rsidRPr="00AE54E9" w:rsidRDefault="00ED2F74" w:rsidP="004E2068">
      <w:pPr>
        <w:widowControl/>
        <w:kinsoku/>
        <w:spacing w:after="170" w:line="276" w:lineRule="auto"/>
        <w:ind w:left="567"/>
        <w:rPr>
          <w:rFonts w:eastAsiaTheme="minorEastAsia"/>
          <w:sz w:val="22"/>
          <w:szCs w:val="22"/>
          <w:shd w:val="clear" w:color="auto" w:fill="FFFFFF"/>
        </w:rPr>
      </w:pPr>
      <w:r>
        <w:rPr>
          <w:sz w:val="22"/>
          <w:shd w:val="clear" w:color="auto" w:fill="FFFFFF"/>
        </w:rPr>
        <w:t>Le peptide énuméré contient 13</w:t>
      </w:r>
      <w:r w:rsidR="004E2068">
        <w:rPr>
          <w:sz w:val="22"/>
          <w:shd w:val="clear" w:color="auto" w:fill="FFFFFF"/>
        </w:rPr>
        <w:t> </w:t>
      </w:r>
      <w:r>
        <w:rPr>
          <w:sz w:val="22"/>
          <w:shd w:val="clear" w:color="auto" w:fill="FFFFFF"/>
        </w:rPr>
        <w:t>acides aminés spécialement définis</w:t>
      </w:r>
      <w:r w:rsidR="002A5D5F">
        <w:rPr>
          <w:sz w:val="22"/>
          <w:shd w:val="clear" w:color="auto" w:fill="FFFFFF"/>
        </w:rPr>
        <w:t xml:space="preserve">. </w:t>
      </w:r>
      <w:r>
        <w:rPr>
          <w:sz w:val="22"/>
          <w:shd w:val="clear" w:color="auto" w:fill="FFFFFF"/>
        </w:rPr>
        <w:t xml:space="preserve"> Par conséquent, la séquence doit être intégrée dans un listage des séquences comme l</w:t>
      </w:r>
      <w:r w:rsidR="00B26FAE">
        <w:rPr>
          <w:sz w:val="22"/>
          <w:shd w:val="clear" w:color="auto" w:fill="FFFFFF"/>
        </w:rPr>
        <w:t>’</w:t>
      </w:r>
      <w:r>
        <w:rPr>
          <w:sz w:val="22"/>
          <w:shd w:val="clear" w:color="auto" w:fill="FFFFFF"/>
        </w:rPr>
        <w:t xml:space="preserve">exige le </w:t>
      </w:r>
      <w:r w:rsidR="00B26FAE">
        <w:rPr>
          <w:sz w:val="22"/>
          <w:shd w:val="clear" w:color="auto" w:fill="FFFFFF"/>
        </w:rPr>
        <w:t>paragraphe 7</w:t>
      </w:r>
      <w:r>
        <w:rPr>
          <w:sz w:val="22"/>
          <w:shd w:val="clear" w:color="auto" w:fill="FFFFFF"/>
        </w:rPr>
        <w:t>.b) de la norme</w:t>
      </w:r>
      <w:r w:rsidR="009C7BD1">
        <w:rPr>
          <w:sz w:val="22"/>
          <w:shd w:val="clear" w:color="auto" w:fill="FFFFFF"/>
        </w:rPr>
        <w:t> </w:t>
      </w:r>
      <w:r>
        <w:rPr>
          <w:sz w:val="22"/>
          <w:shd w:val="clear" w:color="auto" w:fill="FFFFFF"/>
        </w:rPr>
        <w:t>ST.26</w:t>
      </w:r>
      <w:r w:rsidR="009C7BD1">
        <w:rPr>
          <w:sz w:val="22"/>
          <w:shd w:val="clear" w:color="auto" w:fill="FFFFFF"/>
        </w:rPr>
        <w:t>.</w:t>
      </w:r>
    </w:p>
    <w:p w14:paraId="6FCDBF97" w14:textId="7054720E" w:rsidR="00ED2F74" w:rsidRPr="00AE54E9" w:rsidRDefault="00ED2F74" w:rsidP="00ED2F74">
      <w:pPr>
        <w:widowControl/>
        <w:kinsoku/>
        <w:spacing w:after="170" w:line="276" w:lineRule="auto"/>
        <w:rPr>
          <w:rFonts w:eastAsiaTheme="minorEastAsia"/>
          <w:b/>
          <w:bCs/>
          <w:sz w:val="22"/>
          <w:szCs w:val="22"/>
        </w:rPr>
      </w:pPr>
      <w:r>
        <w:rPr>
          <w:b/>
          <w:sz w:val="22"/>
        </w:rPr>
        <w:t>Question</w:t>
      </w:r>
      <w:r w:rsidR="004E2068">
        <w:rPr>
          <w:b/>
          <w:sz w:val="22"/>
        </w:rPr>
        <w:t> </w:t>
      </w:r>
      <w:r>
        <w:rPr>
          <w:b/>
          <w:sz w:val="22"/>
        </w:rPr>
        <w:t>3</w:t>
      </w:r>
      <w:r w:rsidR="00B26FAE">
        <w:rPr>
          <w:b/>
          <w:sz w:val="22"/>
        </w:rPr>
        <w:t> :</w:t>
      </w:r>
      <w:r>
        <w:rPr>
          <w:b/>
          <w:sz w:val="22"/>
        </w:rPr>
        <w:t xml:space="preserve"> Comment la ou les séquences devraient</w:t>
      </w:r>
      <w:r w:rsidR="00B26FAE">
        <w:rPr>
          <w:b/>
          <w:sz w:val="22"/>
        </w:rPr>
        <w:t>-</w:t>
      </w:r>
      <w:r>
        <w:rPr>
          <w:b/>
          <w:sz w:val="22"/>
        </w:rPr>
        <w:t>elles être représentées dans le listage des séquences?</w:t>
      </w:r>
    </w:p>
    <w:p w14:paraId="57E2F425" w14:textId="66C20111" w:rsidR="00B26FAE" w:rsidRDefault="00ED2F74" w:rsidP="004E2068">
      <w:pPr>
        <w:widowControl/>
        <w:kinsoku/>
        <w:spacing w:after="170"/>
        <w:ind w:left="567"/>
        <w:rPr>
          <w:sz w:val="22"/>
        </w:rPr>
      </w:pPr>
      <w:r>
        <w:rPr>
          <w:sz w:val="22"/>
        </w:rPr>
        <w:t xml:space="preserve">Selon le </w:t>
      </w:r>
      <w:r w:rsidR="00B26FAE">
        <w:rPr>
          <w:sz w:val="22"/>
        </w:rPr>
        <w:t>paragraphe 2</w:t>
      </w:r>
      <w:r>
        <w:rPr>
          <w:sz w:val="22"/>
        </w:rPr>
        <w:t>9 de la norme</w:t>
      </w:r>
      <w:r w:rsidR="009C7BD1">
        <w:rPr>
          <w:sz w:val="22"/>
        </w:rPr>
        <w:t> </w:t>
      </w:r>
      <w:r>
        <w:rPr>
          <w:sz w:val="22"/>
        </w:rPr>
        <w:t>ST.26, un acide aminé modifié doit être représenté dans la séquence comme l</w:t>
      </w:r>
      <w:r w:rsidR="00B26FAE">
        <w:rPr>
          <w:sz w:val="22"/>
        </w:rPr>
        <w:t>’</w:t>
      </w:r>
      <w:r>
        <w:rPr>
          <w:sz w:val="22"/>
        </w:rPr>
        <w:t>acide aminé non modifié correspondant chaque fois que cela est possible.</w:t>
      </w:r>
    </w:p>
    <w:p w14:paraId="6FB3EDC9" w14:textId="433CC3CB" w:rsidR="00ED2F74" w:rsidRPr="00AE54E9" w:rsidRDefault="00ED2F74" w:rsidP="004E2068">
      <w:pPr>
        <w:widowControl/>
        <w:kinsoku/>
        <w:spacing w:after="170" w:line="276" w:lineRule="auto"/>
        <w:ind w:left="567"/>
        <w:rPr>
          <w:rFonts w:eastAsiaTheme="minorEastAsia"/>
          <w:sz w:val="22"/>
          <w:szCs w:val="22"/>
        </w:rPr>
      </w:pPr>
      <w:r>
        <w:rPr>
          <w:sz w:val="22"/>
        </w:rPr>
        <w:t>Par conséquent, la séquence doit être intégrée dans un listage de séquences comme suit</w:t>
      </w:r>
      <w:r w:rsidR="00B26FAE">
        <w:rPr>
          <w:sz w:val="22"/>
        </w:rPr>
        <w:t> :</w:t>
      </w:r>
    </w:p>
    <w:p w14:paraId="64B618FA" w14:textId="64E0A969" w:rsidR="00ED2F74" w:rsidRPr="00AE54E9" w:rsidRDefault="003F6102" w:rsidP="004E2068">
      <w:pPr>
        <w:widowControl/>
        <w:kinsoku/>
        <w:spacing w:after="170" w:line="276" w:lineRule="auto"/>
        <w:ind w:left="567"/>
        <w:rPr>
          <w:rFonts w:eastAsiaTheme="minorEastAsia"/>
          <w:iCs/>
          <w:color w:val="000000"/>
          <w:sz w:val="22"/>
          <w:szCs w:val="22"/>
        </w:rPr>
      </w:pPr>
      <w:r>
        <w:rPr>
          <w:sz w:val="22"/>
        </w:rPr>
        <w:t xml:space="preserve">LEYCLKRWXETISHCAW </w:t>
      </w:r>
      <w:r>
        <w:rPr>
          <w:color w:val="000000"/>
          <w:sz w:val="22"/>
        </w:rPr>
        <w:t>(SEQ ID NO: xx)</w:t>
      </w:r>
    </w:p>
    <w:p w14:paraId="38E90A75" w14:textId="4448F07F" w:rsidR="007607BD" w:rsidRPr="00AE54E9" w:rsidRDefault="007607BD" w:rsidP="004E2068">
      <w:pPr>
        <w:widowControl/>
        <w:kinsoku/>
        <w:spacing w:after="170" w:line="276" w:lineRule="auto"/>
        <w:ind w:left="567"/>
        <w:rPr>
          <w:rFonts w:eastAsiaTheme="minorEastAsia"/>
          <w:sz w:val="22"/>
          <w:szCs w:val="22"/>
        </w:rPr>
      </w:pPr>
      <w:proofErr w:type="gramStart"/>
      <w:r>
        <w:rPr>
          <w:sz w:val="22"/>
        </w:rPr>
        <w:t>où</w:t>
      </w:r>
      <w:proofErr w:type="gramEnd"/>
      <w:r>
        <w:rPr>
          <w:sz w:val="22"/>
        </w:rPr>
        <w:t xml:space="preserve"> le symbole “R” est utilisé pour représenter l</w:t>
      </w:r>
      <w:r w:rsidR="00B26FAE">
        <w:rPr>
          <w:sz w:val="22"/>
        </w:rPr>
        <w:t>’</w:t>
      </w:r>
      <w:r>
        <w:rPr>
          <w:sz w:val="22"/>
        </w:rPr>
        <w:t>arginine en position</w:t>
      </w:r>
      <w:r w:rsidR="004E2068">
        <w:rPr>
          <w:sz w:val="22"/>
        </w:rPr>
        <w:t> </w:t>
      </w:r>
      <w:r>
        <w:rPr>
          <w:sz w:val="22"/>
        </w:rPr>
        <w:t>7.</w:t>
      </w:r>
    </w:p>
    <w:p w14:paraId="5F4309F6" w14:textId="37FD715B" w:rsidR="00ED2F74" w:rsidRPr="00AE54E9" w:rsidRDefault="00ED2F74" w:rsidP="004E2068">
      <w:pPr>
        <w:widowControl/>
        <w:kinsoku/>
        <w:spacing w:after="170" w:line="276" w:lineRule="auto"/>
        <w:ind w:left="567"/>
        <w:rPr>
          <w:rFonts w:eastAsiaTheme="minorEastAsia"/>
          <w:sz w:val="22"/>
          <w:szCs w:val="22"/>
        </w:rPr>
      </w:pPr>
      <w:r>
        <w:rPr>
          <w:sz w:val="22"/>
          <w:shd w:val="clear" w:color="auto" w:fill="FFFFFF"/>
        </w:rPr>
        <w:t>Une description supplémentaire indiquant que l</w:t>
      </w:r>
      <w:r w:rsidR="00B26FAE">
        <w:rPr>
          <w:sz w:val="22"/>
          <w:shd w:val="clear" w:color="auto" w:fill="FFFFFF"/>
        </w:rPr>
        <w:t>’</w:t>
      </w:r>
      <w:r>
        <w:rPr>
          <w:sz w:val="22"/>
          <w:shd w:val="clear" w:color="auto" w:fill="FFFFFF"/>
        </w:rPr>
        <w:t>arginine en position</w:t>
      </w:r>
      <w:r w:rsidR="004E2068">
        <w:rPr>
          <w:sz w:val="22"/>
          <w:shd w:val="clear" w:color="auto" w:fill="FFFFFF"/>
        </w:rPr>
        <w:t> </w:t>
      </w:r>
      <w:r>
        <w:rPr>
          <w:sz w:val="22"/>
          <w:shd w:val="clear" w:color="auto" w:fill="FFFFFF"/>
        </w:rPr>
        <w:t xml:space="preserve">7 peut être modifiée en </w:t>
      </w:r>
      <w:proofErr w:type="spellStart"/>
      <w:r>
        <w:rPr>
          <w:sz w:val="22"/>
          <w:shd w:val="clear" w:color="auto" w:fill="FFFFFF"/>
        </w:rPr>
        <w:t>citrulline</w:t>
      </w:r>
      <w:proofErr w:type="spellEnd"/>
      <w:r>
        <w:rPr>
          <w:sz w:val="22"/>
          <w:shd w:val="clear" w:color="auto" w:fill="FFFFFF"/>
        </w:rPr>
        <w:t xml:space="preserve"> est requise.  La modification de l</w:t>
      </w:r>
      <w:r w:rsidR="00B26FAE">
        <w:rPr>
          <w:sz w:val="22"/>
          <w:shd w:val="clear" w:color="auto" w:fill="FFFFFF"/>
        </w:rPr>
        <w:t>’</w:t>
      </w:r>
      <w:r>
        <w:rPr>
          <w:sz w:val="22"/>
          <w:shd w:val="clear" w:color="auto" w:fill="FFFFFF"/>
        </w:rPr>
        <w:t xml:space="preserve">arginine en </w:t>
      </w:r>
      <w:proofErr w:type="spellStart"/>
      <w:r>
        <w:rPr>
          <w:sz w:val="22"/>
          <w:shd w:val="clear" w:color="auto" w:fill="FFFFFF"/>
        </w:rPr>
        <w:t>citrulline</w:t>
      </w:r>
      <w:proofErr w:type="spellEnd"/>
      <w:r>
        <w:rPr>
          <w:sz w:val="22"/>
          <w:shd w:val="clear" w:color="auto" w:fill="FFFFFF"/>
        </w:rPr>
        <w:t xml:space="preserve"> est une modification après traduction.  Par conséquent, la</w:t>
      </w:r>
      <w:r>
        <w:rPr>
          <w:sz w:val="22"/>
        </w:rPr>
        <w:t xml:space="preserve"> clé de caractérisation “MOD_RES” doit être utilisée avec le qualificateur obligatoire “</w:t>
      </w:r>
      <w:r>
        <w:rPr>
          <w:sz w:val="22"/>
          <w:shd w:val="clear" w:color="auto" w:fill="FFFFFF"/>
        </w:rPr>
        <w:t>note</w:t>
      </w:r>
      <w:r>
        <w:rPr>
          <w:sz w:val="22"/>
        </w:rPr>
        <w:t>” pour indiquer que l</w:t>
      </w:r>
      <w:r w:rsidR="00B26FAE">
        <w:rPr>
          <w:sz w:val="22"/>
        </w:rPr>
        <w:t>’</w:t>
      </w:r>
      <w:r>
        <w:rPr>
          <w:sz w:val="22"/>
        </w:rPr>
        <w:t xml:space="preserve">arginine peut être modifiée pour devenir de la </w:t>
      </w:r>
      <w:proofErr w:type="spellStart"/>
      <w:r>
        <w:rPr>
          <w:sz w:val="22"/>
        </w:rPr>
        <w:t>citrulli</w:t>
      </w:r>
      <w:r w:rsidR="002A5D5F">
        <w:rPr>
          <w:sz w:val="22"/>
        </w:rPr>
        <w:t>ne</w:t>
      </w:r>
      <w:proofErr w:type="spellEnd"/>
      <w:r w:rsidR="002A5D5F">
        <w:rPr>
          <w:sz w:val="22"/>
        </w:rPr>
        <w:t>.  Da</w:t>
      </w:r>
      <w:r>
        <w:rPr>
          <w:sz w:val="22"/>
        </w:rPr>
        <w:t>ns l</w:t>
      </w:r>
      <w:r w:rsidR="00B26FAE">
        <w:rPr>
          <w:sz w:val="22"/>
        </w:rPr>
        <w:t>’</w:t>
      </w:r>
      <w:r>
        <w:rPr>
          <w:sz w:val="22"/>
        </w:rPr>
        <w:t>emplacement d</w:t>
      </w:r>
      <w:r w:rsidR="00B26FAE">
        <w:rPr>
          <w:sz w:val="22"/>
        </w:rPr>
        <w:t>’</w:t>
      </w:r>
      <w:r>
        <w:rPr>
          <w:sz w:val="22"/>
        </w:rPr>
        <w:t>une caractéristique, le descripteur d</w:t>
      </w:r>
      <w:r w:rsidR="00B26FAE">
        <w:rPr>
          <w:sz w:val="22"/>
        </w:rPr>
        <w:t>’</w:t>
      </w:r>
      <w:r>
        <w:rPr>
          <w:sz w:val="22"/>
        </w:rPr>
        <w:t>emplacement est le numéro de position du résidu de l</w:t>
      </w:r>
      <w:r w:rsidR="00B26FAE">
        <w:rPr>
          <w:sz w:val="22"/>
        </w:rPr>
        <w:t>’</w:t>
      </w:r>
      <w:r>
        <w:rPr>
          <w:sz w:val="22"/>
        </w:rPr>
        <w:t>arginine modifiée.</w:t>
      </w:r>
    </w:p>
    <w:p w14:paraId="29E20BF1" w14:textId="410BEBF9" w:rsidR="00357C1E" w:rsidRPr="00AE54E9" w:rsidRDefault="00ED2F74" w:rsidP="00ED2F74">
      <w:pPr>
        <w:widowControl/>
        <w:kinsoku/>
        <w:spacing w:after="170" w:line="276" w:lineRule="auto"/>
        <w:rPr>
          <w:rFonts w:eastAsiaTheme="minorEastAsia"/>
          <w:sz w:val="22"/>
          <w:szCs w:val="22"/>
        </w:rPr>
      </w:pPr>
      <w:r>
        <w:rPr>
          <w:b/>
          <w:sz w:val="22"/>
        </w:rPr>
        <w:t>Paragraphe(s) pertinent(s) de la norme</w:t>
      </w:r>
      <w:r w:rsidR="009C7BD1">
        <w:rPr>
          <w:b/>
          <w:sz w:val="22"/>
        </w:rPr>
        <w:t> </w:t>
      </w:r>
      <w:r>
        <w:rPr>
          <w:b/>
          <w:sz w:val="22"/>
        </w:rPr>
        <w:t>ST.26</w:t>
      </w:r>
      <w:r w:rsidR="00B26FAE">
        <w:rPr>
          <w:b/>
          <w:sz w:val="22"/>
        </w:rPr>
        <w:t> :</w:t>
      </w:r>
      <w:r>
        <w:rPr>
          <w:b/>
          <w:sz w:val="22"/>
        </w:rPr>
        <w:t xml:space="preserve"> </w:t>
      </w:r>
      <w:r>
        <w:rPr>
          <w:sz w:val="22"/>
        </w:rPr>
        <w:t xml:space="preserve">3.a), 7.b), </w:t>
      </w:r>
      <w:r>
        <w:rPr>
          <w:b/>
          <w:bCs/>
          <w:sz w:val="22"/>
        </w:rPr>
        <w:t>30</w:t>
      </w:r>
      <w:r>
        <w:rPr>
          <w:sz w:val="22"/>
        </w:rPr>
        <w:t xml:space="preserve"> et </w:t>
      </w:r>
      <w:r w:rsidR="00B26FAE">
        <w:rPr>
          <w:sz w:val="22"/>
        </w:rPr>
        <w:t>annexe I</w:t>
      </w:r>
      <w:r>
        <w:rPr>
          <w:sz w:val="22"/>
        </w:rPr>
        <w:t xml:space="preserve">, </w:t>
      </w:r>
      <w:r w:rsidR="00B26FAE">
        <w:rPr>
          <w:sz w:val="22"/>
        </w:rPr>
        <w:t>section 7</w:t>
      </w:r>
      <w:r>
        <w:rPr>
          <w:sz w:val="22"/>
        </w:rPr>
        <w:t>, clé de caractérisation</w:t>
      </w:r>
      <w:r w:rsidR="004E2068">
        <w:rPr>
          <w:sz w:val="22"/>
        </w:rPr>
        <w:t> </w:t>
      </w:r>
      <w:r>
        <w:rPr>
          <w:sz w:val="22"/>
        </w:rPr>
        <w:t>7.18</w:t>
      </w:r>
    </w:p>
    <w:p w14:paraId="5FF0F3C4" w14:textId="77777777" w:rsidR="00357C1E" w:rsidRPr="00AE54E9" w:rsidRDefault="00357C1E" w:rsidP="00357C1E">
      <w:pPr>
        <w:rPr>
          <w:sz w:val="22"/>
          <w:szCs w:val="22"/>
        </w:rPr>
      </w:pPr>
      <w:r>
        <w:br w:type="page"/>
      </w:r>
    </w:p>
    <w:p w14:paraId="6AD8968A" w14:textId="15D24E06" w:rsidR="00B26FAE" w:rsidRDefault="00B26FAE" w:rsidP="00357C1E">
      <w:pPr>
        <w:pStyle w:val="Heading3"/>
        <w:spacing w:before="0" w:after="120"/>
        <w:rPr>
          <w:i/>
          <w:sz w:val="22"/>
          <w:u w:val="none"/>
        </w:rPr>
      </w:pPr>
      <w:bookmarkStart w:id="2" w:name="_Toc53737930"/>
      <w:r>
        <w:rPr>
          <w:i/>
          <w:sz w:val="22"/>
          <w:u w:val="none"/>
        </w:rPr>
        <w:lastRenderedPageBreak/>
        <w:t>Paragraphe 1</w:t>
      </w:r>
      <w:r w:rsidR="00357C1E">
        <w:rPr>
          <w:i/>
          <w:sz w:val="22"/>
          <w:u w:val="none"/>
        </w:rPr>
        <w:t>2 – Séquence nucléotidique circulaire</w:t>
      </w:r>
      <w:bookmarkEnd w:id="2"/>
    </w:p>
    <w:p w14:paraId="44E95B37" w14:textId="720E48C8" w:rsidR="00357C1E" w:rsidRPr="00AE54E9" w:rsidRDefault="00357C1E" w:rsidP="00357C1E">
      <w:pPr>
        <w:widowControl/>
        <w:kinsoku/>
        <w:spacing w:after="170"/>
        <w:rPr>
          <w:rFonts w:eastAsiaTheme="minorEastAsia"/>
          <w:b/>
          <w:sz w:val="22"/>
          <w:szCs w:val="22"/>
        </w:rPr>
      </w:pPr>
      <w:bookmarkStart w:id="3" w:name="page38"/>
      <w:bookmarkStart w:id="4" w:name="page44"/>
      <w:bookmarkEnd w:id="3"/>
      <w:r>
        <w:rPr>
          <w:b/>
          <w:sz w:val="22"/>
        </w:rPr>
        <w:t>Exemple</w:t>
      </w:r>
      <w:r w:rsidR="004E2068">
        <w:rPr>
          <w:b/>
          <w:sz w:val="22"/>
        </w:rPr>
        <w:t> </w:t>
      </w:r>
      <w:r>
        <w:rPr>
          <w:b/>
          <w:sz w:val="22"/>
        </w:rPr>
        <w:t>12</w:t>
      </w:r>
      <w:r w:rsidR="00B26FAE">
        <w:rPr>
          <w:b/>
          <w:sz w:val="22"/>
        </w:rPr>
        <w:t>-</w:t>
      </w:r>
      <w:r>
        <w:rPr>
          <w:b/>
          <w:sz w:val="22"/>
        </w:rPr>
        <w:t>1</w:t>
      </w:r>
      <w:r w:rsidR="00C22584">
        <w:rPr>
          <w:b/>
          <w:sz w:val="22"/>
        </w:rPr>
        <w:t xml:space="preserve"> –</w:t>
      </w:r>
      <w:r>
        <w:rPr>
          <w:b/>
          <w:sz w:val="22"/>
        </w:rPr>
        <w:t xml:space="preserve"> séquence de nucléotides circulaire</w:t>
      </w:r>
    </w:p>
    <w:bookmarkEnd w:id="4"/>
    <w:p w14:paraId="475D3475" w14:textId="68681ED6" w:rsidR="00357C1E" w:rsidRPr="00AE54E9" w:rsidRDefault="00357C1E" w:rsidP="004E2068">
      <w:pPr>
        <w:widowControl/>
        <w:kinsoku/>
        <w:spacing w:after="170"/>
        <w:ind w:left="567"/>
        <w:rPr>
          <w:rFonts w:eastAsiaTheme="minorEastAsia"/>
          <w:sz w:val="22"/>
          <w:szCs w:val="22"/>
        </w:rPr>
      </w:pPr>
      <w:r>
        <w:rPr>
          <w:sz w:val="22"/>
        </w:rPr>
        <w:t>Une demande de brevet contient la figure suivante, divulguant la séquence d</w:t>
      </w:r>
      <w:r w:rsidR="00B26FAE">
        <w:rPr>
          <w:sz w:val="22"/>
        </w:rPr>
        <w:t>’</w:t>
      </w:r>
      <w:r>
        <w:rPr>
          <w:sz w:val="22"/>
        </w:rPr>
        <w:t>ADN du plasmide pCIRC1</w:t>
      </w:r>
      <w:r w:rsidR="00B26FAE">
        <w:rPr>
          <w:sz w:val="22"/>
        </w:rPr>
        <w:t> :</w:t>
      </w:r>
    </w:p>
    <w:p w14:paraId="5A82A396" w14:textId="77777777" w:rsidR="00B26FAE" w:rsidRDefault="008121A9" w:rsidP="008121A9">
      <w:pPr>
        <w:widowControl/>
        <w:kinsoku/>
        <w:spacing w:after="170"/>
        <w:ind w:left="-360" w:firstLine="90"/>
        <w:rPr>
          <w:rFonts w:eastAsiaTheme="minorEastAsia"/>
          <w:sz w:val="22"/>
          <w:szCs w:val="22"/>
        </w:rPr>
      </w:pPr>
      <w:r>
        <w:rPr>
          <w:noProof/>
          <w:sz w:val="22"/>
          <w:lang w:val="en-US"/>
        </w:rPr>
        <w:drawing>
          <wp:inline distT="0" distB="0" distL="0" distR="0" wp14:anchorId="386485FD" wp14:editId="037509F7">
            <wp:extent cx="6169661" cy="1046074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56550" cy="1060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4B996" w14:textId="67950235" w:rsidR="00B26FAE" w:rsidRPr="00C22584" w:rsidRDefault="00B26FAE" w:rsidP="00357C1E">
      <w:pPr>
        <w:widowControl/>
        <w:kinsoku/>
        <w:spacing w:after="170"/>
        <w:rPr>
          <w:sz w:val="22"/>
        </w:rPr>
      </w:pPr>
    </w:p>
    <w:p w14:paraId="30AA129B" w14:textId="3F9E75F4" w:rsidR="00357C1E" w:rsidRPr="00AE54E9" w:rsidRDefault="00357C1E" w:rsidP="00357C1E">
      <w:pPr>
        <w:widowControl/>
        <w:kinsoku/>
        <w:spacing w:after="170"/>
        <w:rPr>
          <w:rFonts w:eastAsiaTheme="minorEastAsia"/>
          <w:b/>
          <w:sz w:val="22"/>
          <w:szCs w:val="22"/>
        </w:rPr>
      </w:pPr>
      <w:r>
        <w:rPr>
          <w:b/>
          <w:sz w:val="22"/>
        </w:rPr>
        <w:t>Question</w:t>
      </w:r>
      <w:r w:rsidR="004E2068">
        <w:rPr>
          <w:b/>
          <w:sz w:val="22"/>
        </w:rPr>
        <w:t> </w:t>
      </w:r>
      <w:r>
        <w:rPr>
          <w:b/>
          <w:sz w:val="22"/>
        </w:rPr>
        <w:t>1</w:t>
      </w:r>
      <w:r w:rsidR="00B26FAE">
        <w:rPr>
          <w:b/>
          <w:sz w:val="22"/>
        </w:rPr>
        <w:t> :</w:t>
      </w:r>
      <w:r>
        <w:rPr>
          <w:b/>
          <w:sz w:val="22"/>
        </w:rPr>
        <w:t xml:space="preserve"> La norme</w:t>
      </w:r>
      <w:r w:rsidR="009C7BD1">
        <w:rPr>
          <w:b/>
          <w:sz w:val="22"/>
        </w:rPr>
        <w:t> </w:t>
      </w:r>
      <w:r>
        <w:rPr>
          <w:b/>
          <w:sz w:val="22"/>
        </w:rPr>
        <w:t>ST.26 prescrit</w:t>
      </w:r>
      <w:r w:rsidR="00B26FAE">
        <w:rPr>
          <w:b/>
          <w:sz w:val="22"/>
        </w:rPr>
        <w:t>-</w:t>
      </w:r>
      <w:r>
        <w:rPr>
          <w:b/>
          <w:sz w:val="22"/>
        </w:rPr>
        <w:t>elle l</w:t>
      </w:r>
      <w:r w:rsidR="00B26FAE">
        <w:rPr>
          <w:b/>
          <w:sz w:val="22"/>
        </w:rPr>
        <w:t>’</w:t>
      </w:r>
      <w:r>
        <w:rPr>
          <w:b/>
          <w:sz w:val="22"/>
        </w:rPr>
        <w:t>intégration de la ou des séquences?</w:t>
      </w:r>
    </w:p>
    <w:p w14:paraId="183AC690" w14:textId="77777777" w:rsidR="00B26FAE" w:rsidRDefault="00357C1E" w:rsidP="004E2068">
      <w:pPr>
        <w:widowControl/>
        <w:tabs>
          <w:tab w:val="left" w:pos="720"/>
        </w:tabs>
        <w:kinsoku/>
        <w:spacing w:after="170"/>
        <w:ind w:left="567"/>
        <w:rPr>
          <w:b/>
          <w:sz w:val="22"/>
        </w:rPr>
      </w:pPr>
      <w:r>
        <w:rPr>
          <w:b/>
          <w:sz w:val="22"/>
        </w:rPr>
        <w:t>OUI</w:t>
      </w:r>
    </w:p>
    <w:p w14:paraId="35FA2453" w14:textId="5DB2ED19" w:rsidR="00B26FAE" w:rsidRDefault="00D735F5" w:rsidP="004E2068">
      <w:pPr>
        <w:widowControl/>
        <w:tabs>
          <w:tab w:val="left" w:pos="720"/>
        </w:tabs>
        <w:kinsoku/>
        <w:spacing w:after="170"/>
        <w:ind w:left="567"/>
        <w:rPr>
          <w:sz w:val="22"/>
        </w:rPr>
      </w:pPr>
      <w:r>
        <w:rPr>
          <w:sz w:val="22"/>
        </w:rPr>
        <w:t>La séquence nucléotidique énumérée comporte plus de 10</w:t>
      </w:r>
      <w:r w:rsidR="004E2068">
        <w:rPr>
          <w:sz w:val="22"/>
        </w:rPr>
        <w:t> </w:t>
      </w:r>
      <w:r>
        <w:rPr>
          <w:sz w:val="22"/>
        </w:rPr>
        <w:t xml:space="preserve">nucléotides spécialement définis.  </w:t>
      </w:r>
      <w:r>
        <w:rPr>
          <w:sz w:val="22"/>
          <w:shd w:val="clear" w:color="auto" w:fill="FFFFFF"/>
        </w:rPr>
        <w:t>Par conséquent, la séquence doit être intégrée dans un listage de séquences comme l</w:t>
      </w:r>
      <w:r w:rsidR="00B26FAE">
        <w:rPr>
          <w:sz w:val="22"/>
          <w:shd w:val="clear" w:color="auto" w:fill="FFFFFF"/>
        </w:rPr>
        <w:t>’</w:t>
      </w:r>
      <w:r>
        <w:rPr>
          <w:sz w:val="22"/>
          <w:shd w:val="clear" w:color="auto" w:fill="FFFFFF"/>
        </w:rPr>
        <w:t xml:space="preserve">exige le </w:t>
      </w:r>
      <w:r w:rsidR="00B26FAE">
        <w:rPr>
          <w:sz w:val="22"/>
          <w:shd w:val="clear" w:color="auto" w:fill="FFFFFF"/>
        </w:rPr>
        <w:t>paragraphe 7</w:t>
      </w:r>
      <w:r>
        <w:rPr>
          <w:sz w:val="22"/>
          <w:shd w:val="clear" w:color="auto" w:fill="FFFFFF"/>
        </w:rPr>
        <w:t>.a) de la norme</w:t>
      </w:r>
      <w:r w:rsidR="009C7BD1">
        <w:rPr>
          <w:sz w:val="22"/>
          <w:shd w:val="clear" w:color="auto" w:fill="FFFFFF"/>
        </w:rPr>
        <w:t> </w:t>
      </w:r>
      <w:r>
        <w:rPr>
          <w:sz w:val="22"/>
          <w:shd w:val="clear" w:color="auto" w:fill="FFFFFF"/>
        </w:rPr>
        <w:t>ST.26.</w:t>
      </w:r>
    </w:p>
    <w:p w14:paraId="57510EDD" w14:textId="0E85293E" w:rsidR="00357C1E" w:rsidRPr="00AE54E9" w:rsidRDefault="00357C1E" w:rsidP="00357C1E">
      <w:pPr>
        <w:widowControl/>
        <w:kinsoku/>
        <w:spacing w:after="170"/>
        <w:rPr>
          <w:rFonts w:eastAsiaTheme="minorEastAsia"/>
          <w:b/>
          <w:sz w:val="22"/>
          <w:szCs w:val="22"/>
        </w:rPr>
      </w:pPr>
      <w:r>
        <w:rPr>
          <w:b/>
          <w:sz w:val="22"/>
        </w:rPr>
        <w:t>Question</w:t>
      </w:r>
      <w:r w:rsidR="004E2068">
        <w:rPr>
          <w:b/>
          <w:sz w:val="22"/>
        </w:rPr>
        <w:t> </w:t>
      </w:r>
      <w:r>
        <w:rPr>
          <w:b/>
          <w:sz w:val="22"/>
        </w:rPr>
        <w:t>3</w:t>
      </w:r>
      <w:r w:rsidR="00B26FAE">
        <w:rPr>
          <w:b/>
          <w:sz w:val="22"/>
        </w:rPr>
        <w:t> :</w:t>
      </w:r>
      <w:r>
        <w:rPr>
          <w:b/>
          <w:sz w:val="22"/>
        </w:rPr>
        <w:t xml:space="preserve"> Comment la ou les séquences devraient</w:t>
      </w:r>
      <w:r w:rsidR="00B26FAE">
        <w:rPr>
          <w:b/>
          <w:sz w:val="22"/>
        </w:rPr>
        <w:t>-</w:t>
      </w:r>
      <w:r>
        <w:rPr>
          <w:b/>
          <w:sz w:val="22"/>
        </w:rPr>
        <w:t>elles être représentées dans le listage des séquences?</w:t>
      </w:r>
    </w:p>
    <w:p w14:paraId="5BB41AA3" w14:textId="2B186B36" w:rsidR="00AF2F86" w:rsidRPr="00AE54E9" w:rsidRDefault="00AF2F86" w:rsidP="004E2068">
      <w:pPr>
        <w:widowControl/>
        <w:kinsoku/>
        <w:spacing w:after="170"/>
        <w:ind w:left="567"/>
        <w:rPr>
          <w:rFonts w:eastAsiaTheme="minorEastAsia"/>
          <w:sz w:val="22"/>
          <w:szCs w:val="22"/>
        </w:rPr>
      </w:pPr>
      <w:r>
        <w:rPr>
          <w:sz w:val="22"/>
        </w:rPr>
        <w:t xml:space="preserve">Selon le </w:t>
      </w:r>
      <w:r w:rsidR="00B26FAE">
        <w:rPr>
          <w:sz w:val="22"/>
        </w:rPr>
        <w:t>paragraphe 1</w:t>
      </w:r>
      <w:r>
        <w:rPr>
          <w:sz w:val="22"/>
        </w:rPr>
        <w:t>2 de la norme</w:t>
      </w:r>
      <w:r w:rsidR="009C7BD1">
        <w:rPr>
          <w:sz w:val="22"/>
        </w:rPr>
        <w:t> </w:t>
      </w:r>
      <w:r>
        <w:rPr>
          <w:sz w:val="22"/>
        </w:rPr>
        <w:t>ST.26, lorsque les séquences de nucléotides sont de configuration circulaire, le demandeur doit choisir le nucléotide en position de résidu numéro</w:t>
      </w:r>
      <w:r w:rsidR="004E2068">
        <w:rPr>
          <w:sz w:val="22"/>
        </w:rPr>
        <w:t> </w:t>
      </w:r>
      <w:r>
        <w:rPr>
          <w:sz w:val="22"/>
        </w:rPr>
        <w:t xml:space="preserve">1.  </w:t>
      </w:r>
      <w:r>
        <w:rPr>
          <w:color w:val="000000"/>
          <w:sz w:val="22"/>
        </w:rPr>
        <w:t>Pour les besoins de cet exemple, le résidu “a” identifié par la flèche dans la figure sera utilisé comme position</w:t>
      </w:r>
      <w:r w:rsidR="004E2068">
        <w:rPr>
          <w:color w:val="000000"/>
          <w:sz w:val="22"/>
        </w:rPr>
        <w:t> </w:t>
      </w:r>
      <w:r>
        <w:rPr>
          <w:color w:val="000000"/>
          <w:sz w:val="22"/>
        </w:rPr>
        <w:t>1.  Cependant, n</w:t>
      </w:r>
      <w:r w:rsidR="00B26FAE">
        <w:rPr>
          <w:color w:val="000000"/>
          <w:sz w:val="22"/>
        </w:rPr>
        <w:t>’</w:t>
      </w:r>
      <w:r>
        <w:rPr>
          <w:color w:val="000000"/>
          <w:sz w:val="22"/>
        </w:rPr>
        <w:t>importe quel résidu peut être choisi comme position</w:t>
      </w:r>
      <w:r w:rsidR="004E2068">
        <w:rPr>
          <w:color w:val="000000"/>
          <w:sz w:val="22"/>
        </w:rPr>
        <w:t> </w:t>
      </w:r>
      <w:r>
        <w:rPr>
          <w:color w:val="000000"/>
          <w:sz w:val="22"/>
        </w:rPr>
        <w:t xml:space="preserve">1.  </w:t>
      </w:r>
      <w:r>
        <w:rPr>
          <w:sz w:val="22"/>
        </w:rPr>
        <w:t>Avec le résidu indiqué par la flèche comme position</w:t>
      </w:r>
      <w:r w:rsidR="004E2068">
        <w:rPr>
          <w:sz w:val="22"/>
        </w:rPr>
        <w:t> </w:t>
      </w:r>
      <w:r>
        <w:rPr>
          <w:sz w:val="22"/>
        </w:rPr>
        <w:t>1, la séquence doit être intégrée dans un listage de séquences comme suit</w:t>
      </w:r>
      <w:r w:rsidR="00B26FAE">
        <w:rPr>
          <w:sz w:val="22"/>
        </w:rPr>
        <w:t> :</w:t>
      </w:r>
    </w:p>
    <w:p w14:paraId="276EBDB4" w14:textId="20712E03" w:rsidR="00357C1E" w:rsidRPr="00AE54E9" w:rsidRDefault="00C22584" w:rsidP="004E2068">
      <w:pPr>
        <w:pStyle w:val="NormalWeb"/>
        <w:spacing w:before="0" w:beforeAutospacing="0" w:after="0" w:afterAutospacing="0"/>
        <w:ind w:left="567"/>
        <w:rPr>
          <w:rFonts w:ascii="Arial" w:eastAsiaTheme="minorEastAsia" w:hAnsi="Arial" w:cs="Arial"/>
          <w:iCs/>
          <w:color w:val="000000"/>
          <w:sz w:val="22"/>
          <w:szCs w:val="22"/>
        </w:rPr>
      </w:pPr>
      <w:proofErr w:type="gramStart"/>
      <w:r w:rsidRPr="00AE54E9">
        <w:rPr>
          <w:rFonts w:ascii="Arial" w:eastAsiaTheme="minorEastAsia" w:hAnsi="Arial" w:cs="Arial"/>
          <w:color w:val="000000" w:themeColor="text1"/>
          <w:spacing w:val="20"/>
          <w:kern w:val="24"/>
          <w:sz w:val="22"/>
          <w:szCs w:val="22"/>
        </w:rPr>
        <w:t>atggataatgaagaagttaacgaagaatgtatgagattatttttcaagaacgctcgtgcgcatctggataaacatctaacatcaaggttgacatgcgatgaaaatgaaaatgcatatatcacgttcagatgcttcctggatggaatacatcgcaaatctactaggtttctcgaagagctacttttgaaacaagaaaatatgtaccaccaatg</w:t>
      </w:r>
      <w:r w:rsidRPr="00AE54E9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 </w:t>
      </w:r>
      <w:r w:rsidRPr="00F91C64">
        <w:rPr>
          <w:rFonts w:ascii="Arial" w:eastAsiaTheme="minorEastAsia" w:hAnsi="Arial" w:cs="Arial"/>
          <w:iCs/>
          <w:color w:val="000000"/>
          <w:sz w:val="22"/>
          <w:szCs w:val="22"/>
        </w:rPr>
        <w:t>(</w:t>
      </w:r>
      <w:proofErr w:type="gramEnd"/>
      <w:r w:rsidRPr="00F91C64">
        <w:rPr>
          <w:rFonts w:ascii="Arial" w:eastAsiaTheme="minorEastAsia" w:hAnsi="Arial" w:cs="Arial"/>
          <w:iCs/>
          <w:color w:val="000000"/>
          <w:sz w:val="22"/>
          <w:szCs w:val="22"/>
        </w:rPr>
        <w:t>SEQ ID NO: xx)</w:t>
      </w:r>
    </w:p>
    <w:p w14:paraId="5E7057BD" w14:textId="77777777" w:rsidR="00702567" w:rsidRPr="00F91C64" w:rsidRDefault="00702567" w:rsidP="004E2068">
      <w:pPr>
        <w:pStyle w:val="NormalWeb"/>
        <w:spacing w:before="0" w:beforeAutospacing="0" w:after="0" w:afterAutospacing="0"/>
        <w:ind w:left="567"/>
        <w:rPr>
          <w:rFonts w:ascii="Arial" w:eastAsiaTheme="minorEastAsia" w:hAnsi="Arial" w:cs="Arial"/>
          <w:iCs/>
          <w:color w:val="000000"/>
          <w:sz w:val="22"/>
          <w:szCs w:val="22"/>
        </w:rPr>
      </w:pPr>
    </w:p>
    <w:p w14:paraId="16E2D417" w14:textId="59B1F193" w:rsidR="00702567" w:rsidRPr="00AE54E9" w:rsidRDefault="00702567" w:rsidP="004E2068">
      <w:pPr>
        <w:pStyle w:val="NormalWeb"/>
        <w:spacing w:before="0" w:beforeAutospacing="0" w:after="0" w:afterAutospacing="0"/>
        <w:ind w:left="567"/>
        <w:rPr>
          <w:rFonts w:ascii="Arial" w:eastAsiaTheme="minorEastAsia" w:hAnsi="Arial" w:cs="Arial"/>
          <w:iCs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La séquence doit être décrite plus en détail à l</w:t>
      </w:r>
      <w:r w:rsidR="00B26FAE">
        <w:rPr>
          <w:rFonts w:ascii="Arial" w:hAnsi="Arial"/>
          <w:color w:val="000000"/>
          <w:sz w:val="22"/>
        </w:rPr>
        <w:t>’</w:t>
      </w:r>
      <w:r>
        <w:rPr>
          <w:rFonts w:ascii="Arial" w:hAnsi="Arial"/>
          <w:color w:val="000000"/>
          <w:sz w:val="22"/>
        </w:rPr>
        <w:t>aide de la clé de caractérisation “</w:t>
      </w:r>
      <w:proofErr w:type="spellStart"/>
      <w:r>
        <w:rPr>
          <w:rFonts w:ascii="Arial" w:hAnsi="Arial"/>
          <w:color w:val="000000"/>
          <w:sz w:val="22"/>
        </w:rPr>
        <w:t>misc_feature</w:t>
      </w:r>
      <w:proofErr w:type="spellEnd"/>
      <w:r>
        <w:rPr>
          <w:rFonts w:ascii="Arial" w:hAnsi="Arial"/>
          <w:color w:val="000000"/>
          <w:sz w:val="22"/>
        </w:rPr>
        <w:t xml:space="preserve">” avec un emplacement de </w:t>
      </w:r>
      <w:r w:rsidR="004E2068">
        <w:rPr>
          <w:rFonts w:ascii="Arial" w:hAnsi="Arial"/>
          <w:color w:val="000000"/>
          <w:sz w:val="22"/>
        </w:rPr>
        <w:t>“</w:t>
      </w:r>
      <w:r>
        <w:rPr>
          <w:rFonts w:ascii="Arial" w:hAnsi="Arial"/>
          <w:color w:val="000000"/>
          <w:sz w:val="22"/>
        </w:rPr>
        <w:t>212^1”, qui indique que le dernier résidu de la séquence, la position</w:t>
      </w:r>
      <w:r w:rsidR="004E2068">
        <w:rPr>
          <w:rFonts w:ascii="Arial" w:hAnsi="Arial"/>
          <w:color w:val="000000"/>
          <w:sz w:val="22"/>
        </w:rPr>
        <w:t> </w:t>
      </w:r>
      <w:r>
        <w:rPr>
          <w:rFonts w:ascii="Arial" w:hAnsi="Arial"/>
          <w:color w:val="000000"/>
          <w:sz w:val="22"/>
        </w:rPr>
        <w:t>212, est lié au résidu</w:t>
      </w:r>
      <w:r w:rsidR="004E2068">
        <w:rPr>
          <w:rFonts w:ascii="Arial" w:hAnsi="Arial"/>
          <w:color w:val="000000"/>
          <w:sz w:val="22"/>
        </w:rPr>
        <w:t> </w:t>
      </w:r>
      <w:r>
        <w:rPr>
          <w:rFonts w:ascii="Arial" w:hAnsi="Arial"/>
          <w:color w:val="000000"/>
          <w:sz w:val="22"/>
        </w:rPr>
        <w:t>1.  Le qualificateur “note” doit être inclus avec une valeur indiquant que la molécule est circulaire.</w:t>
      </w:r>
    </w:p>
    <w:p w14:paraId="16EF3573" w14:textId="77777777" w:rsidR="009214C9" w:rsidRPr="004E2068" w:rsidRDefault="009214C9" w:rsidP="004E2068">
      <w:pPr>
        <w:pStyle w:val="NormalWeb"/>
        <w:spacing w:before="0" w:beforeAutospacing="0" w:after="0" w:afterAutospacing="0"/>
        <w:ind w:left="567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</w:p>
    <w:p w14:paraId="174B0431" w14:textId="0CA85836" w:rsidR="00ED2F74" w:rsidRPr="00A71994" w:rsidRDefault="00357C1E" w:rsidP="00ED2F74">
      <w:pPr>
        <w:widowControl/>
        <w:kinsoku/>
        <w:spacing w:after="170" w:line="276" w:lineRule="auto"/>
        <w:rPr>
          <w:rFonts w:eastAsiaTheme="minorEastAsia"/>
          <w:sz w:val="22"/>
          <w:szCs w:val="22"/>
        </w:rPr>
      </w:pPr>
      <w:r>
        <w:rPr>
          <w:b/>
          <w:sz w:val="22"/>
        </w:rPr>
        <w:t>Paragraphe(s) pertinent(s) de la norme</w:t>
      </w:r>
      <w:r w:rsidR="009C7BD1">
        <w:rPr>
          <w:b/>
          <w:sz w:val="22"/>
        </w:rPr>
        <w:t> </w:t>
      </w:r>
      <w:r>
        <w:rPr>
          <w:b/>
          <w:sz w:val="22"/>
        </w:rPr>
        <w:t>ST.26</w:t>
      </w:r>
      <w:r w:rsidR="00B26FAE">
        <w:rPr>
          <w:b/>
          <w:sz w:val="22"/>
        </w:rPr>
        <w:t> :</w:t>
      </w:r>
      <w:r>
        <w:rPr>
          <w:b/>
          <w:sz w:val="22"/>
        </w:rPr>
        <w:t xml:space="preserve"> </w:t>
      </w:r>
      <w:r>
        <w:rPr>
          <w:sz w:val="22"/>
        </w:rPr>
        <w:t xml:space="preserve">7.a), </w:t>
      </w:r>
      <w:r>
        <w:rPr>
          <w:b/>
          <w:bCs/>
          <w:sz w:val="22"/>
        </w:rPr>
        <w:t>12</w:t>
      </w:r>
      <w:r>
        <w:rPr>
          <w:sz w:val="22"/>
        </w:rPr>
        <w:t xml:space="preserve"> et </w:t>
      </w:r>
      <w:r w:rsidR="00B26FAE">
        <w:rPr>
          <w:sz w:val="22"/>
        </w:rPr>
        <w:t>annexe I</w:t>
      </w:r>
      <w:r>
        <w:rPr>
          <w:sz w:val="22"/>
        </w:rPr>
        <w:t xml:space="preserve">, </w:t>
      </w:r>
      <w:r w:rsidR="00B26FAE">
        <w:rPr>
          <w:sz w:val="22"/>
        </w:rPr>
        <w:t>section 5</w:t>
      </w:r>
      <w:r>
        <w:rPr>
          <w:sz w:val="22"/>
        </w:rPr>
        <w:t>, clé de caractérisation</w:t>
      </w:r>
      <w:r w:rsidR="004E2068">
        <w:rPr>
          <w:sz w:val="22"/>
        </w:rPr>
        <w:t> </w:t>
      </w:r>
      <w:r>
        <w:rPr>
          <w:sz w:val="22"/>
        </w:rPr>
        <w:t>5.15</w:t>
      </w:r>
    </w:p>
    <w:p w14:paraId="152E9DB3" w14:textId="6E5566AB" w:rsidR="000A38CB" w:rsidRPr="00AE54E9" w:rsidRDefault="00AE54E9" w:rsidP="004E2068">
      <w:pPr>
        <w:spacing w:before="720"/>
        <w:ind w:left="5533"/>
        <w:rPr>
          <w:sz w:val="22"/>
          <w:szCs w:val="22"/>
        </w:rPr>
      </w:pPr>
      <w:r>
        <w:rPr>
          <w:sz w:val="22"/>
        </w:rPr>
        <w:t>[L</w:t>
      </w:r>
      <w:r w:rsidR="00B26FAE">
        <w:rPr>
          <w:sz w:val="22"/>
        </w:rPr>
        <w:t>’annexe I</w:t>
      </w:r>
      <w:r>
        <w:rPr>
          <w:sz w:val="22"/>
        </w:rPr>
        <w:t>I (appendice de l</w:t>
      </w:r>
      <w:r w:rsidR="00B26FAE">
        <w:rPr>
          <w:sz w:val="22"/>
        </w:rPr>
        <w:t>’annexe V</w:t>
      </w:r>
      <w:r>
        <w:rPr>
          <w:sz w:val="22"/>
        </w:rPr>
        <w:t>I) suit]</w:t>
      </w:r>
    </w:p>
    <w:sectPr w:rsidR="000A38CB" w:rsidRPr="00AE54E9" w:rsidSect="00034A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1418" w:left="1418" w:header="510" w:footer="10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D55FC" w14:textId="77777777" w:rsidR="0042306C" w:rsidRDefault="0042306C" w:rsidP="00AE54E9">
      <w:r>
        <w:separator/>
      </w:r>
    </w:p>
  </w:endnote>
  <w:endnote w:type="continuationSeparator" w:id="0">
    <w:p w14:paraId="1809BC92" w14:textId="77777777" w:rsidR="0042306C" w:rsidRDefault="0042306C" w:rsidP="00AE54E9">
      <w:r>
        <w:continuationSeparator/>
      </w:r>
    </w:p>
  </w:endnote>
  <w:endnote w:type="continuationNotice" w:id="1">
    <w:p w14:paraId="45CAD59B" w14:textId="77777777" w:rsidR="002A5D5F" w:rsidRDefault="002A5D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C1608" w14:textId="77777777" w:rsidR="004E2068" w:rsidRDefault="004E20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2208E" w14:textId="77777777" w:rsidR="002A5D5F" w:rsidRDefault="002A5D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748F8" w14:textId="77777777" w:rsidR="004E2068" w:rsidRDefault="004E20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629E2" w14:textId="77777777" w:rsidR="0042306C" w:rsidRDefault="0042306C" w:rsidP="00AE54E9">
      <w:r>
        <w:separator/>
      </w:r>
    </w:p>
  </w:footnote>
  <w:footnote w:type="continuationSeparator" w:id="0">
    <w:p w14:paraId="027EDB8B" w14:textId="77777777" w:rsidR="0042306C" w:rsidRDefault="0042306C" w:rsidP="00AE54E9">
      <w:r>
        <w:continuationSeparator/>
      </w:r>
    </w:p>
  </w:footnote>
  <w:footnote w:type="continuationNotice" w:id="1">
    <w:p w14:paraId="3D186158" w14:textId="77777777" w:rsidR="002A5D5F" w:rsidRDefault="002A5D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89D47" w14:textId="0EEE40B6" w:rsidR="00514C79" w:rsidRPr="00514C79" w:rsidRDefault="00034AA4" w:rsidP="00514C79">
    <w:pPr>
      <w:pStyle w:val="Header"/>
      <w:jc w:val="right"/>
      <w:rPr>
        <w:sz w:val="22"/>
        <w:szCs w:val="22"/>
      </w:rPr>
    </w:pPr>
    <w:r>
      <w:rPr>
        <w:sz w:val="22"/>
      </w:rPr>
      <w:t>CWS/10/13 </w:t>
    </w:r>
    <w:r w:rsidR="00514C79">
      <w:rPr>
        <w:sz w:val="22"/>
      </w:rPr>
      <w:t>Rev.2</w:t>
    </w:r>
  </w:p>
  <w:p w14:paraId="7C869A35" w14:textId="68A76CED" w:rsidR="00AE54E9" w:rsidRPr="00514C79" w:rsidRDefault="00034AA4" w:rsidP="00514C79">
    <w:pPr>
      <w:pStyle w:val="Header"/>
      <w:spacing w:after="360"/>
      <w:jc w:val="right"/>
      <w:rPr>
        <w:sz w:val="22"/>
        <w:szCs w:val="22"/>
      </w:rPr>
    </w:pPr>
    <w:r>
      <w:rPr>
        <w:sz w:val="22"/>
      </w:rPr>
      <w:t>Annexe I, page </w:t>
    </w:r>
    <w:r w:rsidR="00514C79" w:rsidRPr="00514C79">
      <w:rPr>
        <w:sz w:val="22"/>
      </w:rPr>
      <w:fldChar w:fldCharType="begin"/>
    </w:r>
    <w:r w:rsidR="00514C79" w:rsidRPr="00514C79">
      <w:rPr>
        <w:sz w:val="22"/>
      </w:rPr>
      <w:instrText xml:space="preserve"> PAGE  \* MERGEFORMAT </w:instrText>
    </w:r>
    <w:r w:rsidR="00514C79" w:rsidRPr="00514C79">
      <w:rPr>
        <w:sz w:val="22"/>
      </w:rPr>
      <w:fldChar w:fldCharType="separate"/>
    </w:r>
    <w:r>
      <w:rPr>
        <w:noProof/>
        <w:sz w:val="22"/>
      </w:rPr>
      <w:t>2</w:t>
    </w:r>
    <w:r w:rsidR="00514C79" w:rsidRPr="00514C79"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256CE" w14:textId="74F4DBAB" w:rsidR="00514C79" w:rsidRPr="00514C79" w:rsidRDefault="00514C79" w:rsidP="00514C79">
    <w:pPr>
      <w:pStyle w:val="Header"/>
      <w:jc w:val="right"/>
      <w:rPr>
        <w:sz w:val="22"/>
        <w:szCs w:val="22"/>
      </w:rPr>
    </w:pPr>
    <w:r>
      <w:rPr>
        <w:sz w:val="22"/>
      </w:rPr>
      <w:t>CWS/10/13</w:t>
    </w:r>
    <w:r w:rsidR="00034AA4">
      <w:rPr>
        <w:sz w:val="22"/>
      </w:rPr>
      <w:t> </w:t>
    </w:r>
    <w:r>
      <w:rPr>
        <w:sz w:val="22"/>
      </w:rPr>
      <w:t>Rev.2</w:t>
    </w:r>
  </w:p>
  <w:p w14:paraId="4A6064DB" w14:textId="47D3C54D" w:rsidR="00AE54E9" w:rsidRPr="00514C79" w:rsidRDefault="00034AA4" w:rsidP="00514C79">
    <w:pPr>
      <w:pStyle w:val="Header"/>
      <w:spacing w:after="360"/>
      <w:jc w:val="right"/>
      <w:rPr>
        <w:sz w:val="22"/>
        <w:szCs w:val="22"/>
      </w:rPr>
    </w:pPr>
    <w:r>
      <w:rPr>
        <w:sz w:val="22"/>
      </w:rPr>
      <w:t>Annexe I, page </w:t>
    </w:r>
    <w:r w:rsidR="00514C79" w:rsidRPr="00514C79">
      <w:rPr>
        <w:sz w:val="22"/>
      </w:rPr>
      <w:fldChar w:fldCharType="begin"/>
    </w:r>
    <w:r w:rsidR="00514C79" w:rsidRPr="00514C79">
      <w:rPr>
        <w:sz w:val="22"/>
      </w:rPr>
      <w:instrText xml:space="preserve"> PAGE  \* MERGEFORMAT </w:instrText>
    </w:r>
    <w:r w:rsidR="00514C79" w:rsidRPr="00514C79">
      <w:rPr>
        <w:sz w:val="22"/>
      </w:rPr>
      <w:fldChar w:fldCharType="separate"/>
    </w:r>
    <w:r w:rsidR="00F91C64">
      <w:rPr>
        <w:noProof/>
        <w:sz w:val="22"/>
      </w:rPr>
      <w:t>3</w:t>
    </w:r>
    <w:r w:rsidR="00514C79" w:rsidRPr="00514C79">
      <w:rPr>
        <w:sz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04B37" w14:textId="252EAAFB" w:rsidR="00514C79" w:rsidRPr="00514C79" w:rsidRDefault="00514C79" w:rsidP="00514C79">
    <w:pPr>
      <w:pStyle w:val="Header"/>
      <w:jc w:val="right"/>
      <w:rPr>
        <w:sz w:val="22"/>
        <w:szCs w:val="22"/>
      </w:rPr>
    </w:pPr>
    <w:r>
      <w:rPr>
        <w:sz w:val="22"/>
      </w:rPr>
      <w:t>CWS/10/13</w:t>
    </w:r>
    <w:r w:rsidR="00034AA4">
      <w:rPr>
        <w:sz w:val="22"/>
      </w:rPr>
      <w:t> </w:t>
    </w:r>
    <w:r>
      <w:rPr>
        <w:sz w:val="22"/>
      </w:rPr>
      <w:t>Rev.2</w:t>
    </w:r>
  </w:p>
  <w:p w14:paraId="7628D7B4" w14:textId="3F3FFEDE" w:rsidR="00AE54E9" w:rsidRDefault="00514C79" w:rsidP="00034AA4">
    <w:pPr>
      <w:pStyle w:val="Header"/>
      <w:spacing w:after="480"/>
      <w:jc w:val="right"/>
    </w:pPr>
    <w:r>
      <w:rPr>
        <w:sz w:val="22"/>
      </w:rPr>
      <w:t>A</w:t>
    </w:r>
    <w:r w:rsidR="00034AA4">
      <w:rPr>
        <w:sz w:val="22"/>
      </w:rPr>
      <w:t>NNEXE </w:t>
    </w:r>
    <w:r>
      <w:rPr>
        <w:sz w:val="22"/>
      </w:rPr>
      <w:t>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E9"/>
    <w:rsid w:val="00034AA4"/>
    <w:rsid w:val="00080F9B"/>
    <w:rsid w:val="000A38CB"/>
    <w:rsid w:val="001246DA"/>
    <w:rsid w:val="001574ED"/>
    <w:rsid w:val="001F22C9"/>
    <w:rsid w:val="00213849"/>
    <w:rsid w:val="002141CB"/>
    <w:rsid w:val="00226034"/>
    <w:rsid w:val="00233050"/>
    <w:rsid w:val="002476FA"/>
    <w:rsid w:val="0026523A"/>
    <w:rsid w:val="00272189"/>
    <w:rsid w:val="002A58FD"/>
    <w:rsid w:val="002A5D5F"/>
    <w:rsid w:val="002D4FCF"/>
    <w:rsid w:val="002D60BE"/>
    <w:rsid w:val="003049A8"/>
    <w:rsid w:val="003246A0"/>
    <w:rsid w:val="00357C1E"/>
    <w:rsid w:val="003940B8"/>
    <w:rsid w:val="003C29A0"/>
    <w:rsid w:val="003D6A03"/>
    <w:rsid w:val="003F6102"/>
    <w:rsid w:val="0042306C"/>
    <w:rsid w:val="004356AE"/>
    <w:rsid w:val="00447D9B"/>
    <w:rsid w:val="004937D2"/>
    <w:rsid w:val="004E2068"/>
    <w:rsid w:val="00514C79"/>
    <w:rsid w:val="005B0528"/>
    <w:rsid w:val="005B71FE"/>
    <w:rsid w:val="00667FFE"/>
    <w:rsid w:val="00702567"/>
    <w:rsid w:val="007137D2"/>
    <w:rsid w:val="007607BD"/>
    <w:rsid w:val="00794889"/>
    <w:rsid w:val="008121A9"/>
    <w:rsid w:val="00836A14"/>
    <w:rsid w:val="00870C3A"/>
    <w:rsid w:val="008E6993"/>
    <w:rsid w:val="00913E57"/>
    <w:rsid w:val="009214C9"/>
    <w:rsid w:val="00957D4E"/>
    <w:rsid w:val="00972980"/>
    <w:rsid w:val="009B3598"/>
    <w:rsid w:val="009C7BD1"/>
    <w:rsid w:val="00A27A15"/>
    <w:rsid w:val="00A41248"/>
    <w:rsid w:val="00A52AF6"/>
    <w:rsid w:val="00A5613A"/>
    <w:rsid w:val="00A71994"/>
    <w:rsid w:val="00AE54E9"/>
    <w:rsid w:val="00AF073A"/>
    <w:rsid w:val="00AF2F86"/>
    <w:rsid w:val="00B069CD"/>
    <w:rsid w:val="00B26FAE"/>
    <w:rsid w:val="00BF558C"/>
    <w:rsid w:val="00C03068"/>
    <w:rsid w:val="00C22584"/>
    <w:rsid w:val="00C36C56"/>
    <w:rsid w:val="00C74665"/>
    <w:rsid w:val="00CD3C6B"/>
    <w:rsid w:val="00CF2797"/>
    <w:rsid w:val="00CF5F26"/>
    <w:rsid w:val="00D251E9"/>
    <w:rsid w:val="00D735F5"/>
    <w:rsid w:val="00DC079F"/>
    <w:rsid w:val="00DE032F"/>
    <w:rsid w:val="00DE5018"/>
    <w:rsid w:val="00E5005D"/>
    <w:rsid w:val="00E53D75"/>
    <w:rsid w:val="00E65E1A"/>
    <w:rsid w:val="00ED2F74"/>
    <w:rsid w:val="00F40E10"/>
    <w:rsid w:val="00F42802"/>
    <w:rsid w:val="00F709D3"/>
    <w:rsid w:val="00F9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116B21B"/>
  <w15:chartTrackingRefBased/>
  <w15:docId w15:val="{9144F94B-FAF6-4914-A416-DA144856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1E9"/>
    <w:pPr>
      <w:widowControl w:val="0"/>
      <w:kinsoku w:val="0"/>
      <w:spacing w:after="0" w:line="240" w:lineRule="auto"/>
    </w:pPr>
    <w:rPr>
      <w:rFonts w:ascii="Arial" w:eastAsia="SimSun" w:hAnsi="Arial" w:cs="Arial"/>
      <w:sz w:val="24"/>
      <w:szCs w:val="24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D251E9"/>
    <w:pPr>
      <w:keepNext/>
      <w:spacing w:before="240" w:after="60"/>
      <w:outlineLvl w:val="2"/>
    </w:pPr>
    <w:rPr>
      <w:b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51E9"/>
    <w:rPr>
      <w:rFonts w:ascii="Arial" w:eastAsia="SimSun" w:hAnsi="Arial" w:cs="Arial"/>
      <w:bCs/>
      <w:sz w:val="24"/>
      <w:szCs w:val="26"/>
      <w:u w:val="single"/>
      <w:lang w:eastAsia="zh-CN"/>
    </w:rPr>
  </w:style>
  <w:style w:type="paragraph" w:styleId="NormalWeb">
    <w:name w:val="Normal (Web)"/>
    <w:basedOn w:val="Normal"/>
    <w:uiPriority w:val="99"/>
    <w:unhideWhenUsed/>
    <w:rsid w:val="00AF2F86"/>
    <w:pPr>
      <w:widowControl/>
      <w:kinsoku/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03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30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3068"/>
    <w:rPr>
      <w:rFonts w:ascii="Arial" w:eastAsia="SimSun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068"/>
    <w:rPr>
      <w:rFonts w:ascii="Arial" w:eastAsia="SimSun" w:hAnsi="Arial" w:cs="Arial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0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068"/>
    <w:rPr>
      <w:rFonts w:ascii="Segoe UI" w:eastAsia="SimSun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nhideWhenUsed/>
    <w:rsid w:val="00AE54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54E9"/>
    <w:rPr>
      <w:rFonts w:ascii="Arial" w:eastAsia="SimSun" w:hAnsi="Arial" w:cs="Arial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E54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4E9"/>
    <w:rPr>
      <w:rFonts w:ascii="Arial" w:eastAsia="SimSun" w:hAnsi="Arial" w:cs="Arial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2A5D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CWS/10/13 Annex Rev.2</vt:lpstr>
    </vt:vector>
  </TitlesOfParts>
  <Company>United States Patent and Trademark Office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CWS/10/13 Annex Rev.2</dc:title>
  <dc:subject/>
  <dc:creator>WIPO</dc:creator>
  <cp:keywords>FOR OFFICIAL USE ONLY</cp:keywords>
  <dc:description/>
  <cp:lastModifiedBy>CHAVAS Louison</cp:lastModifiedBy>
  <cp:revision>2</cp:revision>
  <dcterms:created xsi:type="dcterms:W3CDTF">2022-12-01T11:38:00Z</dcterms:created>
  <dcterms:modified xsi:type="dcterms:W3CDTF">2022-12-01T11:38:00Z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37a448e0-bba1-44eb-a41a-ea284c00d485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