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C44A" w14:textId="471F29E2" w:rsidR="00D22CF8" w:rsidRPr="007E72F5" w:rsidRDefault="00366981" w:rsidP="006F370A">
      <w:pPr>
        <w:pStyle w:val="Heading1"/>
        <w:jc w:val="center"/>
        <w:rPr>
          <w:rFonts w:ascii="Arial" w:hAnsi="Arial" w:cs="Arial"/>
        </w:rPr>
      </w:pPr>
      <w:r w:rsidRPr="007E72F5">
        <w:rPr>
          <w:rFonts w:ascii="Arial" w:hAnsi="Arial" w:cs="Arial"/>
        </w:rPr>
        <w:t>Proposition de recommandations concernant l</w:t>
      </w:r>
      <w:r w:rsidR="00D602DC" w:rsidRPr="007E72F5">
        <w:rPr>
          <w:rFonts w:ascii="Arial" w:hAnsi="Arial" w:cs="Arial"/>
        </w:rPr>
        <w:t>’</w:t>
      </w:r>
      <w:r w:rsidRPr="007E72F5">
        <w:rPr>
          <w:rFonts w:ascii="Arial" w:hAnsi="Arial" w:cs="Arial"/>
        </w:rPr>
        <w:t>administration des technologies de l</w:t>
      </w:r>
      <w:r w:rsidR="00D602DC" w:rsidRPr="007E72F5">
        <w:rPr>
          <w:rFonts w:ascii="Arial" w:hAnsi="Arial" w:cs="Arial"/>
        </w:rPr>
        <w:t>’</w:t>
      </w:r>
      <w:r w:rsidRPr="007E72F5">
        <w:rPr>
          <w:rFonts w:ascii="Arial" w:hAnsi="Arial" w:cs="Arial"/>
        </w:rPr>
        <w:t>information et de la communication et de la propriété intellectuelle</w:t>
      </w:r>
    </w:p>
    <w:tbl>
      <w:tblPr>
        <w:tblW w:w="13215" w:type="dxa"/>
        <w:shd w:val="clear" w:color="auto" w:fill="FFFFFF"/>
        <w:tblCellMar>
          <w:left w:w="0" w:type="dxa"/>
          <w:right w:w="0" w:type="dxa"/>
        </w:tblCellMar>
        <w:tblLook w:val="04A0" w:firstRow="1" w:lastRow="0" w:firstColumn="1" w:lastColumn="0" w:noHBand="0" w:noVBand="1"/>
      </w:tblPr>
      <w:tblGrid>
        <w:gridCol w:w="4486"/>
        <w:gridCol w:w="7010"/>
        <w:gridCol w:w="1719"/>
      </w:tblGrid>
      <w:tr w:rsidR="00110F3E" w:rsidRPr="007E72F5" w14:paraId="1E56D629" w14:textId="041CC4A3" w:rsidTr="00055AA0">
        <w:trPr>
          <w:tblHeader/>
        </w:trPr>
        <w:tc>
          <w:tcPr>
            <w:tcW w:w="4492"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7FB3C6C0" w14:textId="3C9B448E" w:rsidR="005D39BC" w:rsidRPr="007E72F5" w:rsidRDefault="005D39BC" w:rsidP="00D22CF8">
            <w:pPr>
              <w:spacing w:before="3" w:after="0" w:line="240" w:lineRule="auto"/>
              <w:jc w:val="center"/>
              <w:rPr>
                <w:rFonts w:ascii="Arial" w:eastAsia="Times New Roman" w:hAnsi="Arial" w:cs="Arial"/>
                <w:b/>
                <w:bCs/>
                <w:kern w:val="0"/>
                <w:sz w:val="21"/>
                <w:szCs w:val="21"/>
                <w14:ligatures w14:val="none"/>
              </w:rPr>
            </w:pPr>
            <w:r w:rsidRPr="007E72F5">
              <w:rPr>
                <w:rFonts w:ascii="Arial" w:hAnsi="Arial" w:cs="Arial"/>
                <w:b/>
                <w:sz w:val="21"/>
              </w:rPr>
              <w:t>Recommandations</w:t>
            </w:r>
          </w:p>
        </w:tc>
        <w:tc>
          <w:tcPr>
            <w:tcW w:w="702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2EDCA112" w14:textId="6D36BC15" w:rsidR="005D39BC" w:rsidRPr="007E72F5" w:rsidRDefault="005D39BC" w:rsidP="00D22CF8">
            <w:pPr>
              <w:spacing w:before="3" w:after="0" w:line="240" w:lineRule="auto"/>
              <w:jc w:val="center"/>
              <w:rPr>
                <w:rFonts w:ascii="Arial" w:eastAsia="Times New Roman" w:hAnsi="Arial" w:cs="Arial"/>
                <w:b/>
                <w:bCs/>
                <w:kern w:val="0"/>
                <w:sz w:val="21"/>
                <w:szCs w:val="21"/>
                <w14:ligatures w14:val="none"/>
              </w:rPr>
            </w:pPr>
            <w:r w:rsidRPr="007E72F5">
              <w:rPr>
                <w:rFonts w:ascii="Arial" w:hAnsi="Arial" w:cs="Arial"/>
                <w:b/>
                <w:sz w:val="21"/>
              </w:rPr>
              <w:t>Actions recommandées</w:t>
            </w:r>
          </w:p>
        </w:tc>
        <w:tc>
          <w:tcPr>
            <w:tcW w:w="1703" w:type="dxa"/>
            <w:tcBorders>
              <w:top w:val="single" w:sz="6" w:space="0" w:color="C1C7D0"/>
              <w:left w:val="single" w:sz="6" w:space="0" w:color="C1C7D0"/>
              <w:bottom w:val="single" w:sz="6" w:space="0" w:color="C1C7D0"/>
              <w:right w:val="single" w:sz="6" w:space="0" w:color="C1C7D0"/>
            </w:tcBorders>
            <w:shd w:val="clear" w:color="auto" w:fill="F4F5F7"/>
          </w:tcPr>
          <w:p w14:paraId="5EB04F25" w14:textId="59A602E7" w:rsidR="005D39BC" w:rsidRPr="007E72F5" w:rsidRDefault="005D39BC" w:rsidP="00D22CF8">
            <w:pPr>
              <w:spacing w:before="3" w:after="0" w:line="240" w:lineRule="auto"/>
              <w:jc w:val="center"/>
              <w:rPr>
                <w:rFonts w:ascii="Arial" w:eastAsia="Times New Roman" w:hAnsi="Arial" w:cs="Arial"/>
                <w:b/>
                <w:bCs/>
                <w:kern w:val="0"/>
                <w:sz w:val="21"/>
                <w:szCs w:val="21"/>
                <w14:ligatures w14:val="none"/>
              </w:rPr>
            </w:pPr>
            <w:r w:rsidRPr="007E72F5">
              <w:rPr>
                <w:rFonts w:ascii="Arial" w:hAnsi="Arial" w:cs="Arial"/>
                <w:b/>
                <w:sz w:val="21"/>
              </w:rPr>
              <w:t>40 rec. correspondantes</w:t>
            </w:r>
          </w:p>
        </w:tc>
      </w:tr>
      <w:tr w:rsidR="00110F3E" w:rsidRPr="007E72F5" w14:paraId="703CFED1" w14:textId="2CD9258B" w:rsidTr="00055AA0">
        <w:trPr>
          <w:trHeight w:val="2031"/>
        </w:trPr>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B150C88" w14:textId="218EA8DB" w:rsidR="005D39BC" w:rsidRPr="007E72F5" w:rsidRDefault="005D39BC" w:rsidP="00D22CF8">
            <w:pPr>
              <w:spacing w:after="0" w:line="240" w:lineRule="auto"/>
              <w:rPr>
                <w:rFonts w:ascii="Arial" w:eastAsia="Times New Roman" w:hAnsi="Arial" w:cs="Arial"/>
                <w:kern w:val="0"/>
                <w:sz w:val="21"/>
                <w:szCs w:val="21"/>
                <w:u w:val="single"/>
                <w14:ligatures w14:val="none"/>
              </w:rPr>
            </w:pPr>
            <w:r w:rsidRPr="007E72F5">
              <w:rPr>
                <w:rFonts w:ascii="Arial" w:hAnsi="Arial" w:cs="Arial"/>
                <w:sz w:val="21"/>
                <w:u w:val="single"/>
              </w:rPr>
              <w:t>Recommandation n° 1</w:t>
            </w:r>
          </w:p>
          <w:p w14:paraId="59A4B8D7" w14:textId="611FDB3B" w:rsidR="005D39BC" w:rsidRPr="007E72F5" w:rsidRDefault="005D39BC" w:rsidP="00D22CF8">
            <w:pPr>
              <w:spacing w:after="0" w:line="240" w:lineRule="auto"/>
              <w:rPr>
                <w:rFonts w:ascii="Arial" w:eastAsia="Times New Roman" w:hAnsi="Arial" w:cs="Arial"/>
                <w:kern w:val="0"/>
                <w:sz w:val="21"/>
                <w:szCs w:val="21"/>
                <w14:ligatures w14:val="none"/>
              </w:rPr>
            </w:pPr>
            <w:r w:rsidRPr="007E72F5">
              <w:rPr>
                <w:rFonts w:ascii="Arial" w:hAnsi="Arial" w:cs="Arial"/>
                <w:sz w:val="21"/>
              </w:rPr>
              <w:t>Les offices de propriété intellectuelle devraient disposer d</w:t>
            </w:r>
            <w:r w:rsidR="00D602DC" w:rsidRPr="007E72F5">
              <w:rPr>
                <w:rFonts w:ascii="Arial" w:hAnsi="Arial" w:cs="Arial"/>
                <w:sz w:val="21"/>
              </w:rPr>
              <w:t>’</w:t>
            </w:r>
            <w:r w:rsidRPr="007E72F5">
              <w:rPr>
                <w:rFonts w:ascii="Arial" w:hAnsi="Arial" w:cs="Arial"/>
                <w:sz w:val="21"/>
              </w:rPr>
              <w:t xml:space="preserve">une </w:t>
            </w:r>
            <w:r w:rsidRPr="007E72F5">
              <w:rPr>
                <w:rFonts w:ascii="Arial" w:hAnsi="Arial" w:cs="Arial"/>
                <w:b/>
                <w:bCs/>
                <w:sz w:val="21"/>
              </w:rPr>
              <w:t>stratégie en matière de TIC</w:t>
            </w:r>
            <w:r w:rsidRPr="007E72F5">
              <w:rPr>
                <w:rFonts w:ascii="Arial" w:hAnsi="Arial" w:cs="Arial"/>
                <w:sz w:val="21"/>
              </w:rPr>
              <w:t>, soit dans le cadre de la planification stratégique et opérationnelle, soit de manière indépendante, et prévoir des mesures pour l</w:t>
            </w:r>
            <w:r w:rsidR="00D602DC" w:rsidRPr="007E72F5">
              <w:rPr>
                <w:rFonts w:ascii="Arial" w:hAnsi="Arial" w:cs="Arial"/>
                <w:sz w:val="21"/>
              </w:rPr>
              <w:t>’</w:t>
            </w:r>
            <w:r w:rsidRPr="007E72F5">
              <w:rPr>
                <w:rFonts w:ascii="Arial" w:hAnsi="Arial" w:cs="Arial"/>
                <w:sz w:val="21"/>
              </w:rPr>
              <w:t>évaluer chaque année.</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7E4906C" w14:textId="77777777" w:rsidR="00D602DC" w:rsidRPr="007E72F5" w:rsidRDefault="005D39BC" w:rsidP="007E72F5">
            <w:pPr>
              <w:numPr>
                <w:ilvl w:val="0"/>
                <w:numId w:val="9"/>
              </w:numPr>
              <w:tabs>
                <w:tab w:val="clear" w:pos="360"/>
                <w:tab w:val="num" w:pos="607"/>
              </w:tabs>
              <w:spacing w:before="100" w:beforeAutospacing="1" w:after="100" w:afterAutospacing="1" w:line="240" w:lineRule="auto"/>
              <w:ind w:left="567" w:hanging="567"/>
              <w:rPr>
                <w:rFonts w:ascii="Arial" w:hAnsi="Arial" w:cs="Arial"/>
                <w:sz w:val="21"/>
              </w:rPr>
            </w:pPr>
            <w:r w:rsidRPr="007E72F5">
              <w:rPr>
                <w:rFonts w:ascii="Arial" w:hAnsi="Arial" w:cs="Arial"/>
                <w:sz w:val="21"/>
              </w:rPr>
              <w:t>Les offices de propriété intellectuelle devraient élaborer une stratégie en matière de TIC qui soit conforme à la planification de leurs activités.</w:t>
            </w:r>
          </w:p>
          <w:p w14:paraId="7339C3F3" w14:textId="344F0DD9" w:rsidR="005D39BC" w:rsidRPr="007E72F5" w:rsidRDefault="005D39BC" w:rsidP="007E72F5">
            <w:pPr>
              <w:numPr>
                <w:ilvl w:val="0"/>
                <w:numId w:val="9"/>
              </w:numPr>
              <w:tabs>
                <w:tab w:val="clear" w:pos="360"/>
                <w:tab w:val="num" w:pos="607"/>
              </w:tabs>
              <w:spacing w:before="100" w:beforeAutospacing="1" w:after="100" w:afterAutospacing="1"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devraient, dans la mesure du possible, partager leur stratégie en matière de TIC avec d</w:t>
            </w:r>
            <w:r w:rsidR="00D602DC" w:rsidRPr="007E72F5">
              <w:rPr>
                <w:rFonts w:ascii="Arial" w:hAnsi="Arial" w:cs="Arial"/>
                <w:sz w:val="21"/>
              </w:rPr>
              <w:t>’</w:t>
            </w:r>
            <w:r w:rsidRPr="007E72F5">
              <w:rPr>
                <w:rFonts w:ascii="Arial" w:hAnsi="Arial" w:cs="Arial"/>
                <w:sz w:val="21"/>
              </w:rPr>
              <w:t>autres offices.</w:t>
            </w:r>
          </w:p>
          <w:p w14:paraId="0A1F48C0" w14:textId="12407A29" w:rsidR="005D39BC" w:rsidRPr="007E72F5" w:rsidRDefault="005D39BC" w:rsidP="007E72F5">
            <w:pPr>
              <w:numPr>
                <w:ilvl w:val="0"/>
                <w:numId w:val="9"/>
              </w:numPr>
              <w:tabs>
                <w:tab w:val="clear" w:pos="360"/>
                <w:tab w:val="num" w:pos="607"/>
              </w:tabs>
              <w:spacing w:before="100" w:beforeAutospacing="1" w:after="0" w:line="240" w:lineRule="auto"/>
              <w:ind w:left="567" w:hanging="567"/>
              <w:rPr>
                <w:rFonts w:ascii="Arial" w:eastAsia="Times New Roman" w:hAnsi="Arial" w:cs="Arial"/>
                <w:kern w:val="0"/>
                <w:sz w:val="21"/>
                <w:szCs w:val="21"/>
                <w14:ligatures w14:val="none"/>
              </w:rPr>
            </w:pPr>
            <w:r w:rsidRPr="007E72F5">
              <w:rPr>
                <w:rFonts w:ascii="Arial" w:hAnsi="Arial" w:cs="Arial"/>
                <w:sz w:val="21"/>
              </w:rPr>
              <w:t>Le Bureau international devrait fournir un forum pour discuter des stratégies en matière de TIC, notamment de leur évaluation et de leur mise à jour, entre les offices de propriété intellectuelle.</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21821CF1" w14:textId="3CA7FCE9" w:rsidR="005D39BC" w:rsidRPr="007E72F5" w:rsidRDefault="005D39BC" w:rsidP="006F370A">
            <w:pPr>
              <w:spacing w:after="0" w:line="240" w:lineRule="auto"/>
              <w:ind w:left="91"/>
              <w:rPr>
                <w:rFonts w:ascii="Arial" w:eastAsia="Times New Roman" w:hAnsi="Arial" w:cs="Arial"/>
                <w:kern w:val="0"/>
                <w:sz w:val="21"/>
                <w:szCs w:val="21"/>
                <w14:ligatures w14:val="none"/>
              </w:rPr>
            </w:pPr>
            <w:r w:rsidRPr="007E72F5">
              <w:rPr>
                <w:rFonts w:ascii="Arial" w:hAnsi="Arial" w:cs="Arial"/>
                <w:sz w:val="21"/>
              </w:rPr>
              <w:t>Sans objet, car il s</w:t>
            </w:r>
            <w:r w:rsidR="00D602DC" w:rsidRPr="007E72F5">
              <w:rPr>
                <w:rFonts w:ascii="Arial" w:hAnsi="Arial" w:cs="Arial"/>
                <w:sz w:val="21"/>
              </w:rPr>
              <w:t>’</w:t>
            </w:r>
            <w:r w:rsidRPr="007E72F5">
              <w:rPr>
                <w:rFonts w:ascii="Arial" w:hAnsi="Arial" w:cs="Arial"/>
                <w:sz w:val="21"/>
              </w:rPr>
              <w:t>agit d</w:t>
            </w:r>
            <w:r w:rsidR="00D602DC" w:rsidRPr="007E72F5">
              <w:rPr>
                <w:rFonts w:ascii="Arial" w:hAnsi="Arial" w:cs="Arial"/>
                <w:sz w:val="21"/>
              </w:rPr>
              <w:t>’</w:t>
            </w:r>
            <w:r w:rsidRPr="007E72F5">
              <w:rPr>
                <w:rFonts w:ascii="Arial" w:hAnsi="Arial" w:cs="Arial"/>
                <w:sz w:val="21"/>
              </w:rPr>
              <w:t>une nouveauté</w:t>
            </w:r>
          </w:p>
        </w:tc>
      </w:tr>
      <w:tr w:rsidR="00110F3E" w:rsidRPr="007E72F5" w14:paraId="2CD53DA5" w14:textId="179CFC0E"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05945ED" w14:textId="4BEAFD72" w:rsidR="005D39BC" w:rsidRPr="007E72F5" w:rsidRDefault="005D39BC" w:rsidP="00D22CF8">
            <w:pPr>
              <w:spacing w:after="0" w:line="240" w:lineRule="auto"/>
              <w:rPr>
                <w:rFonts w:ascii="Arial" w:eastAsia="Times New Roman" w:hAnsi="Arial" w:cs="Arial"/>
                <w:kern w:val="0"/>
                <w:sz w:val="21"/>
                <w:szCs w:val="21"/>
                <w:u w:val="single"/>
                <w14:ligatures w14:val="none"/>
              </w:rPr>
            </w:pPr>
            <w:r w:rsidRPr="007E72F5">
              <w:rPr>
                <w:rFonts w:ascii="Arial" w:hAnsi="Arial" w:cs="Arial"/>
                <w:sz w:val="21"/>
                <w:u w:val="single"/>
              </w:rPr>
              <w:t>Recommandation n° 2</w:t>
            </w:r>
          </w:p>
          <w:p w14:paraId="384815BC" w14:textId="7CC20601" w:rsidR="005D39BC" w:rsidRPr="007E72F5" w:rsidRDefault="005D39BC" w:rsidP="00D22CF8">
            <w:pPr>
              <w:spacing w:after="0" w:line="240" w:lineRule="auto"/>
              <w:rPr>
                <w:rFonts w:ascii="Arial" w:eastAsia="Times New Roman" w:hAnsi="Arial" w:cs="Arial"/>
                <w:kern w:val="0"/>
                <w:sz w:val="21"/>
                <w:szCs w:val="21"/>
                <w14:ligatures w14:val="none"/>
              </w:rPr>
            </w:pPr>
            <w:r w:rsidRPr="007E72F5">
              <w:rPr>
                <w:rFonts w:ascii="Arial" w:hAnsi="Arial" w:cs="Arial"/>
                <w:sz w:val="21"/>
              </w:rPr>
              <w:t>Les offices de propriété intellectuelle devraient veiller à ce que les données et la documentation en matière de propriété intellectuelle soient disponibles à des fins de publication et d</w:t>
            </w:r>
            <w:r w:rsidR="00D602DC" w:rsidRPr="007E72F5">
              <w:rPr>
                <w:rFonts w:ascii="Arial" w:hAnsi="Arial" w:cs="Arial"/>
                <w:sz w:val="21"/>
              </w:rPr>
              <w:t>’</w:t>
            </w:r>
            <w:r w:rsidRPr="007E72F5">
              <w:rPr>
                <w:rFonts w:ascii="Arial" w:hAnsi="Arial" w:cs="Arial"/>
                <w:sz w:val="21"/>
              </w:rPr>
              <w:t>échange avec d</w:t>
            </w:r>
            <w:r w:rsidR="00D602DC" w:rsidRPr="007E72F5">
              <w:rPr>
                <w:rFonts w:ascii="Arial" w:hAnsi="Arial" w:cs="Arial"/>
                <w:sz w:val="21"/>
              </w:rPr>
              <w:t>’</w:t>
            </w:r>
            <w:r w:rsidRPr="007E72F5">
              <w:rPr>
                <w:rFonts w:ascii="Arial" w:hAnsi="Arial" w:cs="Arial"/>
                <w:sz w:val="21"/>
              </w:rPr>
              <w:t xml:space="preserve">autres offices de propriété intellectuelle </w:t>
            </w:r>
            <w:r w:rsidRPr="007E72F5">
              <w:rPr>
                <w:rFonts w:ascii="Arial" w:hAnsi="Arial" w:cs="Arial"/>
                <w:b/>
                <w:bCs/>
                <w:sz w:val="21"/>
              </w:rPr>
              <w:t>dans des formats en texte intégral déchiffrables par machine</w:t>
            </w:r>
            <w:r w:rsidRPr="007E72F5">
              <w:rPr>
                <w:rFonts w:ascii="Arial" w:hAnsi="Arial" w:cs="Arial"/>
                <w:sz w:val="21"/>
              </w:rPr>
              <w:t>, conformément aux normes pertinentes de l</w:t>
            </w:r>
            <w:r w:rsidR="00D602DC" w:rsidRPr="007E72F5">
              <w:rPr>
                <w:rFonts w:ascii="Arial" w:hAnsi="Arial" w:cs="Arial"/>
                <w:sz w:val="21"/>
              </w:rPr>
              <w:t>’</w:t>
            </w:r>
            <w:r w:rsidRPr="007E72F5">
              <w:rPr>
                <w:rFonts w:ascii="Arial" w:hAnsi="Arial" w:cs="Arial"/>
                <w:sz w:val="21"/>
              </w:rPr>
              <w:t>OMPI.</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7773FE5" w14:textId="3E5DFA7F" w:rsidR="00D602DC" w:rsidRPr="007E72F5" w:rsidRDefault="005D39BC" w:rsidP="007E72F5">
            <w:pPr>
              <w:numPr>
                <w:ilvl w:val="0"/>
                <w:numId w:val="10"/>
              </w:numPr>
              <w:tabs>
                <w:tab w:val="clear" w:pos="360"/>
                <w:tab w:val="num" w:pos="607"/>
              </w:tabs>
              <w:spacing w:before="100" w:beforeAutospacing="1" w:after="100" w:afterAutospacing="1" w:line="240" w:lineRule="auto"/>
              <w:ind w:left="567" w:hanging="567"/>
              <w:rPr>
                <w:rFonts w:ascii="Arial" w:hAnsi="Arial" w:cs="Arial"/>
                <w:sz w:val="21"/>
              </w:rPr>
            </w:pPr>
            <w:r w:rsidRPr="007E72F5">
              <w:rPr>
                <w:rFonts w:ascii="Arial" w:hAnsi="Arial" w:cs="Arial"/>
                <w:sz w:val="21"/>
              </w:rPr>
              <w:t>Les offices de propriété intellectuelle devraient numériser les documents de propriété intellectuelle sur support papier ou sous forme d</w:t>
            </w:r>
            <w:r w:rsidR="00D602DC" w:rsidRPr="007E72F5">
              <w:rPr>
                <w:rFonts w:ascii="Arial" w:hAnsi="Arial" w:cs="Arial"/>
                <w:sz w:val="21"/>
              </w:rPr>
              <w:t>’</w:t>
            </w:r>
            <w:r w:rsidRPr="007E72F5">
              <w:rPr>
                <w:rFonts w:ascii="Arial" w:hAnsi="Arial" w:cs="Arial"/>
                <w:sz w:val="21"/>
              </w:rPr>
              <w:t>images dans des formats en texte intégral déchiffrables par machine et, si possible, dans des formats de données structurées en XML ou JSON, conformément aux normes de l</w:t>
            </w:r>
            <w:r w:rsidR="00D602DC" w:rsidRPr="007E72F5">
              <w:rPr>
                <w:rFonts w:ascii="Arial" w:hAnsi="Arial" w:cs="Arial"/>
                <w:sz w:val="21"/>
              </w:rPr>
              <w:t>’</w:t>
            </w:r>
            <w:r w:rsidRPr="007E72F5">
              <w:rPr>
                <w:rFonts w:ascii="Arial" w:hAnsi="Arial" w:cs="Arial"/>
                <w:sz w:val="21"/>
              </w:rPr>
              <w:t>OMPI en la matière.</w:t>
            </w:r>
          </w:p>
          <w:p w14:paraId="33CE123D" w14:textId="46856B6E" w:rsidR="005D39BC" w:rsidRPr="007E72F5" w:rsidRDefault="005D39BC" w:rsidP="007E72F5">
            <w:pPr>
              <w:numPr>
                <w:ilvl w:val="0"/>
                <w:numId w:val="10"/>
              </w:numPr>
              <w:tabs>
                <w:tab w:val="clear" w:pos="360"/>
                <w:tab w:val="num" w:pos="607"/>
              </w:tabs>
              <w:spacing w:before="100" w:beforeAutospacing="1" w:after="100" w:afterAutospacing="1"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sont encouragés à soutenir la numérisation dans les autres offices de propriété intellectuelle, notamment en partageant leur expérience et leurs solutions en matière de numérisation.</w:t>
            </w:r>
          </w:p>
          <w:p w14:paraId="1EF7696E" w14:textId="0EF5E19A" w:rsidR="005D39BC" w:rsidRPr="007E72F5" w:rsidRDefault="005D39BC" w:rsidP="007E72F5">
            <w:pPr>
              <w:numPr>
                <w:ilvl w:val="0"/>
                <w:numId w:val="10"/>
              </w:numPr>
              <w:tabs>
                <w:tab w:val="clear" w:pos="360"/>
                <w:tab w:val="num" w:pos="607"/>
              </w:tabs>
              <w:spacing w:before="100" w:beforeAutospacing="1" w:after="0"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devraient échanger, publier et diffuser des données et des documents de propriété intellectuelle en XML ou JSON conformément aux normes de l</w:t>
            </w:r>
            <w:r w:rsidR="00D602DC" w:rsidRPr="007E72F5">
              <w:rPr>
                <w:rFonts w:ascii="Arial" w:hAnsi="Arial" w:cs="Arial"/>
                <w:sz w:val="21"/>
              </w:rPr>
              <w:t>’</w:t>
            </w:r>
            <w:r w:rsidRPr="007E72F5">
              <w:rPr>
                <w:rFonts w:ascii="Arial" w:hAnsi="Arial" w:cs="Arial"/>
                <w:sz w:val="21"/>
              </w:rPr>
              <w:t>OMPI en la matière.</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7C7E68E5" w14:textId="529F1D59" w:rsidR="005D39BC" w:rsidRPr="007E72F5" w:rsidRDefault="005D39BC" w:rsidP="006F370A">
            <w:pPr>
              <w:spacing w:after="0" w:line="240" w:lineRule="auto"/>
              <w:ind w:left="91"/>
              <w:rPr>
                <w:rFonts w:ascii="Arial" w:eastAsia="Times New Roman" w:hAnsi="Arial" w:cs="Arial"/>
                <w:kern w:val="0"/>
                <w:sz w:val="21"/>
                <w:szCs w:val="21"/>
                <w14:ligatures w14:val="none"/>
              </w:rPr>
            </w:pPr>
            <w:r w:rsidRPr="007E72F5">
              <w:rPr>
                <w:rFonts w:ascii="Arial" w:hAnsi="Arial" w:cs="Arial"/>
                <w:sz w:val="21"/>
              </w:rPr>
              <w:t>R3, R4, R13, R14, R16, R17 et R32</w:t>
            </w:r>
          </w:p>
        </w:tc>
      </w:tr>
      <w:tr w:rsidR="00110F3E" w:rsidRPr="007E72F5" w14:paraId="63DBA5AB" w14:textId="188B01CB" w:rsidTr="00055AA0">
        <w:trPr>
          <w:trHeight w:val="807"/>
        </w:trPr>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99E5980" w14:textId="77777777" w:rsidR="007E72F5" w:rsidRDefault="005D39BC" w:rsidP="007E72F5">
            <w:pPr>
              <w:keepNext/>
              <w:spacing w:before="100" w:beforeAutospacing="1" w:after="100" w:afterAutospacing="1" w:line="240" w:lineRule="auto"/>
              <w:rPr>
                <w:rFonts w:ascii="Arial" w:hAnsi="Arial" w:cs="Arial"/>
                <w:sz w:val="21"/>
                <w:u w:val="single"/>
              </w:rPr>
            </w:pPr>
            <w:r w:rsidRPr="007E72F5">
              <w:rPr>
                <w:rFonts w:ascii="Arial" w:hAnsi="Arial" w:cs="Arial"/>
                <w:sz w:val="21"/>
                <w:u w:val="single"/>
              </w:rPr>
              <w:lastRenderedPageBreak/>
              <w:t>Recommandation n° 3</w:t>
            </w:r>
          </w:p>
          <w:p w14:paraId="6507CD50" w14:textId="783D8FE4" w:rsidR="005D39BC" w:rsidRPr="007E72F5" w:rsidRDefault="005D39BC" w:rsidP="007E72F5">
            <w:pPr>
              <w:spacing w:before="100" w:beforeAutospacing="1" w:after="100" w:afterAutospacing="1" w:line="240" w:lineRule="auto"/>
              <w:rPr>
                <w:rFonts w:ascii="Arial" w:eastAsia="Times New Roman" w:hAnsi="Arial" w:cs="Arial"/>
                <w:kern w:val="0"/>
                <w:sz w:val="21"/>
                <w:szCs w:val="21"/>
                <w:lang w:eastAsia="en-AU"/>
                <w14:ligatures w14:val="none"/>
              </w:rPr>
            </w:pPr>
            <w:r w:rsidRPr="007E72F5">
              <w:rPr>
                <w:rFonts w:ascii="Arial" w:hAnsi="Arial" w:cs="Arial"/>
                <w:sz w:val="21"/>
              </w:rPr>
              <w:t>Les offices de propriété intellectuelle devraient veiller à ce qu</w:t>
            </w:r>
            <w:r w:rsidR="00D602DC" w:rsidRPr="007E72F5">
              <w:rPr>
                <w:rFonts w:ascii="Arial" w:hAnsi="Arial" w:cs="Arial"/>
                <w:sz w:val="21"/>
              </w:rPr>
              <w:t>’</w:t>
            </w:r>
            <w:r w:rsidRPr="007E72F5">
              <w:rPr>
                <w:rFonts w:ascii="Arial" w:hAnsi="Arial" w:cs="Arial"/>
                <w:sz w:val="21"/>
              </w:rPr>
              <w:t xml:space="preserve">un </w:t>
            </w:r>
            <w:r w:rsidRPr="007E72F5">
              <w:rPr>
                <w:rFonts w:ascii="Arial" w:hAnsi="Arial" w:cs="Arial"/>
                <w:b/>
                <w:bCs/>
                <w:sz w:val="21"/>
              </w:rPr>
              <w:t>cadre de gouvernance des données</w:t>
            </w:r>
            <w:r w:rsidRPr="007E72F5">
              <w:rPr>
                <w:rFonts w:ascii="Arial" w:hAnsi="Arial" w:cs="Arial"/>
                <w:sz w:val="21"/>
              </w:rPr>
              <w:t xml:space="preserve"> soit mis en place, en tenant compte des politiques de l</w:t>
            </w:r>
            <w:r w:rsidR="00D602DC" w:rsidRPr="007E72F5">
              <w:rPr>
                <w:rFonts w:ascii="Arial" w:hAnsi="Arial" w:cs="Arial"/>
                <w:sz w:val="21"/>
              </w:rPr>
              <w:t>’</w:t>
            </w:r>
            <w:r w:rsidRPr="007E72F5">
              <w:rPr>
                <w:rFonts w:ascii="Arial" w:hAnsi="Arial" w:cs="Arial"/>
                <w:sz w:val="21"/>
              </w:rPr>
              <w:t>organisation et du cadre juridique connexe, et à ce qu</w:t>
            </w:r>
            <w:r w:rsidR="00D602DC" w:rsidRPr="007E72F5">
              <w:rPr>
                <w:rFonts w:ascii="Arial" w:hAnsi="Arial" w:cs="Arial"/>
                <w:sz w:val="21"/>
              </w:rPr>
              <w:t>’</w:t>
            </w:r>
            <w:r w:rsidRPr="007E72F5">
              <w:rPr>
                <w:rFonts w:ascii="Arial" w:hAnsi="Arial" w:cs="Arial"/>
                <w:sz w:val="21"/>
              </w:rPr>
              <w:t>il soit évalué chaque année.</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6DFD33E" w14:textId="77777777" w:rsidR="005D39BC" w:rsidRPr="007E72F5" w:rsidRDefault="005D39BC" w:rsidP="007E72F5">
            <w:pPr>
              <w:pStyle w:val="ListParagraph"/>
              <w:numPr>
                <w:ilvl w:val="0"/>
                <w:numId w:val="19"/>
              </w:numPr>
              <w:spacing w:before="100" w:beforeAutospacing="1" w:after="100" w:afterAutospacing="1"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devraient créer un cadre de gouvernance des données qui comprenne une stratégie de gouvernance relative aux données, une politique de gestion des données, ainsi que des politiques et des lignes directrices en matière de protection des données, et le maintenir à jour.</w:t>
            </w:r>
          </w:p>
          <w:p w14:paraId="37F13A84" w14:textId="5960AA8E" w:rsidR="005D39BC" w:rsidRPr="007E72F5" w:rsidRDefault="005D39BC" w:rsidP="007E72F5">
            <w:pPr>
              <w:numPr>
                <w:ilvl w:val="0"/>
                <w:numId w:val="19"/>
              </w:numPr>
              <w:spacing w:before="100" w:beforeAutospacing="1" w:after="100" w:afterAutospacing="1"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devraient, dans la mesure du possible, partager leur cadre de gouvernance des données ou des documents associés avec d</w:t>
            </w:r>
            <w:r w:rsidR="00D602DC" w:rsidRPr="007E72F5">
              <w:rPr>
                <w:rFonts w:ascii="Arial" w:hAnsi="Arial" w:cs="Arial"/>
                <w:sz w:val="21"/>
              </w:rPr>
              <w:t>’</w:t>
            </w:r>
            <w:r w:rsidRPr="007E72F5">
              <w:rPr>
                <w:rFonts w:ascii="Arial" w:hAnsi="Arial" w:cs="Arial"/>
                <w:sz w:val="21"/>
              </w:rPr>
              <w:t>autres offices de propriété intellectuelle.</w:t>
            </w:r>
          </w:p>
          <w:p w14:paraId="2C103B7A" w14:textId="087B5CCB" w:rsidR="005D39BC" w:rsidRPr="007E72F5" w:rsidRDefault="005D39BC" w:rsidP="007E72F5">
            <w:pPr>
              <w:numPr>
                <w:ilvl w:val="0"/>
                <w:numId w:val="19"/>
              </w:numPr>
              <w:spacing w:before="100" w:beforeAutospacing="1" w:after="0"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devraient partager et diffuser les données et la documentation sans aucun obstacle et gratuitement ou à un coût marginal.</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27D0921A" w14:textId="31604C07" w:rsidR="005D39BC" w:rsidRPr="007E72F5" w:rsidRDefault="005D39BC" w:rsidP="006F370A">
            <w:pPr>
              <w:spacing w:after="0" w:line="240" w:lineRule="auto"/>
              <w:ind w:left="91"/>
              <w:rPr>
                <w:rFonts w:ascii="Arial" w:eastAsia="Times New Roman" w:hAnsi="Arial" w:cs="Arial"/>
                <w:kern w:val="0"/>
                <w:sz w:val="21"/>
                <w:szCs w:val="21"/>
                <w14:ligatures w14:val="none"/>
              </w:rPr>
            </w:pPr>
            <w:r w:rsidRPr="007E72F5">
              <w:rPr>
                <w:rFonts w:ascii="Arial" w:hAnsi="Arial" w:cs="Arial"/>
                <w:sz w:val="21"/>
              </w:rPr>
              <w:t>R22 et R29</w:t>
            </w:r>
          </w:p>
        </w:tc>
      </w:tr>
      <w:tr w:rsidR="00110F3E" w:rsidRPr="007E72F5" w14:paraId="72FF4596" w14:textId="0781C29F"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0181B9E" w14:textId="0993F337" w:rsidR="005D39BC" w:rsidRPr="007E72F5" w:rsidRDefault="005D39BC" w:rsidP="007E72F5">
            <w:pPr>
              <w:spacing w:before="150" w:after="0" w:line="240" w:lineRule="auto"/>
              <w:rPr>
                <w:rFonts w:ascii="Arial" w:eastAsia="Times New Roman" w:hAnsi="Arial" w:cs="Arial"/>
                <w:kern w:val="0"/>
                <w:sz w:val="21"/>
                <w:szCs w:val="21"/>
                <w:lang w:eastAsia="en-AU"/>
                <w14:ligatures w14:val="none"/>
              </w:rPr>
            </w:pPr>
            <w:r w:rsidRPr="007E72F5">
              <w:rPr>
                <w:rFonts w:ascii="Arial" w:hAnsi="Arial" w:cs="Arial"/>
                <w:sz w:val="21"/>
                <w:u w:val="single"/>
              </w:rPr>
              <w:t>Recommandation n°</w:t>
            </w:r>
            <w:r w:rsidR="00924130" w:rsidRPr="007E72F5">
              <w:rPr>
                <w:rFonts w:ascii="Arial" w:hAnsi="Arial" w:cs="Arial"/>
                <w:sz w:val="21"/>
                <w:u w:val="single"/>
              </w:rPr>
              <w:t> </w:t>
            </w:r>
            <w:r w:rsidRPr="007E72F5">
              <w:rPr>
                <w:rFonts w:ascii="Arial" w:hAnsi="Arial" w:cs="Arial"/>
                <w:sz w:val="21"/>
                <w:u w:val="single"/>
              </w:rPr>
              <w:t>4</w:t>
            </w:r>
            <w:r w:rsidRPr="007E72F5">
              <w:rPr>
                <w:rFonts w:ascii="Arial" w:hAnsi="Arial" w:cs="Arial"/>
                <w:sz w:val="21"/>
              </w:rPr>
              <w:br/>
              <w:t xml:space="preserve">Les offices de propriété intellectuelle devraient optimiser les modèles opérationnels, les cadres juridiques et les processus de travail actuels pour les adapter à </w:t>
            </w:r>
            <w:r w:rsidRPr="007E72F5">
              <w:rPr>
                <w:rFonts w:ascii="Arial" w:hAnsi="Arial" w:cs="Arial"/>
                <w:b/>
                <w:bCs/>
                <w:sz w:val="21"/>
              </w:rPr>
              <w:t>l</w:t>
            </w:r>
            <w:r w:rsidR="00D602DC" w:rsidRPr="007E72F5">
              <w:rPr>
                <w:rFonts w:ascii="Arial" w:hAnsi="Arial" w:cs="Arial"/>
                <w:b/>
                <w:bCs/>
                <w:sz w:val="21"/>
              </w:rPr>
              <w:t>’</w:t>
            </w:r>
            <w:r w:rsidRPr="007E72F5">
              <w:rPr>
                <w:rFonts w:ascii="Arial" w:hAnsi="Arial" w:cs="Arial"/>
                <w:b/>
                <w:bCs/>
                <w:sz w:val="21"/>
              </w:rPr>
              <w:t>ère numérique</w:t>
            </w:r>
            <w:r w:rsidRPr="007E72F5">
              <w:rPr>
                <w:rFonts w:ascii="Arial" w:hAnsi="Arial" w:cs="Arial"/>
                <w:sz w:val="21"/>
              </w:rPr>
              <w:t>, en collaboration avec les parties prenantes internes et externes à tous les stades.</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89BC5EB" w14:textId="77777777" w:rsidR="00D602DC" w:rsidRPr="007E72F5" w:rsidRDefault="005D39BC" w:rsidP="007E72F5">
            <w:pPr>
              <w:numPr>
                <w:ilvl w:val="0"/>
                <w:numId w:val="4"/>
              </w:numPr>
              <w:spacing w:before="100" w:beforeAutospacing="1" w:after="100" w:afterAutospacing="1" w:line="240" w:lineRule="auto"/>
              <w:ind w:left="567" w:hanging="567"/>
              <w:rPr>
                <w:rFonts w:ascii="Arial" w:hAnsi="Arial" w:cs="Arial"/>
                <w:sz w:val="21"/>
              </w:rPr>
            </w:pPr>
            <w:r w:rsidRPr="007E72F5">
              <w:rPr>
                <w:rFonts w:ascii="Arial" w:hAnsi="Arial" w:cs="Arial"/>
                <w:sz w:val="21"/>
              </w:rPr>
              <w:t>Les offices de propriété intellectuelle devraient recenser les problèmes opérationnels et les solutions numériques possibles et optimales pour y remédier.</w:t>
            </w:r>
          </w:p>
          <w:p w14:paraId="731C838D" w14:textId="6C544BAB" w:rsidR="005D39BC" w:rsidRPr="007E72F5" w:rsidRDefault="005D39BC" w:rsidP="007E72F5">
            <w:pPr>
              <w:numPr>
                <w:ilvl w:val="0"/>
                <w:numId w:val="4"/>
              </w:numPr>
              <w:spacing w:before="100" w:beforeAutospacing="1" w:after="100" w:afterAutospacing="1"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devraient veiller à ce qu</w:t>
            </w:r>
            <w:r w:rsidR="00D602DC" w:rsidRPr="007E72F5">
              <w:rPr>
                <w:rFonts w:ascii="Arial" w:hAnsi="Arial" w:cs="Arial"/>
                <w:sz w:val="21"/>
              </w:rPr>
              <w:t>’</w:t>
            </w:r>
            <w:r w:rsidRPr="007E72F5">
              <w:rPr>
                <w:rFonts w:ascii="Arial" w:hAnsi="Arial" w:cs="Arial"/>
                <w:sz w:val="21"/>
              </w:rPr>
              <w:t xml:space="preserve">il y ait une compréhension commune générale de la transformation numérique au niveau institutionnel, </w:t>
            </w:r>
            <w:r w:rsidR="00D602DC" w:rsidRPr="007E72F5">
              <w:rPr>
                <w:rFonts w:ascii="Arial" w:hAnsi="Arial" w:cs="Arial"/>
                <w:sz w:val="21"/>
              </w:rPr>
              <w:t>y compris</w:t>
            </w:r>
            <w:r w:rsidRPr="007E72F5">
              <w:rPr>
                <w:rFonts w:ascii="Arial" w:hAnsi="Arial" w:cs="Arial"/>
                <w:sz w:val="21"/>
              </w:rPr>
              <w:t xml:space="preserve"> en ce qui concerne l</w:t>
            </w:r>
            <w:r w:rsidR="00D602DC" w:rsidRPr="007E72F5">
              <w:rPr>
                <w:rFonts w:ascii="Arial" w:hAnsi="Arial" w:cs="Arial"/>
                <w:sz w:val="21"/>
              </w:rPr>
              <w:t>’</w:t>
            </w:r>
            <w:r w:rsidRPr="007E72F5">
              <w:rPr>
                <w:rFonts w:ascii="Arial" w:hAnsi="Arial" w:cs="Arial"/>
                <w:sz w:val="21"/>
              </w:rPr>
              <w:t>utilisation possible et appropriée des technologies émergentes, en se fondant sur une analyse appropriée des avantages et inconvénients et sur la détermination des solutions les mieux adaptées.</w:t>
            </w:r>
          </w:p>
          <w:p w14:paraId="27EFAA1E" w14:textId="01FAF772" w:rsidR="005D39BC" w:rsidRPr="007E72F5" w:rsidRDefault="005D39BC" w:rsidP="007E72F5">
            <w:pPr>
              <w:numPr>
                <w:ilvl w:val="0"/>
                <w:numId w:val="4"/>
              </w:numPr>
              <w:spacing w:before="100" w:beforeAutospacing="1" w:after="100" w:afterAutospacing="1"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devraient s</w:t>
            </w:r>
            <w:r w:rsidR="00D602DC" w:rsidRPr="007E72F5">
              <w:rPr>
                <w:rFonts w:ascii="Arial" w:hAnsi="Arial" w:cs="Arial"/>
                <w:sz w:val="21"/>
              </w:rPr>
              <w:t>’</w:t>
            </w:r>
            <w:r w:rsidRPr="007E72F5">
              <w:rPr>
                <w:rFonts w:ascii="Arial" w:hAnsi="Arial" w:cs="Arial"/>
                <w:sz w:val="21"/>
              </w:rPr>
              <w:t>assurer qu</w:t>
            </w:r>
            <w:r w:rsidR="00D602DC" w:rsidRPr="007E72F5">
              <w:rPr>
                <w:rFonts w:ascii="Arial" w:hAnsi="Arial" w:cs="Arial"/>
                <w:sz w:val="21"/>
              </w:rPr>
              <w:t>’</w:t>
            </w:r>
            <w:r w:rsidRPr="007E72F5">
              <w:rPr>
                <w:rFonts w:ascii="Arial" w:hAnsi="Arial" w:cs="Arial"/>
                <w:sz w:val="21"/>
              </w:rPr>
              <w:t>une politique accordant la priorité</w:t>
            </w:r>
            <w:r w:rsidR="00D602DC" w:rsidRPr="007E72F5">
              <w:rPr>
                <w:rFonts w:ascii="Arial" w:hAnsi="Arial" w:cs="Arial"/>
                <w:sz w:val="21"/>
              </w:rPr>
              <w:t xml:space="preserve"> aux API</w:t>
            </w:r>
            <w:r w:rsidRPr="007E72F5">
              <w:rPr>
                <w:rFonts w:ascii="Arial" w:hAnsi="Arial" w:cs="Arial"/>
                <w:sz w:val="21"/>
              </w:rPr>
              <w:t xml:space="preserve"> et à l</w:t>
            </w:r>
            <w:r w:rsidR="00D602DC" w:rsidRPr="007E72F5">
              <w:rPr>
                <w:rFonts w:ascii="Arial" w:hAnsi="Arial" w:cs="Arial"/>
                <w:sz w:val="21"/>
              </w:rPr>
              <w:t>’</w:t>
            </w:r>
            <w:r w:rsidRPr="007E72F5">
              <w:rPr>
                <w:rFonts w:ascii="Arial" w:hAnsi="Arial" w:cs="Arial"/>
                <w:sz w:val="21"/>
              </w:rPr>
              <w:t>hébergement en nuage est en place, en tenant compte des réglementations nationales pertinentes et de la politique opérationnelle, pour la modernisation, l</w:t>
            </w:r>
            <w:r w:rsidR="00D602DC" w:rsidRPr="007E72F5">
              <w:rPr>
                <w:rFonts w:ascii="Arial" w:hAnsi="Arial" w:cs="Arial"/>
                <w:sz w:val="21"/>
              </w:rPr>
              <w:t>’</w:t>
            </w:r>
            <w:r w:rsidRPr="007E72F5">
              <w:rPr>
                <w:rFonts w:ascii="Arial" w:hAnsi="Arial" w:cs="Arial"/>
                <w:sz w:val="21"/>
              </w:rPr>
              <w:t>automatisation et l</w:t>
            </w:r>
            <w:r w:rsidR="00D602DC" w:rsidRPr="007E72F5">
              <w:rPr>
                <w:rFonts w:ascii="Arial" w:hAnsi="Arial" w:cs="Arial"/>
                <w:sz w:val="21"/>
              </w:rPr>
              <w:t>’</w:t>
            </w:r>
            <w:r w:rsidRPr="007E72F5">
              <w:rPr>
                <w:rFonts w:ascii="Arial" w:hAnsi="Arial" w:cs="Arial"/>
                <w:sz w:val="21"/>
              </w:rPr>
              <w:t xml:space="preserve">optimisation des processus opérationnels, </w:t>
            </w:r>
            <w:r w:rsidR="00D602DC" w:rsidRPr="007E72F5">
              <w:rPr>
                <w:rFonts w:ascii="Arial" w:hAnsi="Arial" w:cs="Arial"/>
                <w:sz w:val="21"/>
              </w:rPr>
              <w:t>y compris</w:t>
            </w:r>
            <w:r w:rsidRPr="007E72F5">
              <w:rPr>
                <w:rFonts w:ascii="Arial" w:hAnsi="Arial" w:cs="Arial"/>
                <w:sz w:val="21"/>
              </w:rPr>
              <w:t xml:space="preserve"> l</w:t>
            </w:r>
            <w:r w:rsidR="00D602DC" w:rsidRPr="007E72F5">
              <w:rPr>
                <w:rFonts w:ascii="Arial" w:hAnsi="Arial" w:cs="Arial"/>
                <w:sz w:val="21"/>
              </w:rPr>
              <w:t>’</w:t>
            </w:r>
            <w:r w:rsidRPr="007E72F5">
              <w:rPr>
                <w:rFonts w:ascii="Arial" w:hAnsi="Arial" w:cs="Arial"/>
                <w:sz w:val="21"/>
              </w:rPr>
              <w:t>échange et la diffusion des données.</w:t>
            </w:r>
          </w:p>
          <w:p w14:paraId="5B1092A6" w14:textId="77777777" w:rsidR="00D602DC" w:rsidRPr="007E72F5" w:rsidRDefault="005D39BC" w:rsidP="007E72F5">
            <w:pPr>
              <w:numPr>
                <w:ilvl w:val="0"/>
                <w:numId w:val="4"/>
              </w:numPr>
              <w:spacing w:before="100" w:beforeAutospacing="1" w:after="100" w:afterAutospacing="1" w:line="240" w:lineRule="auto"/>
              <w:ind w:left="567" w:hanging="567"/>
              <w:rPr>
                <w:rFonts w:ascii="Arial" w:hAnsi="Arial" w:cs="Arial"/>
                <w:sz w:val="21"/>
              </w:rPr>
            </w:pPr>
            <w:r w:rsidRPr="007E72F5">
              <w:rPr>
                <w:rFonts w:ascii="Arial" w:hAnsi="Arial" w:cs="Arial"/>
                <w:sz w:val="21"/>
              </w:rPr>
              <w:lastRenderedPageBreak/>
              <w:t>Les offices de propriété intellectuelle devraient envisager des modifications juridiques pour soutenir la transformation numérique, telles que</w:t>
            </w:r>
          </w:p>
          <w:p w14:paraId="3C0167AC" w14:textId="1BA3A6DF" w:rsidR="00D602DC" w:rsidRPr="007E72F5" w:rsidRDefault="005D39BC" w:rsidP="007E72F5">
            <w:pPr>
              <w:numPr>
                <w:ilvl w:val="1"/>
                <w:numId w:val="12"/>
              </w:numPr>
              <w:spacing w:before="100" w:beforeAutospacing="1" w:after="100" w:afterAutospacing="1" w:line="240" w:lineRule="auto"/>
              <w:ind w:left="1134" w:hanging="567"/>
              <w:rPr>
                <w:rFonts w:ascii="Arial" w:hAnsi="Arial" w:cs="Arial"/>
                <w:sz w:val="21"/>
              </w:rPr>
            </w:pPr>
            <w:proofErr w:type="gramStart"/>
            <w:r w:rsidRPr="007E72F5">
              <w:rPr>
                <w:rFonts w:ascii="Arial" w:hAnsi="Arial" w:cs="Arial"/>
                <w:sz w:val="21"/>
              </w:rPr>
              <w:t>l</w:t>
            </w:r>
            <w:r w:rsidR="00D602DC" w:rsidRPr="007E72F5">
              <w:rPr>
                <w:rFonts w:ascii="Arial" w:hAnsi="Arial" w:cs="Arial"/>
                <w:sz w:val="21"/>
              </w:rPr>
              <w:t>’</w:t>
            </w:r>
            <w:r w:rsidRPr="007E72F5">
              <w:rPr>
                <w:rFonts w:ascii="Arial" w:hAnsi="Arial" w:cs="Arial"/>
                <w:sz w:val="21"/>
              </w:rPr>
              <w:t>élaboration</w:t>
            </w:r>
            <w:proofErr w:type="gramEnd"/>
            <w:r w:rsidRPr="007E72F5">
              <w:rPr>
                <w:rFonts w:ascii="Arial" w:hAnsi="Arial" w:cs="Arial"/>
                <w:sz w:val="21"/>
              </w:rPr>
              <w:t xml:space="preserve"> de cadres décisionnels automatisés</w:t>
            </w:r>
          </w:p>
          <w:p w14:paraId="305DF7F9" w14:textId="47C3DCD8" w:rsidR="005D39BC" w:rsidRPr="007E72F5" w:rsidRDefault="005D39BC" w:rsidP="007E72F5">
            <w:pPr>
              <w:numPr>
                <w:ilvl w:val="1"/>
                <w:numId w:val="12"/>
              </w:numPr>
              <w:spacing w:before="100" w:beforeAutospacing="1" w:after="0" w:line="240" w:lineRule="auto"/>
              <w:ind w:left="1134" w:hanging="567"/>
              <w:rPr>
                <w:rFonts w:ascii="Arial" w:eastAsia="Times New Roman" w:hAnsi="Arial" w:cs="Arial"/>
                <w:kern w:val="0"/>
                <w:sz w:val="21"/>
                <w:szCs w:val="21"/>
                <w14:ligatures w14:val="none"/>
              </w:rPr>
            </w:pPr>
            <w:r w:rsidRPr="007E72F5">
              <w:rPr>
                <w:rFonts w:ascii="Arial" w:hAnsi="Arial" w:cs="Arial"/>
                <w:sz w:val="21"/>
              </w:rPr>
              <w:t>l</w:t>
            </w:r>
            <w:r w:rsidR="00D602DC" w:rsidRPr="007E72F5">
              <w:rPr>
                <w:rFonts w:ascii="Arial" w:hAnsi="Arial" w:cs="Arial"/>
                <w:sz w:val="21"/>
              </w:rPr>
              <w:t>’</w:t>
            </w:r>
            <w:r w:rsidRPr="007E72F5">
              <w:rPr>
                <w:rFonts w:ascii="Arial" w:hAnsi="Arial" w:cs="Arial"/>
                <w:sz w:val="21"/>
              </w:rPr>
              <w:t>utilisation de la signature électronique qualifiée dans l</w:t>
            </w:r>
            <w:r w:rsidR="00D602DC" w:rsidRPr="007E72F5">
              <w:rPr>
                <w:rFonts w:ascii="Arial" w:hAnsi="Arial" w:cs="Arial"/>
                <w:sz w:val="21"/>
              </w:rPr>
              <w:t>’</w:t>
            </w:r>
            <w:r w:rsidRPr="007E72F5">
              <w:rPr>
                <w:rFonts w:ascii="Arial" w:hAnsi="Arial" w:cs="Arial"/>
                <w:sz w:val="21"/>
              </w:rPr>
              <w:t>administration de la propriété intellectuelle.</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1813F2B4" w14:textId="1D9D4FCB" w:rsidR="005D39BC" w:rsidRPr="007E72F5" w:rsidRDefault="005D39BC" w:rsidP="006F370A">
            <w:pPr>
              <w:spacing w:after="0" w:line="240" w:lineRule="auto"/>
              <w:ind w:left="91"/>
              <w:rPr>
                <w:rFonts w:ascii="Arial" w:eastAsia="Times New Roman" w:hAnsi="Arial" w:cs="Arial"/>
                <w:kern w:val="0"/>
                <w:sz w:val="21"/>
                <w:szCs w:val="21"/>
                <w14:ligatures w14:val="none"/>
              </w:rPr>
            </w:pPr>
            <w:r w:rsidRPr="007E72F5">
              <w:rPr>
                <w:rFonts w:ascii="Arial" w:hAnsi="Arial" w:cs="Arial"/>
                <w:sz w:val="21"/>
              </w:rPr>
              <w:lastRenderedPageBreak/>
              <w:t>R1, R2, R6, R36 et R39</w:t>
            </w:r>
          </w:p>
        </w:tc>
      </w:tr>
      <w:tr w:rsidR="00110F3E" w:rsidRPr="007E72F5" w14:paraId="118D801F" w14:textId="5052ABEC" w:rsidTr="007E72F5">
        <w:trPr>
          <w:trHeight w:val="3465"/>
        </w:trPr>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48461D6" w14:textId="31BFA8C4" w:rsidR="005D39BC" w:rsidRPr="007E72F5" w:rsidRDefault="005D39BC" w:rsidP="007C12AE">
            <w:pPr>
              <w:spacing w:after="0" w:line="240" w:lineRule="auto"/>
              <w:rPr>
                <w:rFonts w:ascii="Arial" w:eastAsia="Times New Roman" w:hAnsi="Arial" w:cs="Arial"/>
                <w:kern w:val="0"/>
                <w:sz w:val="21"/>
                <w:szCs w:val="21"/>
                <w14:ligatures w14:val="none"/>
              </w:rPr>
            </w:pPr>
            <w:r w:rsidRPr="007E72F5">
              <w:rPr>
                <w:rFonts w:ascii="Arial" w:hAnsi="Arial" w:cs="Arial"/>
                <w:sz w:val="21"/>
                <w:u w:val="single"/>
              </w:rPr>
              <w:t>Recommandation n° 5</w:t>
            </w:r>
            <w:r w:rsidRPr="007E72F5">
              <w:rPr>
                <w:rFonts w:ascii="Arial" w:hAnsi="Arial" w:cs="Arial"/>
                <w:sz w:val="21"/>
              </w:rPr>
              <w:br/>
              <w:t>Les offices de propriété intellectuelle devraient s</w:t>
            </w:r>
            <w:r w:rsidR="00D602DC" w:rsidRPr="007E72F5">
              <w:rPr>
                <w:rFonts w:ascii="Arial" w:hAnsi="Arial" w:cs="Arial"/>
                <w:sz w:val="21"/>
              </w:rPr>
              <w:t>’</w:t>
            </w:r>
            <w:r w:rsidRPr="007E72F5">
              <w:rPr>
                <w:rFonts w:ascii="Arial" w:hAnsi="Arial" w:cs="Arial"/>
                <w:sz w:val="21"/>
              </w:rPr>
              <w:t>assurer que l</w:t>
            </w:r>
            <w:r w:rsidR="00D602DC" w:rsidRPr="007E72F5">
              <w:rPr>
                <w:rFonts w:ascii="Arial" w:hAnsi="Arial" w:cs="Arial"/>
                <w:sz w:val="21"/>
              </w:rPr>
              <w:t>’</w:t>
            </w:r>
            <w:r w:rsidRPr="007E72F5">
              <w:rPr>
                <w:rFonts w:ascii="Arial" w:hAnsi="Arial" w:cs="Arial"/>
                <w:sz w:val="21"/>
              </w:rPr>
              <w:t>adoption des cas d</w:t>
            </w:r>
            <w:r w:rsidR="00D602DC" w:rsidRPr="007E72F5">
              <w:rPr>
                <w:rFonts w:ascii="Arial" w:hAnsi="Arial" w:cs="Arial"/>
                <w:sz w:val="21"/>
              </w:rPr>
              <w:t>’</w:t>
            </w:r>
            <w:r w:rsidRPr="007E72F5">
              <w:rPr>
                <w:rFonts w:ascii="Arial" w:hAnsi="Arial" w:cs="Arial"/>
                <w:sz w:val="21"/>
              </w:rPr>
              <w:t xml:space="preserve">utilisation possibles de </w:t>
            </w:r>
            <w:r w:rsidRPr="007E72F5">
              <w:rPr>
                <w:rFonts w:ascii="Arial" w:hAnsi="Arial" w:cs="Arial"/>
                <w:b/>
                <w:bCs/>
                <w:sz w:val="21"/>
              </w:rPr>
              <w:t>la chaîne de blocs et de l</w:t>
            </w:r>
            <w:r w:rsidR="00D602DC" w:rsidRPr="007E72F5">
              <w:rPr>
                <w:rFonts w:ascii="Arial" w:hAnsi="Arial" w:cs="Arial"/>
                <w:b/>
                <w:bCs/>
                <w:sz w:val="21"/>
              </w:rPr>
              <w:t>’</w:t>
            </w:r>
            <w:r w:rsidRPr="007E72F5">
              <w:rPr>
                <w:rFonts w:ascii="Arial" w:hAnsi="Arial" w:cs="Arial"/>
                <w:b/>
                <w:bCs/>
                <w:sz w:val="21"/>
              </w:rPr>
              <w:t>intelligence artificielle (IA)</w:t>
            </w:r>
            <w:r w:rsidRPr="007E72F5">
              <w:rPr>
                <w:rFonts w:ascii="Arial" w:hAnsi="Arial" w:cs="Arial"/>
                <w:sz w:val="21"/>
              </w:rPr>
              <w:t xml:space="preserve"> sera fondée sur des évaluations des risques liés au projet, notamment en ce qui concerne les politiques et réglementations organisationnelles pertinentes ainsi que l</w:t>
            </w:r>
            <w:r w:rsidR="00D602DC" w:rsidRPr="007E72F5">
              <w:rPr>
                <w:rFonts w:ascii="Arial" w:hAnsi="Arial" w:cs="Arial"/>
                <w:sz w:val="21"/>
              </w:rPr>
              <w:t>’</w:t>
            </w:r>
            <w:r w:rsidRPr="007E72F5">
              <w:rPr>
                <w:rFonts w:ascii="Arial" w:hAnsi="Arial" w:cs="Arial"/>
                <w:sz w:val="21"/>
              </w:rPr>
              <w:t>implication potentielle des solutions alimentées par la chaîne de blocs et l</w:t>
            </w:r>
            <w:r w:rsidR="00D602DC" w:rsidRPr="007E72F5">
              <w:rPr>
                <w:rFonts w:ascii="Arial" w:hAnsi="Arial" w:cs="Arial"/>
                <w:sz w:val="21"/>
              </w:rPr>
              <w:t>’</w:t>
            </w:r>
            <w:r w:rsidRPr="007E72F5">
              <w:rPr>
                <w:rFonts w:ascii="Arial" w:hAnsi="Arial" w:cs="Arial"/>
                <w:sz w:val="21"/>
              </w:rPr>
              <w:t>IA dans les opérations.</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3DDD720" w14:textId="203F2422" w:rsidR="00D602DC" w:rsidRPr="007E72F5" w:rsidRDefault="005D39BC" w:rsidP="007E72F5">
            <w:pPr>
              <w:numPr>
                <w:ilvl w:val="0"/>
                <w:numId w:val="14"/>
              </w:numPr>
              <w:tabs>
                <w:tab w:val="clear" w:pos="360"/>
                <w:tab w:val="num" w:pos="607"/>
              </w:tabs>
              <w:spacing w:before="100" w:beforeAutospacing="1" w:after="100" w:afterAutospacing="1" w:line="240" w:lineRule="auto"/>
              <w:ind w:left="567" w:hanging="567"/>
              <w:rPr>
                <w:rFonts w:ascii="Arial" w:hAnsi="Arial" w:cs="Arial"/>
                <w:sz w:val="21"/>
              </w:rPr>
            </w:pPr>
            <w:r w:rsidRPr="007E72F5">
              <w:rPr>
                <w:rFonts w:ascii="Arial" w:hAnsi="Arial" w:cs="Arial"/>
                <w:sz w:val="21"/>
              </w:rPr>
              <w:t>Les offices de propriété intellectuelle devraient explorer et partager les cas d</w:t>
            </w:r>
            <w:r w:rsidR="00D602DC" w:rsidRPr="007E72F5">
              <w:rPr>
                <w:rFonts w:ascii="Arial" w:hAnsi="Arial" w:cs="Arial"/>
                <w:sz w:val="21"/>
              </w:rPr>
              <w:t>’</w:t>
            </w:r>
            <w:r w:rsidRPr="007E72F5">
              <w:rPr>
                <w:rFonts w:ascii="Arial" w:hAnsi="Arial" w:cs="Arial"/>
                <w:sz w:val="21"/>
              </w:rPr>
              <w:t>utilisation de la technologie de la chaîne de blocs.</w:t>
            </w:r>
          </w:p>
          <w:p w14:paraId="7889CB6D" w14:textId="2ABA2CA0" w:rsidR="00D602DC" w:rsidRPr="007E72F5" w:rsidRDefault="005D39BC" w:rsidP="007E72F5">
            <w:pPr>
              <w:numPr>
                <w:ilvl w:val="0"/>
                <w:numId w:val="14"/>
              </w:numPr>
              <w:tabs>
                <w:tab w:val="clear" w:pos="360"/>
                <w:tab w:val="num" w:pos="607"/>
              </w:tabs>
              <w:spacing w:before="100" w:beforeAutospacing="1" w:after="100" w:afterAutospacing="1" w:line="240" w:lineRule="auto"/>
              <w:ind w:left="567" w:hanging="567"/>
              <w:rPr>
                <w:rFonts w:ascii="Arial" w:hAnsi="Arial" w:cs="Arial"/>
                <w:sz w:val="21"/>
              </w:rPr>
            </w:pPr>
            <w:r w:rsidRPr="007E72F5">
              <w:rPr>
                <w:rFonts w:ascii="Arial" w:hAnsi="Arial" w:cs="Arial"/>
                <w:sz w:val="21"/>
              </w:rPr>
              <w:t>Les offices de propriété intellectuelle devraient étudier et partager les cas d</w:t>
            </w:r>
            <w:r w:rsidR="00D602DC" w:rsidRPr="007E72F5">
              <w:rPr>
                <w:rFonts w:ascii="Arial" w:hAnsi="Arial" w:cs="Arial"/>
                <w:sz w:val="21"/>
              </w:rPr>
              <w:t>’</w:t>
            </w:r>
            <w:r w:rsidRPr="007E72F5">
              <w:rPr>
                <w:rFonts w:ascii="Arial" w:hAnsi="Arial" w:cs="Arial"/>
                <w:sz w:val="21"/>
              </w:rPr>
              <w:t>utilisation d</w:t>
            </w:r>
            <w:r w:rsidR="00D602DC" w:rsidRPr="007E72F5">
              <w:rPr>
                <w:rFonts w:ascii="Arial" w:hAnsi="Arial" w:cs="Arial"/>
                <w:sz w:val="21"/>
              </w:rPr>
              <w:t>’</w:t>
            </w:r>
            <w:r w:rsidRPr="007E72F5">
              <w:rPr>
                <w:rFonts w:ascii="Arial" w:hAnsi="Arial" w:cs="Arial"/>
                <w:sz w:val="21"/>
              </w:rPr>
              <w:t>outils et de services alimentés par l</w:t>
            </w:r>
            <w:r w:rsidR="00D602DC" w:rsidRPr="007E72F5">
              <w:rPr>
                <w:rFonts w:ascii="Arial" w:hAnsi="Arial" w:cs="Arial"/>
                <w:sz w:val="21"/>
              </w:rPr>
              <w:t>’</w:t>
            </w:r>
            <w:r w:rsidRPr="007E72F5">
              <w:rPr>
                <w:rFonts w:ascii="Arial" w:hAnsi="Arial" w:cs="Arial"/>
                <w:sz w:val="21"/>
              </w:rPr>
              <w:t xml:space="preserve">IA, </w:t>
            </w:r>
            <w:r w:rsidR="00D602DC" w:rsidRPr="007E72F5">
              <w:rPr>
                <w:rFonts w:ascii="Arial" w:hAnsi="Arial" w:cs="Arial"/>
                <w:sz w:val="21"/>
              </w:rPr>
              <w:t>y compris</w:t>
            </w:r>
            <w:r w:rsidRPr="007E72F5">
              <w:rPr>
                <w:rFonts w:ascii="Arial" w:hAnsi="Arial" w:cs="Arial"/>
                <w:sz w:val="21"/>
              </w:rPr>
              <w:t xml:space="preserve"> les capacités d</w:t>
            </w:r>
            <w:r w:rsidR="00D602DC" w:rsidRPr="007E72F5">
              <w:rPr>
                <w:rFonts w:ascii="Arial" w:hAnsi="Arial" w:cs="Arial"/>
                <w:sz w:val="21"/>
              </w:rPr>
              <w:t>’</w:t>
            </w:r>
            <w:r w:rsidRPr="007E72F5">
              <w:rPr>
                <w:rFonts w:ascii="Arial" w:hAnsi="Arial" w:cs="Arial"/>
                <w:sz w:val="21"/>
              </w:rPr>
              <w:t>IA générative massives et accessibles au public à mesure qu</w:t>
            </w:r>
            <w:r w:rsidR="00D602DC" w:rsidRPr="007E72F5">
              <w:rPr>
                <w:rFonts w:ascii="Arial" w:hAnsi="Arial" w:cs="Arial"/>
                <w:sz w:val="21"/>
              </w:rPr>
              <w:t>’</w:t>
            </w:r>
            <w:r w:rsidRPr="007E72F5">
              <w:rPr>
                <w:rFonts w:ascii="Arial" w:hAnsi="Arial" w:cs="Arial"/>
                <w:sz w:val="21"/>
              </w:rPr>
              <w:t>elles arrivent à maturité, pour des fonctions telles que la recherche d</w:t>
            </w:r>
            <w:r w:rsidR="00D602DC" w:rsidRPr="007E72F5">
              <w:rPr>
                <w:rFonts w:ascii="Arial" w:hAnsi="Arial" w:cs="Arial"/>
                <w:sz w:val="21"/>
              </w:rPr>
              <w:t>’</w:t>
            </w:r>
            <w:r w:rsidRPr="007E72F5">
              <w:rPr>
                <w:rFonts w:ascii="Arial" w:hAnsi="Arial" w:cs="Arial"/>
                <w:sz w:val="21"/>
              </w:rPr>
              <w:t>images, la recherche sémantique de textes, les classifications d</w:t>
            </w:r>
            <w:r w:rsidR="00D602DC" w:rsidRPr="007E72F5">
              <w:rPr>
                <w:rFonts w:ascii="Arial" w:hAnsi="Arial" w:cs="Arial"/>
                <w:sz w:val="21"/>
              </w:rPr>
              <w:t>’</w:t>
            </w:r>
            <w:r w:rsidRPr="007E72F5">
              <w:rPr>
                <w:rFonts w:ascii="Arial" w:hAnsi="Arial" w:cs="Arial"/>
                <w:sz w:val="21"/>
              </w:rPr>
              <w:t>images et de textes, la traduction et l</w:t>
            </w:r>
            <w:r w:rsidR="00D602DC" w:rsidRPr="007E72F5">
              <w:rPr>
                <w:rFonts w:ascii="Arial" w:hAnsi="Arial" w:cs="Arial"/>
                <w:sz w:val="21"/>
              </w:rPr>
              <w:t>’</w:t>
            </w:r>
            <w:r w:rsidR="007E72F5">
              <w:rPr>
                <w:rFonts w:ascii="Arial" w:hAnsi="Arial" w:cs="Arial"/>
                <w:sz w:val="21"/>
              </w:rPr>
              <w:t>assistance à la clientèle.</w:t>
            </w:r>
          </w:p>
          <w:p w14:paraId="46504C57" w14:textId="4F7C4E63" w:rsidR="005D39BC" w:rsidRPr="007E72F5" w:rsidRDefault="005D39BC" w:rsidP="007E72F5">
            <w:pPr>
              <w:numPr>
                <w:ilvl w:val="0"/>
                <w:numId w:val="14"/>
              </w:numPr>
              <w:tabs>
                <w:tab w:val="clear" w:pos="360"/>
                <w:tab w:val="num" w:pos="607"/>
              </w:tabs>
              <w:spacing w:before="100" w:beforeAutospacing="1" w:after="100" w:afterAutospacing="1"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devraient réfléchir à la façon dont la technologie peut être partagée et rendue disponible aux plus petits offices de propriété intellectuelle afin d</w:t>
            </w:r>
            <w:r w:rsidR="00D602DC" w:rsidRPr="007E72F5">
              <w:rPr>
                <w:rFonts w:ascii="Arial" w:hAnsi="Arial" w:cs="Arial"/>
                <w:sz w:val="21"/>
              </w:rPr>
              <w:t>’</w:t>
            </w:r>
            <w:r w:rsidRPr="007E72F5">
              <w:rPr>
                <w:rFonts w:ascii="Arial" w:hAnsi="Arial" w:cs="Arial"/>
                <w:sz w:val="21"/>
              </w:rPr>
              <w:t>améliorer la qualité et l</w:t>
            </w:r>
            <w:r w:rsidR="00D602DC" w:rsidRPr="007E72F5">
              <w:rPr>
                <w:rFonts w:ascii="Arial" w:hAnsi="Arial" w:cs="Arial"/>
                <w:sz w:val="21"/>
              </w:rPr>
              <w:t>’</w:t>
            </w:r>
            <w:r w:rsidRPr="007E72F5">
              <w:rPr>
                <w:rFonts w:ascii="Arial" w:hAnsi="Arial" w:cs="Arial"/>
                <w:sz w:val="21"/>
              </w:rPr>
              <w:t>efficacité des opérations</w:t>
            </w:r>
            <w:r w:rsidR="007E72F5">
              <w:rPr>
                <w:rFonts w:ascii="Arial" w:hAnsi="Arial" w:cs="Arial"/>
                <w:sz w:val="21"/>
              </w:rPr>
              <w:t>.</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0E9A4FFC" w14:textId="0C0114D2" w:rsidR="005D39BC" w:rsidRPr="007E72F5" w:rsidRDefault="005D39BC" w:rsidP="006F370A">
            <w:pPr>
              <w:spacing w:after="0" w:line="240" w:lineRule="auto"/>
              <w:ind w:left="91"/>
              <w:rPr>
                <w:rFonts w:ascii="Arial" w:eastAsia="Times New Roman" w:hAnsi="Arial" w:cs="Arial"/>
                <w:kern w:val="0"/>
                <w:sz w:val="21"/>
                <w:szCs w:val="21"/>
                <w14:ligatures w14:val="none"/>
              </w:rPr>
            </w:pPr>
            <w:r w:rsidRPr="007E72F5">
              <w:rPr>
                <w:rFonts w:ascii="Arial" w:hAnsi="Arial" w:cs="Arial"/>
                <w:sz w:val="21"/>
              </w:rPr>
              <w:t>R7, R12 et R15</w:t>
            </w:r>
          </w:p>
        </w:tc>
      </w:tr>
      <w:tr w:rsidR="00110F3E" w:rsidRPr="007E72F5" w14:paraId="06554AFF" w14:textId="50FB2274"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66DFE71" w14:textId="5028164B" w:rsidR="005D39BC" w:rsidRPr="007E72F5" w:rsidRDefault="005D39BC" w:rsidP="00D22CF8">
            <w:pPr>
              <w:spacing w:after="0" w:line="240" w:lineRule="auto"/>
              <w:rPr>
                <w:rFonts w:ascii="Arial" w:eastAsia="Times New Roman" w:hAnsi="Arial" w:cs="Arial"/>
                <w:kern w:val="0"/>
                <w:sz w:val="21"/>
                <w:szCs w:val="21"/>
                <w14:ligatures w14:val="none"/>
              </w:rPr>
            </w:pPr>
            <w:r w:rsidRPr="007E72F5">
              <w:rPr>
                <w:rFonts w:ascii="Arial" w:hAnsi="Arial" w:cs="Arial"/>
                <w:sz w:val="21"/>
                <w:u w:val="single"/>
              </w:rPr>
              <w:t>Recommandation n° 6</w:t>
            </w:r>
            <w:r w:rsidRPr="007E72F5">
              <w:rPr>
                <w:rFonts w:ascii="Arial" w:hAnsi="Arial" w:cs="Arial"/>
                <w:sz w:val="21"/>
              </w:rPr>
              <w:br/>
              <w:t>Les offices de propriété intellectuelle devraient être encouragés à coopérer au développement et à l</w:t>
            </w:r>
            <w:r w:rsidR="00D602DC" w:rsidRPr="007E72F5">
              <w:rPr>
                <w:rFonts w:ascii="Arial" w:hAnsi="Arial" w:cs="Arial"/>
                <w:sz w:val="21"/>
              </w:rPr>
              <w:t>’</w:t>
            </w:r>
            <w:r w:rsidRPr="007E72F5">
              <w:rPr>
                <w:rFonts w:ascii="Arial" w:hAnsi="Arial" w:cs="Arial"/>
                <w:sz w:val="21"/>
              </w:rPr>
              <w:t>utilisation d</w:t>
            </w:r>
            <w:r w:rsidR="00D602DC" w:rsidRPr="007E72F5">
              <w:rPr>
                <w:rFonts w:ascii="Arial" w:hAnsi="Arial" w:cs="Arial"/>
                <w:sz w:val="21"/>
              </w:rPr>
              <w:t>’</w:t>
            </w:r>
            <w:r w:rsidRPr="007E72F5">
              <w:rPr>
                <w:rFonts w:ascii="Arial" w:hAnsi="Arial" w:cs="Arial"/>
                <w:b/>
                <w:bCs/>
                <w:sz w:val="21"/>
              </w:rPr>
              <w:t>architectures de référence communes en matière de TIC pour la propriété intellectuelle</w:t>
            </w:r>
            <w:r w:rsidRPr="007E72F5">
              <w:rPr>
                <w:rFonts w:ascii="Arial" w:hAnsi="Arial" w:cs="Arial"/>
                <w:sz w:val="21"/>
              </w:rPr>
              <w:t xml:space="preserve">, </w:t>
            </w:r>
            <w:r w:rsidR="00D602DC" w:rsidRPr="007E72F5">
              <w:rPr>
                <w:rFonts w:ascii="Arial" w:hAnsi="Arial" w:cs="Arial"/>
                <w:sz w:val="21"/>
              </w:rPr>
              <w:t>y compris</w:t>
            </w:r>
            <w:r w:rsidRPr="007E72F5">
              <w:rPr>
                <w:rFonts w:ascii="Arial" w:hAnsi="Arial" w:cs="Arial"/>
                <w:sz w:val="21"/>
              </w:rPr>
              <w:t xml:space="preserve"> des </w:t>
            </w:r>
            <w:r w:rsidRPr="007E72F5">
              <w:rPr>
                <w:rFonts w:ascii="Arial" w:hAnsi="Arial" w:cs="Arial"/>
                <w:b/>
                <w:bCs/>
                <w:sz w:val="21"/>
              </w:rPr>
              <w:t>solutions</w:t>
            </w:r>
            <w:r w:rsidRPr="007E72F5">
              <w:rPr>
                <w:rFonts w:ascii="Arial" w:hAnsi="Arial" w:cs="Arial"/>
                <w:sz w:val="21"/>
              </w:rPr>
              <w:t xml:space="preserve"> et des </w:t>
            </w:r>
            <w:r w:rsidRPr="007E72F5">
              <w:rPr>
                <w:rFonts w:ascii="Arial" w:hAnsi="Arial" w:cs="Arial"/>
                <w:b/>
                <w:bCs/>
                <w:sz w:val="21"/>
              </w:rPr>
              <w:t>plateformes</w:t>
            </w:r>
            <w:r w:rsidRPr="007E72F5">
              <w:rPr>
                <w:rFonts w:ascii="Arial" w:hAnsi="Arial" w:cs="Arial"/>
                <w:sz w:val="21"/>
              </w:rPr>
              <w:t xml:space="preserve"> visant à améliorer la </w:t>
            </w:r>
            <w:r w:rsidRPr="007E72F5">
              <w:rPr>
                <w:rFonts w:ascii="Arial" w:hAnsi="Arial" w:cs="Arial"/>
                <w:sz w:val="21"/>
              </w:rPr>
              <w:lastRenderedPageBreak/>
              <w:t>qualité et l</w:t>
            </w:r>
            <w:r w:rsidR="00D602DC" w:rsidRPr="007E72F5">
              <w:rPr>
                <w:rFonts w:ascii="Arial" w:hAnsi="Arial" w:cs="Arial"/>
                <w:sz w:val="21"/>
              </w:rPr>
              <w:t>’</w:t>
            </w:r>
            <w:r w:rsidRPr="007E72F5">
              <w:rPr>
                <w:rFonts w:ascii="Arial" w:hAnsi="Arial" w:cs="Arial"/>
                <w:sz w:val="21"/>
              </w:rPr>
              <w:t>efficacité des opérations, et à partager leur expérience.</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4C73660" w14:textId="62AD716F" w:rsidR="005D39BC" w:rsidRPr="007E72F5" w:rsidRDefault="005D39BC" w:rsidP="007E72F5">
            <w:pPr>
              <w:numPr>
                <w:ilvl w:val="0"/>
                <w:numId w:val="5"/>
              </w:numPr>
              <w:tabs>
                <w:tab w:val="clear" w:pos="360"/>
                <w:tab w:val="num" w:pos="607"/>
              </w:tabs>
              <w:spacing w:before="100" w:beforeAutospacing="1" w:after="100" w:afterAutospacing="1" w:line="240" w:lineRule="auto"/>
              <w:ind w:left="567" w:hanging="567"/>
              <w:rPr>
                <w:rFonts w:ascii="Arial" w:eastAsia="Times New Roman" w:hAnsi="Arial" w:cs="Arial"/>
                <w:kern w:val="0"/>
                <w:sz w:val="21"/>
                <w:szCs w:val="21"/>
                <w14:ligatures w14:val="none"/>
              </w:rPr>
            </w:pPr>
            <w:r w:rsidRPr="007E72F5">
              <w:rPr>
                <w:rFonts w:ascii="Arial" w:hAnsi="Arial" w:cs="Arial"/>
                <w:sz w:val="21"/>
              </w:rPr>
              <w:lastRenderedPageBreak/>
              <w:t>Les offices de propriété intellectuelle devraient, dans la mesure du possible, partager les technologies qu</w:t>
            </w:r>
            <w:r w:rsidR="00D602DC" w:rsidRPr="007E72F5">
              <w:rPr>
                <w:rFonts w:ascii="Arial" w:hAnsi="Arial" w:cs="Arial"/>
                <w:sz w:val="21"/>
              </w:rPr>
              <w:t>’</w:t>
            </w:r>
            <w:r w:rsidRPr="007E72F5">
              <w:rPr>
                <w:rFonts w:ascii="Arial" w:hAnsi="Arial" w:cs="Arial"/>
                <w:sz w:val="21"/>
              </w:rPr>
              <w:t>ils utilisent avec d</w:t>
            </w:r>
            <w:r w:rsidR="00D602DC" w:rsidRPr="007E72F5">
              <w:rPr>
                <w:rFonts w:ascii="Arial" w:hAnsi="Arial" w:cs="Arial"/>
                <w:sz w:val="21"/>
              </w:rPr>
              <w:t>’</w:t>
            </w:r>
            <w:r w:rsidRPr="007E72F5">
              <w:rPr>
                <w:rFonts w:ascii="Arial" w:hAnsi="Arial" w:cs="Arial"/>
                <w:sz w:val="21"/>
              </w:rPr>
              <w:t>autres offices de propriété intellectuelle, et le Bureau international devrait fournir un forum et une plateforme pour ce partage, le cas échéant.</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4D65A6EA" w14:textId="7C9CF4DC" w:rsidR="005D39BC" w:rsidRPr="007E72F5" w:rsidRDefault="005D39BC" w:rsidP="006F370A">
            <w:pPr>
              <w:spacing w:after="0" w:line="240" w:lineRule="auto"/>
              <w:ind w:left="91"/>
              <w:rPr>
                <w:rFonts w:ascii="Arial" w:eastAsia="Times New Roman" w:hAnsi="Arial" w:cs="Arial"/>
                <w:kern w:val="0"/>
                <w:sz w:val="21"/>
                <w:szCs w:val="21"/>
                <w14:ligatures w14:val="none"/>
              </w:rPr>
            </w:pPr>
            <w:r w:rsidRPr="007E72F5">
              <w:rPr>
                <w:rFonts w:ascii="Arial" w:hAnsi="Arial" w:cs="Arial"/>
                <w:sz w:val="21"/>
              </w:rPr>
              <w:t>R10, R16, R21, R25, R28, R30, R31 et R34</w:t>
            </w:r>
          </w:p>
        </w:tc>
      </w:tr>
      <w:tr w:rsidR="00110F3E" w:rsidRPr="007E72F5" w14:paraId="651A4807" w14:textId="4FC132A1"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18A20F0" w14:textId="77777777" w:rsidR="007E72F5" w:rsidRDefault="005D39BC" w:rsidP="007E72F5">
            <w:pPr>
              <w:spacing w:after="0" w:line="240" w:lineRule="auto"/>
              <w:rPr>
                <w:rFonts w:ascii="Arial" w:hAnsi="Arial" w:cs="Arial"/>
                <w:sz w:val="21"/>
                <w:u w:val="single"/>
              </w:rPr>
            </w:pPr>
            <w:r w:rsidRPr="007E72F5">
              <w:rPr>
                <w:rFonts w:ascii="Arial" w:hAnsi="Arial" w:cs="Arial"/>
                <w:sz w:val="21"/>
                <w:u w:val="single"/>
              </w:rPr>
              <w:t>Recommandation n° 7</w:t>
            </w:r>
          </w:p>
          <w:p w14:paraId="31838A9B" w14:textId="1A35EB21" w:rsidR="005D39BC" w:rsidRPr="007E72F5" w:rsidRDefault="005D39BC" w:rsidP="007E72F5">
            <w:pPr>
              <w:spacing w:after="0" w:line="240" w:lineRule="auto"/>
              <w:rPr>
                <w:rFonts w:ascii="Arial" w:eastAsia="Times New Roman" w:hAnsi="Arial" w:cs="Arial"/>
                <w:kern w:val="0"/>
                <w:sz w:val="21"/>
                <w:szCs w:val="21"/>
                <w14:ligatures w14:val="none"/>
              </w:rPr>
            </w:pPr>
            <w:r w:rsidRPr="007E72F5">
              <w:rPr>
                <w:rFonts w:ascii="Arial" w:hAnsi="Arial" w:cs="Arial"/>
                <w:sz w:val="21"/>
              </w:rPr>
              <w:t xml:space="preserve">Les offices de propriété intellectuelle devraient contribuer à des projets de </w:t>
            </w:r>
            <w:r w:rsidRPr="007E72F5">
              <w:rPr>
                <w:rFonts w:ascii="Arial" w:hAnsi="Arial" w:cs="Arial"/>
                <w:b/>
                <w:bCs/>
                <w:sz w:val="21"/>
              </w:rPr>
              <w:t>coopération multilatérale ou internationale</w:t>
            </w:r>
            <w:r w:rsidRPr="007E72F5">
              <w:rPr>
                <w:rFonts w:ascii="Arial" w:hAnsi="Arial" w:cs="Arial"/>
                <w:sz w:val="21"/>
              </w:rPr>
              <w:t xml:space="preserve"> concernant les données sur la propriété intellectuelle, les systèmes et services mondiaux d</w:t>
            </w:r>
            <w:r w:rsidR="00D602DC" w:rsidRPr="007E72F5">
              <w:rPr>
                <w:rFonts w:ascii="Arial" w:hAnsi="Arial" w:cs="Arial"/>
                <w:sz w:val="21"/>
              </w:rPr>
              <w:t>’</w:t>
            </w:r>
            <w:r w:rsidRPr="007E72F5">
              <w:rPr>
                <w:rFonts w:ascii="Arial" w:hAnsi="Arial" w:cs="Arial"/>
                <w:sz w:val="21"/>
              </w:rPr>
              <w:t>information en matière de propriété intellectuelle, la diffusion des données de propriété intellectuelle et la documentation en matière de propriété intellectuelle.</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20DFEFB" w14:textId="4AA317E6" w:rsidR="00D602DC" w:rsidRPr="007E72F5" w:rsidRDefault="005D39BC" w:rsidP="007E72F5">
            <w:pPr>
              <w:numPr>
                <w:ilvl w:val="0"/>
                <w:numId w:val="6"/>
              </w:numPr>
              <w:tabs>
                <w:tab w:val="clear" w:pos="360"/>
                <w:tab w:val="num" w:pos="607"/>
              </w:tabs>
              <w:spacing w:before="100" w:beforeAutospacing="1" w:after="100" w:afterAutospacing="1" w:line="240" w:lineRule="auto"/>
              <w:ind w:left="567" w:hanging="567"/>
              <w:rPr>
                <w:rFonts w:ascii="Arial" w:hAnsi="Arial" w:cs="Arial"/>
                <w:sz w:val="21"/>
              </w:rPr>
            </w:pPr>
            <w:r w:rsidRPr="007E72F5">
              <w:rPr>
                <w:rFonts w:ascii="Arial" w:hAnsi="Arial" w:cs="Arial"/>
                <w:sz w:val="21"/>
              </w:rPr>
              <w:t>Les offices de propriété intellectuelle devraient participer activement aux projets de coopération que</w:t>
            </w:r>
            <w:r w:rsidR="00D602DC" w:rsidRPr="007E72F5">
              <w:rPr>
                <w:rFonts w:ascii="Arial" w:hAnsi="Arial" w:cs="Arial"/>
                <w:sz w:val="21"/>
              </w:rPr>
              <w:t xml:space="preserve"> le CWS</w:t>
            </w:r>
            <w:r w:rsidRPr="007E72F5">
              <w:rPr>
                <w:rFonts w:ascii="Arial" w:hAnsi="Arial" w:cs="Arial"/>
                <w:sz w:val="21"/>
              </w:rPr>
              <w:t xml:space="preserve"> a approuvés ou mentionnés, tels que</w:t>
            </w:r>
            <w:r w:rsidR="00D602DC" w:rsidRPr="007E72F5">
              <w:rPr>
                <w:rFonts w:ascii="Arial" w:hAnsi="Arial" w:cs="Arial"/>
                <w:sz w:val="21"/>
              </w:rPr>
              <w:t> :</w:t>
            </w:r>
          </w:p>
          <w:p w14:paraId="5686B053" w14:textId="2B38A05F" w:rsidR="005D39BC" w:rsidRPr="007E72F5" w:rsidRDefault="005D39BC" w:rsidP="007E72F5">
            <w:pPr>
              <w:numPr>
                <w:ilvl w:val="0"/>
                <w:numId w:val="22"/>
              </w:numPr>
              <w:tabs>
                <w:tab w:val="clear" w:pos="720"/>
                <w:tab w:val="num" w:pos="1174"/>
              </w:tabs>
              <w:spacing w:before="100" w:beforeAutospacing="1" w:after="100" w:afterAutospacing="1" w:line="240" w:lineRule="auto"/>
              <w:ind w:left="1134" w:hanging="567"/>
              <w:rPr>
                <w:rFonts w:ascii="Arial" w:eastAsia="Times New Roman" w:hAnsi="Arial" w:cs="Arial"/>
                <w:kern w:val="0"/>
                <w:sz w:val="21"/>
                <w:szCs w:val="21"/>
                <w14:ligatures w14:val="none"/>
              </w:rPr>
            </w:pPr>
            <w:proofErr w:type="gramStart"/>
            <w:r w:rsidRPr="007E72F5">
              <w:rPr>
                <w:rFonts w:ascii="Arial" w:hAnsi="Arial" w:cs="Arial"/>
                <w:sz w:val="21"/>
              </w:rPr>
              <w:t>le</w:t>
            </w:r>
            <w:proofErr w:type="gramEnd"/>
            <w:r w:rsidRPr="007E72F5">
              <w:rPr>
                <w:rFonts w:ascii="Arial" w:hAnsi="Arial" w:cs="Arial"/>
                <w:sz w:val="21"/>
              </w:rPr>
              <w:t xml:space="preserve"> projet pilote d</w:t>
            </w:r>
            <w:r w:rsidR="00D602DC" w:rsidRPr="007E72F5">
              <w:rPr>
                <w:rFonts w:ascii="Arial" w:hAnsi="Arial" w:cs="Arial"/>
                <w:sz w:val="21"/>
              </w:rPr>
              <w:t>’</w:t>
            </w:r>
            <w:r w:rsidRPr="007E72F5">
              <w:rPr>
                <w:rFonts w:ascii="Arial" w:hAnsi="Arial" w:cs="Arial"/>
                <w:sz w:val="21"/>
              </w:rPr>
              <w:t>identifiant mondial;</w:t>
            </w:r>
          </w:p>
          <w:p w14:paraId="7F87DACB" w14:textId="5056ACE5" w:rsidR="005D39BC" w:rsidRPr="007E72F5" w:rsidRDefault="005D39BC" w:rsidP="007E72F5">
            <w:pPr>
              <w:numPr>
                <w:ilvl w:val="0"/>
                <w:numId w:val="22"/>
              </w:numPr>
              <w:tabs>
                <w:tab w:val="clear" w:pos="720"/>
                <w:tab w:val="num" w:pos="1174"/>
              </w:tabs>
              <w:spacing w:before="100" w:beforeAutospacing="1" w:after="100" w:afterAutospacing="1" w:line="240" w:lineRule="auto"/>
              <w:ind w:left="1134" w:hanging="567"/>
              <w:rPr>
                <w:rFonts w:ascii="Arial" w:eastAsia="Times New Roman" w:hAnsi="Arial" w:cs="Arial"/>
                <w:kern w:val="0"/>
                <w:sz w:val="21"/>
                <w:szCs w:val="21"/>
                <w14:ligatures w14:val="none"/>
              </w:rPr>
            </w:pPr>
            <w:proofErr w:type="gramStart"/>
            <w:r w:rsidRPr="007E72F5">
              <w:rPr>
                <w:rFonts w:ascii="Arial" w:hAnsi="Arial" w:cs="Arial"/>
                <w:sz w:val="21"/>
              </w:rPr>
              <w:t>le</w:t>
            </w:r>
            <w:proofErr w:type="gramEnd"/>
            <w:r w:rsidRPr="007E72F5">
              <w:rPr>
                <w:rFonts w:ascii="Arial" w:hAnsi="Arial" w:cs="Arial"/>
                <w:sz w:val="21"/>
              </w:rPr>
              <w:t xml:space="preserve"> catalogue unique des API; </w:t>
            </w:r>
            <w:r w:rsidR="00924130" w:rsidRPr="007E72F5">
              <w:rPr>
                <w:rFonts w:ascii="Arial" w:hAnsi="Arial" w:cs="Arial"/>
                <w:sz w:val="21"/>
              </w:rPr>
              <w:t xml:space="preserve"> </w:t>
            </w:r>
            <w:r w:rsidRPr="007E72F5">
              <w:rPr>
                <w:rFonts w:ascii="Arial" w:hAnsi="Arial" w:cs="Arial"/>
                <w:sz w:val="21"/>
              </w:rPr>
              <w:t>et</w:t>
            </w:r>
          </w:p>
          <w:p w14:paraId="376F72D2" w14:textId="20B07204" w:rsidR="005D39BC" w:rsidRPr="007E72F5" w:rsidRDefault="005D39BC" w:rsidP="007E72F5">
            <w:pPr>
              <w:numPr>
                <w:ilvl w:val="0"/>
                <w:numId w:val="22"/>
              </w:numPr>
              <w:tabs>
                <w:tab w:val="clear" w:pos="720"/>
                <w:tab w:val="num" w:pos="1174"/>
              </w:tabs>
              <w:spacing w:before="100" w:beforeAutospacing="1" w:after="100" w:afterAutospacing="1" w:line="240" w:lineRule="auto"/>
              <w:ind w:left="1134" w:hanging="567"/>
              <w:rPr>
                <w:rFonts w:ascii="Arial" w:eastAsia="Times New Roman" w:hAnsi="Arial" w:cs="Arial"/>
                <w:kern w:val="0"/>
                <w:sz w:val="21"/>
                <w:szCs w:val="21"/>
                <w14:ligatures w14:val="none"/>
              </w:rPr>
            </w:pPr>
            <w:proofErr w:type="gramStart"/>
            <w:r w:rsidRPr="007E72F5">
              <w:rPr>
                <w:rFonts w:ascii="Arial" w:hAnsi="Arial" w:cs="Arial"/>
                <w:sz w:val="21"/>
              </w:rPr>
              <w:t>la</w:t>
            </w:r>
            <w:proofErr w:type="gramEnd"/>
            <w:r w:rsidRPr="007E72F5">
              <w:rPr>
                <w:rFonts w:ascii="Arial" w:hAnsi="Arial" w:cs="Arial"/>
                <w:sz w:val="21"/>
              </w:rPr>
              <w:t xml:space="preserve"> fourniture des fichiers d</w:t>
            </w:r>
            <w:r w:rsidR="00D602DC" w:rsidRPr="007E72F5">
              <w:rPr>
                <w:rFonts w:ascii="Arial" w:hAnsi="Arial" w:cs="Arial"/>
                <w:sz w:val="21"/>
              </w:rPr>
              <w:t>’</w:t>
            </w:r>
            <w:r w:rsidRPr="007E72F5">
              <w:rPr>
                <w:rFonts w:ascii="Arial" w:hAnsi="Arial" w:cs="Arial"/>
                <w:sz w:val="21"/>
              </w:rPr>
              <w:t>autorités en matière de brevets conformément à la norme ST.37 de l</w:t>
            </w:r>
            <w:r w:rsidR="00D602DC" w:rsidRPr="007E72F5">
              <w:rPr>
                <w:rFonts w:ascii="Arial" w:hAnsi="Arial" w:cs="Arial"/>
                <w:sz w:val="21"/>
              </w:rPr>
              <w:t>’</w:t>
            </w:r>
            <w:r w:rsidRPr="007E72F5">
              <w:rPr>
                <w:rFonts w:ascii="Arial" w:hAnsi="Arial" w:cs="Arial"/>
                <w:sz w:val="21"/>
              </w:rPr>
              <w:t>OMPI.</w:t>
            </w:r>
          </w:p>
          <w:p w14:paraId="592DA4A1" w14:textId="659EB305" w:rsidR="005D39BC" w:rsidRPr="007E72F5" w:rsidRDefault="005D39BC" w:rsidP="007E72F5">
            <w:pPr>
              <w:numPr>
                <w:ilvl w:val="0"/>
                <w:numId w:val="6"/>
              </w:numPr>
              <w:tabs>
                <w:tab w:val="clear" w:pos="360"/>
                <w:tab w:val="num" w:pos="607"/>
              </w:tabs>
              <w:spacing w:before="100" w:beforeAutospacing="1" w:after="100" w:afterAutospacing="1"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sont encouragés à proposer des projets de coopération multilatérale et à participer aux projets proposés par d</w:t>
            </w:r>
            <w:r w:rsidR="00D602DC" w:rsidRPr="007E72F5">
              <w:rPr>
                <w:rFonts w:ascii="Arial" w:hAnsi="Arial" w:cs="Arial"/>
                <w:sz w:val="21"/>
              </w:rPr>
              <w:t>’</w:t>
            </w:r>
            <w:r w:rsidRPr="007E72F5">
              <w:rPr>
                <w:rFonts w:ascii="Arial" w:hAnsi="Arial" w:cs="Arial"/>
                <w:sz w:val="21"/>
              </w:rPr>
              <w:t>autres offices de propriété intellectuelle.</w:t>
            </w:r>
          </w:p>
          <w:p w14:paraId="1E69285D" w14:textId="1E09AAF4" w:rsidR="005D39BC" w:rsidRPr="007E72F5" w:rsidRDefault="005D39BC" w:rsidP="00694EDA">
            <w:pPr>
              <w:spacing w:before="100" w:beforeAutospacing="1" w:after="100" w:afterAutospacing="1" w:line="240" w:lineRule="auto"/>
              <w:ind w:left="720"/>
              <w:rPr>
                <w:rFonts w:ascii="Arial" w:eastAsia="Times New Roman" w:hAnsi="Arial" w:cs="Arial"/>
                <w:kern w:val="0"/>
                <w:sz w:val="21"/>
                <w:szCs w:val="21"/>
                <w:lang w:eastAsia="en-AU"/>
                <w14:ligatures w14:val="none"/>
              </w:rPr>
            </w:pP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41C0193D" w14:textId="6B044A88" w:rsidR="005D39BC" w:rsidRPr="007E72F5" w:rsidRDefault="005D39BC" w:rsidP="006F370A">
            <w:pPr>
              <w:spacing w:after="0" w:line="240" w:lineRule="auto"/>
              <w:ind w:left="91"/>
              <w:rPr>
                <w:rFonts w:ascii="Arial" w:eastAsia="Times New Roman" w:hAnsi="Arial" w:cs="Arial"/>
                <w:kern w:val="0"/>
                <w:sz w:val="21"/>
                <w:szCs w:val="21"/>
                <w14:ligatures w14:val="none"/>
              </w:rPr>
            </w:pPr>
            <w:r w:rsidRPr="007E72F5">
              <w:rPr>
                <w:rFonts w:ascii="Arial" w:hAnsi="Arial" w:cs="Arial"/>
                <w:sz w:val="21"/>
              </w:rPr>
              <w:t>R8, R9, R11, R19, R23, R24, R35 et R40</w:t>
            </w:r>
          </w:p>
        </w:tc>
      </w:tr>
      <w:tr w:rsidR="00110F3E" w:rsidRPr="007E72F5" w14:paraId="415CEAF4" w14:textId="01950F55"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D2EC16C" w14:textId="77777777" w:rsidR="00B825EC" w:rsidRDefault="005D39BC" w:rsidP="00B825EC">
            <w:pPr>
              <w:spacing w:after="0" w:line="240" w:lineRule="auto"/>
              <w:rPr>
                <w:rFonts w:ascii="Arial" w:hAnsi="Arial" w:cs="Arial"/>
                <w:sz w:val="21"/>
                <w:u w:val="single"/>
              </w:rPr>
            </w:pPr>
            <w:r w:rsidRPr="007E72F5">
              <w:rPr>
                <w:rFonts w:ascii="Arial" w:hAnsi="Arial" w:cs="Arial"/>
                <w:sz w:val="21"/>
                <w:u w:val="single"/>
              </w:rPr>
              <w:t>Recommandation n°</w:t>
            </w:r>
            <w:r w:rsidR="00924130" w:rsidRPr="007E72F5">
              <w:rPr>
                <w:rFonts w:ascii="Arial" w:hAnsi="Arial" w:cs="Arial"/>
                <w:sz w:val="21"/>
                <w:u w:val="single"/>
              </w:rPr>
              <w:t> </w:t>
            </w:r>
            <w:r w:rsidRPr="007E72F5">
              <w:rPr>
                <w:rFonts w:ascii="Arial" w:hAnsi="Arial" w:cs="Arial"/>
                <w:sz w:val="21"/>
                <w:u w:val="single"/>
              </w:rPr>
              <w:t>8</w:t>
            </w:r>
          </w:p>
          <w:p w14:paraId="049183AD" w14:textId="2E4A2308" w:rsidR="005D39BC" w:rsidRPr="007E72F5" w:rsidRDefault="005D39BC" w:rsidP="00B825EC">
            <w:pPr>
              <w:spacing w:after="0" w:line="240" w:lineRule="auto"/>
              <w:rPr>
                <w:rFonts w:ascii="Arial" w:eastAsia="Times New Roman" w:hAnsi="Arial" w:cs="Arial"/>
                <w:kern w:val="0"/>
                <w:sz w:val="21"/>
                <w:szCs w:val="21"/>
                <w14:ligatures w14:val="none"/>
              </w:rPr>
            </w:pPr>
            <w:r w:rsidRPr="007E72F5">
              <w:rPr>
                <w:rFonts w:ascii="Arial" w:hAnsi="Arial" w:cs="Arial"/>
                <w:sz w:val="21"/>
              </w:rPr>
              <w:t>Les offices de propriété intellectuelle devraient participer à l</w:t>
            </w:r>
            <w:r w:rsidR="00D602DC" w:rsidRPr="007E72F5">
              <w:rPr>
                <w:rFonts w:ascii="Arial" w:hAnsi="Arial" w:cs="Arial"/>
                <w:sz w:val="21"/>
              </w:rPr>
              <w:t>’</w:t>
            </w:r>
            <w:r w:rsidRPr="007E72F5">
              <w:rPr>
                <w:rFonts w:ascii="Arial" w:hAnsi="Arial" w:cs="Arial"/>
                <w:sz w:val="21"/>
              </w:rPr>
              <w:t xml:space="preserve">élaboration des </w:t>
            </w:r>
            <w:r w:rsidRPr="007E72F5">
              <w:rPr>
                <w:rFonts w:ascii="Arial" w:hAnsi="Arial" w:cs="Arial"/>
                <w:b/>
                <w:bCs/>
                <w:sz w:val="21"/>
              </w:rPr>
              <w:t>normes de l</w:t>
            </w:r>
            <w:r w:rsidR="00D602DC" w:rsidRPr="007E72F5">
              <w:rPr>
                <w:rFonts w:ascii="Arial" w:hAnsi="Arial" w:cs="Arial"/>
                <w:b/>
                <w:bCs/>
                <w:sz w:val="21"/>
              </w:rPr>
              <w:t>’</w:t>
            </w:r>
            <w:r w:rsidRPr="007E72F5">
              <w:rPr>
                <w:rFonts w:ascii="Arial" w:hAnsi="Arial" w:cs="Arial"/>
                <w:b/>
                <w:bCs/>
                <w:sz w:val="21"/>
              </w:rPr>
              <w:t>OMPI</w:t>
            </w:r>
            <w:r w:rsidRPr="007E72F5">
              <w:rPr>
                <w:rFonts w:ascii="Arial" w:hAnsi="Arial" w:cs="Arial"/>
                <w:sz w:val="21"/>
              </w:rPr>
              <w:t xml:space="preserve"> et les mettre en œuvre dans la mesure du possible.</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0A3C912" w14:textId="046F6EE5" w:rsidR="005D39BC" w:rsidRPr="007E72F5" w:rsidRDefault="005D39BC" w:rsidP="007E72F5">
            <w:pPr>
              <w:pStyle w:val="ListParagraph"/>
              <w:numPr>
                <w:ilvl w:val="0"/>
                <w:numId w:val="13"/>
              </w:numPr>
              <w:spacing w:after="0"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sont encouragés à nommer leurs experts en la matière au sein des équipes d</w:t>
            </w:r>
            <w:r w:rsidR="00D602DC" w:rsidRPr="007E72F5">
              <w:rPr>
                <w:rFonts w:ascii="Arial" w:hAnsi="Arial" w:cs="Arial"/>
                <w:sz w:val="21"/>
              </w:rPr>
              <w:t>’</w:t>
            </w:r>
            <w:r w:rsidRPr="007E72F5">
              <w:rPr>
                <w:rFonts w:ascii="Arial" w:hAnsi="Arial" w:cs="Arial"/>
                <w:sz w:val="21"/>
              </w:rPr>
              <w:t>experts</w:t>
            </w:r>
            <w:r w:rsidR="00D602DC" w:rsidRPr="007E72F5">
              <w:rPr>
                <w:rFonts w:ascii="Arial" w:hAnsi="Arial" w:cs="Arial"/>
                <w:sz w:val="21"/>
              </w:rPr>
              <w:t xml:space="preserve"> du CWS</w:t>
            </w:r>
            <w:r w:rsidRPr="007E72F5">
              <w:rPr>
                <w:rFonts w:ascii="Arial" w:hAnsi="Arial" w:cs="Arial"/>
                <w:sz w:val="21"/>
              </w:rPr>
              <w:t>.</w:t>
            </w:r>
          </w:p>
          <w:p w14:paraId="5D753C31" w14:textId="644D61B7" w:rsidR="005D39BC" w:rsidRPr="007E72F5" w:rsidRDefault="005D39BC" w:rsidP="007E72F5">
            <w:pPr>
              <w:pStyle w:val="ListParagraph"/>
              <w:numPr>
                <w:ilvl w:val="0"/>
                <w:numId w:val="13"/>
              </w:numPr>
              <w:spacing w:after="0"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sont encouragés à informer le Bureau international de l</w:t>
            </w:r>
            <w:r w:rsidR="00D602DC" w:rsidRPr="007E72F5">
              <w:rPr>
                <w:rFonts w:ascii="Arial" w:hAnsi="Arial" w:cs="Arial"/>
                <w:sz w:val="21"/>
              </w:rPr>
              <w:t>’</w:t>
            </w:r>
            <w:r w:rsidRPr="007E72F5">
              <w:rPr>
                <w:rFonts w:ascii="Arial" w:hAnsi="Arial" w:cs="Arial"/>
                <w:sz w:val="21"/>
              </w:rPr>
              <w:t>état d</w:t>
            </w:r>
            <w:r w:rsidR="00D602DC" w:rsidRPr="007E72F5">
              <w:rPr>
                <w:rFonts w:ascii="Arial" w:hAnsi="Arial" w:cs="Arial"/>
                <w:sz w:val="21"/>
              </w:rPr>
              <w:t>’</w:t>
            </w:r>
            <w:r w:rsidRPr="007E72F5">
              <w:rPr>
                <w:rFonts w:ascii="Arial" w:hAnsi="Arial" w:cs="Arial"/>
                <w:sz w:val="21"/>
              </w:rPr>
              <w:t>avancement de la mise en œuvre des normes de l</w:t>
            </w:r>
            <w:r w:rsidR="00D602DC" w:rsidRPr="007E72F5">
              <w:rPr>
                <w:rFonts w:ascii="Arial" w:hAnsi="Arial" w:cs="Arial"/>
                <w:sz w:val="21"/>
              </w:rPr>
              <w:t>’</w:t>
            </w:r>
            <w:r w:rsidRPr="007E72F5">
              <w:rPr>
                <w:rFonts w:ascii="Arial" w:hAnsi="Arial" w:cs="Arial"/>
                <w:sz w:val="21"/>
              </w:rPr>
              <w:t>OMPI et à participer aux enquêtes</w:t>
            </w:r>
            <w:r w:rsidR="00D602DC" w:rsidRPr="007E72F5">
              <w:rPr>
                <w:rFonts w:ascii="Arial" w:hAnsi="Arial" w:cs="Arial"/>
                <w:sz w:val="21"/>
              </w:rPr>
              <w:t xml:space="preserve"> du CWS</w:t>
            </w:r>
            <w:r w:rsidRPr="007E72F5">
              <w:rPr>
                <w:rFonts w:ascii="Arial" w:hAnsi="Arial" w:cs="Arial"/>
                <w:sz w:val="21"/>
              </w:rPr>
              <w:t>.</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4E79DF02" w14:textId="3E507294" w:rsidR="005D39BC" w:rsidRPr="007E72F5" w:rsidRDefault="005D39BC" w:rsidP="006F370A">
            <w:pPr>
              <w:spacing w:after="0" w:line="240" w:lineRule="auto"/>
              <w:ind w:left="91"/>
              <w:rPr>
                <w:rFonts w:ascii="Arial" w:eastAsia="Times New Roman" w:hAnsi="Arial" w:cs="Arial"/>
                <w:kern w:val="0"/>
                <w:sz w:val="21"/>
                <w:szCs w:val="21"/>
                <w14:ligatures w14:val="none"/>
              </w:rPr>
            </w:pPr>
            <w:r w:rsidRPr="007E72F5">
              <w:rPr>
                <w:rFonts w:ascii="Arial" w:hAnsi="Arial" w:cs="Arial"/>
                <w:sz w:val="21"/>
              </w:rPr>
              <w:t>R20, R26, R27 et R33</w:t>
            </w:r>
          </w:p>
        </w:tc>
      </w:tr>
      <w:tr w:rsidR="00110F3E" w:rsidRPr="007E72F5" w14:paraId="7178D8E3" w14:textId="346D333C" w:rsidTr="00055AA0">
        <w:trPr>
          <w:trHeight w:val="1437"/>
        </w:trPr>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tcPr>
          <w:p w14:paraId="5A039376" w14:textId="77777777" w:rsidR="00B825EC" w:rsidRDefault="005D39BC" w:rsidP="00B825EC">
            <w:pPr>
              <w:spacing w:after="0" w:line="240" w:lineRule="auto"/>
              <w:rPr>
                <w:rFonts w:ascii="Arial" w:hAnsi="Arial" w:cs="Arial"/>
                <w:sz w:val="21"/>
                <w:u w:val="single"/>
              </w:rPr>
            </w:pPr>
            <w:r w:rsidRPr="007E72F5">
              <w:rPr>
                <w:rFonts w:ascii="Arial" w:hAnsi="Arial" w:cs="Arial"/>
                <w:sz w:val="21"/>
                <w:u w:val="single"/>
              </w:rPr>
              <w:t>Recommandation n° 9</w:t>
            </w:r>
          </w:p>
          <w:p w14:paraId="60FC1D76" w14:textId="27148A1F" w:rsidR="005D39BC" w:rsidRPr="007E72F5" w:rsidRDefault="005D39BC" w:rsidP="00B825EC">
            <w:pPr>
              <w:spacing w:after="0" w:line="240" w:lineRule="auto"/>
              <w:rPr>
                <w:rFonts w:ascii="Arial" w:eastAsia="Times New Roman" w:hAnsi="Arial" w:cs="Arial"/>
                <w:kern w:val="0"/>
                <w:sz w:val="21"/>
                <w:szCs w:val="21"/>
                <w14:ligatures w14:val="none"/>
              </w:rPr>
            </w:pPr>
            <w:r w:rsidRPr="007E72F5">
              <w:rPr>
                <w:rFonts w:ascii="Arial" w:hAnsi="Arial" w:cs="Arial"/>
                <w:sz w:val="21"/>
              </w:rPr>
              <w:t>Les offices de propriété intellectuelle devraient veiller à ce qu</w:t>
            </w:r>
            <w:r w:rsidR="00D602DC" w:rsidRPr="007E72F5">
              <w:rPr>
                <w:rFonts w:ascii="Arial" w:hAnsi="Arial" w:cs="Arial"/>
                <w:sz w:val="21"/>
              </w:rPr>
              <w:t>’</w:t>
            </w:r>
            <w:r w:rsidRPr="007E72F5">
              <w:rPr>
                <w:rFonts w:ascii="Arial" w:hAnsi="Arial" w:cs="Arial"/>
                <w:sz w:val="21"/>
              </w:rPr>
              <w:t xml:space="preserve">une </w:t>
            </w:r>
            <w:r w:rsidRPr="007E72F5">
              <w:rPr>
                <w:rFonts w:ascii="Arial" w:hAnsi="Arial" w:cs="Arial"/>
                <w:b/>
                <w:bCs/>
                <w:sz w:val="21"/>
              </w:rPr>
              <w:t>politique de sécurité informatique</w:t>
            </w:r>
            <w:r w:rsidRPr="007E72F5">
              <w:rPr>
                <w:rFonts w:ascii="Arial" w:hAnsi="Arial" w:cs="Arial"/>
                <w:sz w:val="21"/>
              </w:rPr>
              <w:t xml:space="preserve"> soit mise en place sur la base des meilleures pratiques et qu</w:t>
            </w:r>
            <w:r w:rsidR="00D602DC" w:rsidRPr="007E72F5">
              <w:rPr>
                <w:rFonts w:ascii="Arial" w:hAnsi="Arial" w:cs="Arial"/>
                <w:sz w:val="21"/>
              </w:rPr>
              <w:t>’</w:t>
            </w:r>
            <w:r w:rsidRPr="007E72F5">
              <w:rPr>
                <w:rFonts w:ascii="Arial" w:hAnsi="Arial" w:cs="Arial"/>
                <w:sz w:val="21"/>
              </w:rPr>
              <w:t>elle soit évaluée chaque année.</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tcPr>
          <w:p w14:paraId="5E8AE44A" w14:textId="77777777" w:rsidR="005D39BC" w:rsidRPr="007E72F5" w:rsidRDefault="005D39BC" w:rsidP="007E72F5">
            <w:pPr>
              <w:pStyle w:val="ListParagraph"/>
              <w:numPr>
                <w:ilvl w:val="0"/>
                <w:numId w:val="20"/>
              </w:numPr>
              <w:spacing w:before="100" w:beforeAutospacing="1" w:after="100" w:afterAutospacing="1"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devraient développer leur politique de sécurité informatique et la tenir à jour.</w:t>
            </w:r>
          </w:p>
          <w:p w14:paraId="43032BEF" w14:textId="5AB39191" w:rsidR="005D39BC" w:rsidRPr="007E72F5" w:rsidRDefault="005D39BC" w:rsidP="007E72F5">
            <w:pPr>
              <w:pStyle w:val="ListParagraph"/>
              <w:numPr>
                <w:ilvl w:val="0"/>
                <w:numId w:val="20"/>
              </w:numPr>
              <w:spacing w:before="100" w:beforeAutospacing="1" w:after="0" w:line="240" w:lineRule="auto"/>
              <w:ind w:left="567" w:hanging="567"/>
              <w:rPr>
                <w:rFonts w:ascii="Arial" w:eastAsia="Times New Roman" w:hAnsi="Arial" w:cs="Arial"/>
                <w:kern w:val="0"/>
                <w:sz w:val="21"/>
                <w:szCs w:val="21"/>
                <w14:ligatures w14:val="none"/>
              </w:rPr>
            </w:pPr>
            <w:r w:rsidRPr="007E72F5">
              <w:rPr>
                <w:rFonts w:ascii="Arial" w:hAnsi="Arial" w:cs="Arial"/>
                <w:sz w:val="21"/>
              </w:rPr>
              <w:t xml:space="preserve">Les offices de propriété intellectuelle sont encouragés à partager leur politique de sécurité informatique et leurs expériences, </w:t>
            </w:r>
            <w:r w:rsidR="00D602DC" w:rsidRPr="007E72F5">
              <w:rPr>
                <w:rFonts w:ascii="Arial" w:hAnsi="Arial" w:cs="Arial"/>
                <w:sz w:val="21"/>
              </w:rPr>
              <w:t>y compris</w:t>
            </w:r>
            <w:r w:rsidRPr="007E72F5">
              <w:rPr>
                <w:rFonts w:ascii="Arial" w:hAnsi="Arial" w:cs="Arial"/>
                <w:sz w:val="21"/>
              </w:rPr>
              <w:t xml:space="preserve"> les défis actuels et les solutions pour les relever. </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5C534C21" w14:textId="3023674C" w:rsidR="005D39BC" w:rsidRPr="007E72F5" w:rsidRDefault="005D39BC" w:rsidP="005D39BC">
            <w:pPr>
              <w:spacing w:after="0" w:line="240" w:lineRule="auto"/>
              <w:ind w:left="91"/>
              <w:rPr>
                <w:rFonts w:ascii="Arial" w:eastAsia="Times New Roman" w:hAnsi="Arial" w:cs="Arial"/>
                <w:kern w:val="0"/>
                <w:sz w:val="21"/>
                <w:szCs w:val="21"/>
                <w14:ligatures w14:val="none"/>
              </w:rPr>
            </w:pPr>
            <w:r w:rsidRPr="007E72F5">
              <w:rPr>
                <w:rFonts w:ascii="Arial" w:hAnsi="Arial" w:cs="Arial"/>
                <w:sz w:val="21"/>
              </w:rPr>
              <w:t>R36 et R37</w:t>
            </w:r>
          </w:p>
        </w:tc>
      </w:tr>
      <w:tr w:rsidR="00110F3E" w:rsidRPr="007E72F5" w14:paraId="3C8C94AA" w14:textId="029C64D6"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A360547" w14:textId="77777777" w:rsidR="00B825EC" w:rsidRDefault="005D39BC" w:rsidP="00B825EC">
            <w:pPr>
              <w:spacing w:after="0" w:line="240" w:lineRule="auto"/>
              <w:rPr>
                <w:rFonts w:ascii="Arial" w:hAnsi="Arial" w:cs="Arial"/>
                <w:sz w:val="21"/>
                <w:u w:val="single"/>
              </w:rPr>
            </w:pPr>
            <w:r w:rsidRPr="007E72F5">
              <w:rPr>
                <w:rFonts w:ascii="Arial" w:hAnsi="Arial" w:cs="Arial"/>
                <w:sz w:val="21"/>
                <w:u w:val="single"/>
              </w:rPr>
              <w:lastRenderedPageBreak/>
              <w:t>Recommandation n° 10</w:t>
            </w:r>
          </w:p>
          <w:p w14:paraId="372FCD0B" w14:textId="6474A6F6" w:rsidR="005D39BC" w:rsidRPr="007E72F5" w:rsidRDefault="005D39BC" w:rsidP="00B825EC">
            <w:pPr>
              <w:spacing w:after="0" w:line="240" w:lineRule="auto"/>
              <w:rPr>
                <w:rFonts w:ascii="Arial" w:eastAsia="Times New Roman" w:hAnsi="Arial" w:cs="Arial"/>
                <w:kern w:val="0"/>
                <w:sz w:val="21"/>
                <w:szCs w:val="21"/>
                <w14:ligatures w14:val="none"/>
              </w:rPr>
            </w:pPr>
            <w:r w:rsidRPr="007E72F5">
              <w:rPr>
                <w:rFonts w:ascii="Arial" w:hAnsi="Arial" w:cs="Arial"/>
                <w:sz w:val="21"/>
              </w:rPr>
              <w:t>Les offices de propriété intellectuelle devraient partager leur expérience et leurs informations sur la planification, la gestion, la mise en œuvre et l</w:t>
            </w:r>
            <w:r w:rsidR="00D602DC" w:rsidRPr="007E72F5">
              <w:rPr>
                <w:rFonts w:ascii="Arial" w:hAnsi="Arial" w:cs="Arial"/>
                <w:sz w:val="21"/>
              </w:rPr>
              <w:t>’</w:t>
            </w:r>
            <w:r w:rsidRPr="007E72F5">
              <w:rPr>
                <w:rFonts w:ascii="Arial" w:hAnsi="Arial" w:cs="Arial"/>
                <w:sz w:val="21"/>
              </w:rPr>
              <w:t xml:space="preserve">évaluation des </w:t>
            </w:r>
            <w:r w:rsidRPr="007E72F5">
              <w:rPr>
                <w:rFonts w:ascii="Arial" w:hAnsi="Arial" w:cs="Arial"/>
                <w:b/>
                <w:bCs/>
                <w:sz w:val="21"/>
              </w:rPr>
              <w:t>projets TIC</w:t>
            </w:r>
            <w:r w:rsidRPr="007E72F5">
              <w:rPr>
                <w:rFonts w:ascii="Arial" w:hAnsi="Arial" w:cs="Arial"/>
                <w:sz w:val="21"/>
              </w:rPr>
              <w:t> </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FA317DA" w14:textId="2ED3330D" w:rsidR="005D39BC" w:rsidRPr="007E72F5" w:rsidRDefault="005D39BC" w:rsidP="007E72F5">
            <w:pPr>
              <w:pStyle w:val="ListParagraph"/>
              <w:numPr>
                <w:ilvl w:val="0"/>
                <w:numId w:val="15"/>
              </w:numPr>
              <w:spacing w:after="0" w:line="240" w:lineRule="auto"/>
              <w:ind w:left="567" w:hanging="567"/>
              <w:rPr>
                <w:rFonts w:ascii="Arial" w:eastAsia="Times New Roman" w:hAnsi="Arial" w:cs="Arial"/>
                <w:kern w:val="0"/>
                <w:sz w:val="21"/>
                <w:szCs w:val="21"/>
                <w14:ligatures w14:val="none"/>
              </w:rPr>
            </w:pPr>
            <w:r w:rsidRPr="007E72F5">
              <w:rPr>
                <w:rFonts w:ascii="Arial" w:hAnsi="Arial" w:cs="Arial"/>
                <w:sz w:val="21"/>
              </w:rPr>
              <w:t>Les offices de propriété intellectuelle devraient partager leur expérience en ce qui concerne les différents modèles d</w:t>
            </w:r>
            <w:r w:rsidR="00D602DC" w:rsidRPr="007E72F5">
              <w:rPr>
                <w:rFonts w:ascii="Arial" w:hAnsi="Arial" w:cs="Arial"/>
                <w:sz w:val="21"/>
              </w:rPr>
              <w:t>’</w:t>
            </w:r>
            <w:r w:rsidRPr="007E72F5">
              <w:rPr>
                <w:rFonts w:ascii="Arial" w:hAnsi="Arial" w:cs="Arial"/>
                <w:sz w:val="21"/>
              </w:rPr>
              <w:t xml:space="preserve">exécution des projets TIC, </w:t>
            </w:r>
            <w:r w:rsidR="00D602DC" w:rsidRPr="007E72F5">
              <w:rPr>
                <w:rFonts w:ascii="Arial" w:hAnsi="Arial" w:cs="Arial"/>
                <w:sz w:val="21"/>
              </w:rPr>
              <w:t>y compris :</w:t>
            </w:r>
          </w:p>
          <w:p w14:paraId="1CB30DBE" w14:textId="7A955D93" w:rsidR="005D39BC" w:rsidRPr="007E72F5" w:rsidRDefault="005D39BC" w:rsidP="007E72F5">
            <w:pPr>
              <w:pStyle w:val="ListParagraph"/>
              <w:numPr>
                <w:ilvl w:val="0"/>
                <w:numId w:val="16"/>
              </w:numPr>
              <w:spacing w:after="0" w:line="240" w:lineRule="auto"/>
              <w:ind w:left="1134" w:hanging="567"/>
              <w:rPr>
                <w:rFonts w:ascii="Arial" w:eastAsia="Times New Roman" w:hAnsi="Arial" w:cs="Arial"/>
                <w:kern w:val="0"/>
                <w:sz w:val="21"/>
                <w:szCs w:val="21"/>
                <w14:ligatures w14:val="none"/>
              </w:rPr>
            </w:pPr>
            <w:proofErr w:type="gramStart"/>
            <w:r w:rsidRPr="007E72F5">
              <w:rPr>
                <w:rFonts w:ascii="Arial" w:hAnsi="Arial" w:cs="Arial"/>
                <w:sz w:val="21"/>
              </w:rPr>
              <w:t>gérés</w:t>
            </w:r>
            <w:proofErr w:type="gramEnd"/>
            <w:r w:rsidRPr="007E72F5">
              <w:rPr>
                <w:rFonts w:ascii="Arial" w:hAnsi="Arial" w:cs="Arial"/>
                <w:sz w:val="21"/>
              </w:rPr>
              <w:t xml:space="preserve"> en interne; </w:t>
            </w:r>
            <w:r w:rsidR="00924130" w:rsidRPr="007E72F5">
              <w:rPr>
                <w:rFonts w:ascii="Arial" w:hAnsi="Arial" w:cs="Arial"/>
                <w:sz w:val="21"/>
              </w:rPr>
              <w:t xml:space="preserve"> </w:t>
            </w:r>
            <w:r w:rsidRPr="007E72F5">
              <w:rPr>
                <w:rFonts w:ascii="Arial" w:hAnsi="Arial" w:cs="Arial"/>
                <w:sz w:val="21"/>
              </w:rPr>
              <w:t>et</w:t>
            </w:r>
          </w:p>
          <w:p w14:paraId="3FD9E009" w14:textId="746DB159" w:rsidR="005D39BC" w:rsidRPr="007E72F5" w:rsidRDefault="005D39BC" w:rsidP="007E72F5">
            <w:pPr>
              <w:pStyle w:val="ListParagraph"/>
              <w:numPr>
                <w:ilvl w:val="0"/>
                <w:numId w:val="16"/>
              </w:numPr>
              <w:spacing w:after="0" w:line="240" w:lineRule="auto"/>
              <w:ind w:left="1134" w:hanging="567"/>
              <w:rPr>
                <w:rFonts w:ascii="Arial" w:eastAsia="Times New Roman" w:hAnsi="Arial" w:cs="Arial"/>
                <w:kern w:val="0"/>
                <w:sz w:val="21"/>
                <w:szCs w:val="21"/>
                <w14:ligatures w14:val="none"/>
              </w:rPr>
            </w:pPr>
            <w:r w:rsidRPr="007E72F5">
              <w:rPr>
                <w:rFonts w:ascii="Arial" w:hAnsi="Arial" w:cs="Arial"/>
                <w:sz w:val="21"/>
              </w:rPr>
              <w:t>fournis par des prestataires de services externes</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44D506DC" w14:textId="10B42067" w:rsidR="005D39BC" w:rsidRPr="007E72F5" w:rsidRDefault="005D39BC" w:rsidP="005D39BC">
            <w:pPr>
              <w:spacing w:after="0" w:line="240" w:lineRule="auto"/>
              <w:ind w:left="91"/>
              <w:rPr>
                <w:rFonts w:ascii="Arial" w:eastAsia="Times New Roman" w:hAnsi="Arial" w:cs="Arial"/>
                <w:kern w:val="0"/>
                <w:sz w:val="21"/>
                <w:szCs w:val="21"/>
                <w14:ligatures w14:val="none"/>
              </w:rPr>
            </w:pPr>
            <w:r w:rsidRPr="007E72F5">
              <w:rPr>
                <w:rFonts w:ascii="Arial" w:hAnsi="Arial" w:cs="Arial"/>
                <w:sz w:val="21"/>
              </w:rPr>
              <w:t>Sans objet, car il s</w:t>
            </w:r>
            <w:r w:rsidR="00D602DC" w:rsidRPr="007E72F5">
              <w:rPr>
                <w:rFonts w:ascii="Arial" w:hAnsi="Arial" w:cs="Arial"/>
                <w:sz w:val="21"/>
              </w:rPr>
              <w:t>’</w:t>
            </w:r>
            <w:r w:rsidRPr="007E72F5">
              <w:rPr>
                <w:rFonts w:ascii="Arial" w:hAnsi="Arial" w:cs="Arial"/>
                <w:sz w:val="21"/>
              </w:rPr>
              <w:t>agit d</w:t>
            </w:r>
            <w:r w:rsidR="00D602DC" w:rsidRPr="007E72F5">
              <w:rPr>
                <w:rFonts w:ascii="Arial" w:hAnsi="Arial" w:cs="Arial"/>
                <w:sz w:val="21"/>
              </w:rPr>
              <w:t>’</w:t>
            </w:r>
            <w:r w:rsidRPr="007E72F5">
              <w:rPr>
                <w:rFonts w:ascii="Arial" w:hAnsi="Arial" w:cs="Arial"/>
                <w:sz w:val="21"/>
              </w:rPr>
              <w:t>une nouveauté</w:t>
            </w:r>
          </w:p>
        </w:tc>
      </w:tr>
    </w:tbl>
    <w:p w14:paraId="40387747" w14:textId="1A35E03A" w:rsidR="006C50B9" w:rsidRPr="007E72F5" w:rsidRDefault="006C50B9" w:rsidP="007E72F5">
      <w:pPr>
        <w:spacing w:before="720"/>
        <w:ind w:left="5533"/>
        <w:jc w:val="right"/>
        <w:rPr>
          <w:rFonts w:ascii="Arial" w:hAnsi="Arial" w:cs="Arial"/>
        </w:rPr>
      </w:pPr>
      <w:r w:rsidRPr="007E72F5">
        <w:rPr>
          <w:rFonts w:ascii="Arial" w:hAnsi="Arial" w:cs="Arial"/>
        </w:rPr>
        <w:t>[Fin de l</w:t>
      </w:r>
      <w:r w:rsidR="00D602DC" w:rsidRPr="007E72F5">
        <w:rPr>
          <w:rFonts w:ascii="Arial" w:hAnsi="Arial" w:cs="Arial"/>
        </w:rPr>
        <w:t>’</w:t>
      </w:r>
      <w:r w:rsidRPr="007E72F5">
        <w:rPr>
          <w:rFonts w:ascii="Arial" w:hAnsi="Arial" w:cs="Arial"/>
        </w:rPr>
        <w:t>annexe et du document]</w:t>
      </w:r>
    </w:p>
    <w:sectPr w:rsidR="006C50B9" w:rsidRPr="007E72F5" w:rsidSect="006C50B9">
      <w:headerReference w:type="default" r:id="rId8"/>
      <w:head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8FC7" w14:textId="77777777" w:rsidR="00C5552C" w:rsidRDefault="00C5552C" w:rsidP="007A6B90">
      <w:pPr>
        <w:spacing w:after="0" w:line="240" w:lineRule="auto"/>
      </w:pPr>
      <w:r>
        <w:separator/>
      </w:r>
    </w:p>
  </w:endnote>
  <w:endnote w:type="continuationSeparator" w:id="0">
    <w:p w14:paraId="775B770D" w14:textId="77777777" w:rsidR="00C5552C" w:rsidRDefault="00C5552C" w:rsidP="007A6B90">
      <w:pPr>
        <w:spacing w:after="0" w:line="240" w:lineRule="auto"/>
      </w:pPr>
      <w:r>
        <w:continuationSeparator/>
      </w:r>
    </w:p>
  </w:endnote>
  <w:endnote w:type="continuationNotice" w:id="1">
    <w:p w14:paraId="06FDE338" w14:textId="77777777" w:rsidR="000739C9" w:rsidRDefault="00073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E0A1" w14:textId="77777777" w:rsidR="00C5552C" w:rsidRDefault="00C5552C" w:rsidP="007A6B90">
      <w:pPr>
        <w:spacing w:after="0" w:line="240" w:lineRule="auto"/>
      </w:pPr>
      <w:r>
        <w:separator/>
      </w:r>
    </w:p>
  </w:footnote>
  <w:footnote w:type="continuationSeparator" w:id="0">
    <w:p w14:paraId="0B7862AC" w14:textId="77777777" w:rsidR="00C5552C" w:rsidRDefault="00C5552C" w:rsidP="007A6B90">
      <w:pPr>
        <w:spacing w:after="0" w:line="240" w:lineRule="auto"/>
      </w:pPr>
      <w:r>
        <w:continuationSeparator/>
      </w:r>
    </w:p>
  </w:footnote>
  <w:footnote w:type="continuationNotice" w:id="1">
    <w:p w14:paraId="0FFF3145" w14:textId="77777777" w:rsidR="000739C9" w:rsidRDefault="000739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B7" w14:textId="7936D761" w:rsidR="006C50B9" w:rsidRPr="007E72F5" w:rsidRDefault="006C50B9" w:rsidP="006C50B9">
    <w:pPr>
      <w:pStyle w:val="Header"/>
      <w:jc w:val="right"/>
      <w:rPr>
        <w:rFonts w:ascii="Arial" w:hAnsi="Arial" w:cs="Arial"/>
      </w:rPr>
    </w:pPr>
    <w:r w:rsidRPr="007E72F5">
      <w:rPr>
        <w:rFonts w:ascii="Arial" w:hAnsi="Arial" w:cs="Arial"/>
      </w:rPr>
      <w:t>CWS/11/18</w:t>
    </w:r>
  </w:p>
  <w:p w14:paraId="47F1AE42" w14:textId="279C41D5" w:rsidR="006C50B9" w:rsidRPr="007E72F5" w:rsidRDefault="006C50B9" w:rsidP="007E72F5">
    <w:pPr>
      <w:pStyle w:val="Header"/>
      <w:spacing w:after="480"/>
      <w:jc w:val="right"/>
      <w:rPr>
        <w:rFonts w:ascii="Arial" w:hAnsi="Arial" w:cs="Arial"/>
      </w:rPr>
    </w:pPr>
    <w:r w:rsidRPr="007E72F5">
      <w:rPr>
        <w:rFonts w:ascii="Arial" w:hAnsi="Arial" w:cs="Arial"/>
      </w:rPr>
      <w:t>Annexe, page </w:t>
    </w:r>
    <w:r w:rsidRPr="007E72F5">
      <w:rPr>
        <w:rFonts w:ascii="Arial" w:hAnsi="Arial" w:cs="Arial"/>
      </w:rPr>
      <w:fldChar w:fldCharType="begin"/>
    </w:r>
    <w:r w:rsidRPr="007E72F5">
      <w:rPr>
        <w:rFonts w:ascii="Arial" w:hAnsi="Arial" w:cs="Arial"/>
      </w:rPr>
      <w:instrText xml:space="preserve"> PAGE   \* MERGEFORMAT </w:instrText>
    </w:r>
    <w:r w:rsidRPr="007E72F5">
      <w:rPr>
        <w:rFonts w:ascii="Arial" w:hAnsi="Arial" w:cs="Arial"/>
      </w:rPr>
      <w:fldChar w:fldCharType="separate"/>
    </w:r>
    <w:r w:rsidR="00B825EC">
      <w:rPr>
        <w:rFonts w:ascii="Arial" w:hAnsi="Arial" w:cs="Arial"/>
        <w:noProof/>
      </w:rPr>
      <w:t>5</w:t>
    </w:r>
    <w:r w:rsidRPr="007E72F5">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F983" w14:textId="77777777" w:rsidR="006C50B9" w:rsidRPr="007E72F5" w:rsidRDefault="006C50B9" w:rsidP="006C50B9">
    <w:pPr>
      <w:pStyle w:val="Header"/>
      <w:jc w:val="right"/>
      <w:rPr>
        <w:rFonts w:ascii="Arial" w:hAnsi="Arial" w:cs="Arial"/>
      </w:rPr>
    </w:pPr>
    <w:r w:rsidRPr="007E72F5">
      <w:rPr>
        <w:rFonts w:ascii="Arial" w:hAnsi="Arial" w:cs="Arial"/>
      </w:rPr>
      <w:t>CWS/11/18</w:t>
    </w:r>
  </w:p>
  <w:p w14:paraId="0A98B774" w14:textId="34373CCD" w:rsidR="006C50B9" w:rsidRPr="007E72F5" w:rsidRDefault="006C50B9" w:rsidP="007E72F5">
    <w:pPr>
      <w:pStyle w:val="Header"/>
      <w:spacing w:after="480"/>
      <w:jc w:val="right"/>
      <w:rPr>
        <w:rFonts w:ascii="Arial" w:hAnsi="Arial" w:cs="Arial"/>
      </w:rPr>
    </w:pPr>
    <w:r w:rsidRPr="007E72F5">
      <w:rPr>
        <w:rFonts w:ascii="Arial" w:hAnsi="Arial" w:cs="Arial"/>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983"/>
    <w:multiLevelType w:val="multilevel"/>
    <w:tmpl w:val="D4AECC4A"/>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E2AEC"/>
    <w:multiLevelType w:val="hybridMultilevel"/>
    <w:tmpl w:val="33720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B17D7"/>
    <w:multiLevelType w:val="multilevel"/>
    <w:tmpl w:val="908E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6665D"/>
    <w:multiLevelType w:val="multilevel"/>
    <w:tmpl w:val="13760C9C"/>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7348A"/>
    <w:multiLevelType w:val="multilevel"/>
    <w:tmpl w:val="89FE363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E66F09"/>
    <w:multiLevelType w:val="hybridMultilevel"/>
    <w:tmpl w:val="0288674A"/>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95DDE"/>
    <w:multiLevelType w:val="multilevel"/>
    <w:tmpl w:val="CAA8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5B62E9"/>
    <w:multiLevelType w:val="multilevel"/>
    <w:tmpl w:val="04AEF356"/>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4B37497"/>
    <w:multiLevelType w:val="hybridMultilevel"/>
    <w:tmpl w:val="2F9CF10E"/>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05392"/>
    <w:multiLevelType w:val="multilevel"/>
    <w:tmpl w:val="7F1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F36E07"/>
    <w:multiLevelType w:val="hybridMultilevel"/>
    <w:tmpl w:val="76DA1B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965239"/>
    <w:multiLevelType w:val="multilevel"/>
    <w:tmpl w:val="D5AE1BE4"/>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90929DD"/>
    <w:multiLevelType w:val="multilevel"/>
    <w:tmpl w:val="68CC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300D26"/>
    <w:multiLevelType w:val="multilevel"/>
    <w:tmpl w:val="AF3ADFE2"/>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B02FB"/>
    <w:multiLevelType w:val="multilevel"/>
    <w:tmpl w:val="CC64C318"/>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B0810DE"/>
    <w:multiLevelType w:val="hybridMultilevel"/>
    <w:tmpl w:val="A904A8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E8056A"/>
    <w:multiLevelType w:val="multilevel"/>
    <w:tmpl w:val="2A8CC906"/>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CA67B45"/>
    <w:multiLevelType w:val="hybridMultilevel"/>
    <w:tmpl w:val="BBF2EC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672E6"/>
    <w:multiLevelType w:val="multilevel"/>
    <w:tmpl w:val="108ABAA6"/>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C68016B"/>
    <w:multiLevelType w:val="hybridMultilevel"/>
    <w:tmpl w:val="6D62EC1E"/>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D6E32E4"/>
    <w:multiLevelType w:val="hybridMultilevel"/>
    <w:tmpl w:val="35F8CE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E9E4B03"/>
    <w:multiLevelType w:val="multilevel"/>
    <w:tmpl w:val="45AE726A"/>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6771646">
    <w:abstractNumId w:val="6"/>
  </w:num>
  <w:num w:numId="2" w16cid:durableId="1541238422">
    <w:abstractNumId w:val="12"/>
  </w:num>
  <w:num w:numId="3" w16cid:durableId="1472164385">
    <w:abstractNumId w:val="9"/>
  </w:num>
  <w:num w:numId="4" w16cid:durableId="1280533570">
    <w:abstractNumId w:val="13"/>
  </w:num>
  <w:num w:numId="5" w16cid:durableId="334919591">
    <w:abstractNumId w:val="18"/>
  </w:num>
  <w:num w:numId="6" w16cid:durableId="1809974053">
    <w:abstractNumId w:val="14"/>
  </w:num>
  <w:num w:numId="7" w16cid:durableId="869342683">
    <w:abstractNumId w:val="2"/>
  </w:num>
  <w:num w:numId="8" w16cid:durableId="1251770290">
    <w:abstractNumId w:val="20"/>
  </w:num>
  <w:num w:numId="9" w16cid:durableId="880049177">
    <w:abstractNumId w:val="16"/>
  </w:num>
  <w:num w:numId="10" w16cid:durableId="1884830730">
    <w:abstractNumId w:val="7"/>
  </w:num>
  <w:num w:numId="11" w16cid:durableId="1108895577">
    <w:abstractNumId w:val="4"/>
  </w:num>
  <w:num w:numId="12" w16cid:durableId="1686784424">
    <w:abstractNumId w:val="3"/>
  </w:num>
  <w:num w:numId="13" w16cid:durableId="186062236">
    <w:abstractNumId w:val="15"/>
  </w:num>
  <w:num w:numId="14" w16cid:durableId="452797146">
    <w:abstractNumId w:val="11"/>
  </w:num>
  <w:num w:numId="15" w16cid:durableId="882599368">
    <w:abstractNumId w:val="1"/>
  </w:num>
  <w:num w:numId="16" w16cid:durableId="1548177616">
    <w:abstractNumId w:val="19"/>
  </w:num>
  <w:num w:numId="17" w16cid:durableId="50275613">
    <w:abstractNumId w:val="5"/>
  </w:num>
  <w:num w:numId="18" w16cid:durableId="2131508903">
    <w:abstractNumId w:val="8"/>
  </w:num>
  <w:num w:numId="19" w16cid:durableId="546995784">
    <w:abstractNumId w:val="17"/>
  </w:num>
  <w:num w:numId="20" w16cid:durableId="1085107980">
    <w:abstractNumId w:val="10"/>
  </w:num>
  <w:num w:numId="21" w16cid:durableId="1400707295">
    <w:abstractNumId w:val="21"/>
  </w:num>
  <w:num w:numId="22" w16cid:durableId="1700543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8E"/>
    <w:rsid w:val="00055AA0"/>
    <w:rsid w:val="0006740F"/>
    <w:rsid w:val="000739C9"/>
    <w:rsid w:val="000A4BB8"/>
    <w:rsid w:val="000D4D86"/>
    <w:rsid w:val="000D5DBF"/>
    <w:rsid w:val="00110F3E"/>
    <w:rsid w:val="001611C8"/>
    <w:rsid w:val="001B012E"/>
    <w:rsid w:val="001B176F"/>
    <w:rsid w:val="001B708E"/>
    <w:rsid w:val="001C5FED"/>
    <w:rsid w:val="001C6C05"/>
    <w:rsid w:val="00242610"/>
    <w:rsid w:val="002547E6"/>
    <w:rsid w:val="00275AF2"/>
    <w:rsid w:val="00286A63"/>
    <w:rsid w:val="002C1443"/>
    <w:rsid w:val="002C1D3F"/>
    <w:rsid w:val="0030438C"/>
    <w:rsid w:val="003361C9"/>
    <w:rsid w:val="00337C38"/>
    <w:rsid w:val="00366981"/>
    <w:rsid w:val="003B1671"/>
    <w:rsid w:val="00410ABB"/>
    <w:rsid w:val="00466EA5"/>
    <w:rsid w:val="004972AB"/>
    <w:rsid w:val="004A71C7"/>
    <w:rsid w:val="0052129E"/>
    <w:rsid w:val="00530743"/>
    <w:rsid w:val="00531C94"/>
    <w:rsid w:val="005A61C9"/>
    <w:rsid w:val="005C4F7A"/>
    <w:rsid w:val="005D39BC"/>
    <w:rsid w:val="005F4971"/>
    <w:rsid w:val="006043B6"/>
    <w:rsid w:val="00626B5E"/>
    <w:rsid w:val="00694EDA"/>
    <w:rsid w:val="006C1AFF"/>
    <w:rsid w:val="006C50B9"/>
    <w:rsid w:val="006F370A"/>
    <w:rsid w:val="0078717A"/>
    <w:rsid w:val="00795F6F"/>
    <w:rsid w:val="007A6B90"/>
    <w:rsid w:val="007B0BA9"/>
    <w:rsid w:val="007C171E"/>
    <w:rsid w:val="007E72F5"/>
    <w:rsid w:val="0088396F"/>
    <w:rsid w:val="008A7AF2"/>
    <w:rsid w:val="00904962"/>
    <w:rsid w:val="009221C2"/>
    <w:rsid w:val="00924130"/>
    <w:rsid w:val="00943E1C"/>
    <w:rsid w:val="00945643"/>
    <w:rsid w:val="00986BF6"/>
    <w:rsid w:val="00992E9A"/>
    <w:rsid w:val="009C325B"/>
    <w:rsid w:val="009C45CB"/>
    <w:rsid w:val="00A251BE"/>
    <w:rsid w:val="00A6219A"/>
    <w:rsid w:val="00AE4ABF"/>
    <w:rsid w:val="00B825EC"/>
    <w:rsid w:val="00B827A8"/>
    <w:rsid w:val="00B854D8"/>
    <w:rsid w:val="00BA205A"/>
    <w:rsid w:val="00BB0F61"/>
    <w:rsid w:val="00BD574A"/>
    <w:rsid w:val="00C2580E"/>
    <w:rsid w:val="00C41F76"/>
    <w:rsid w:val="00C5552C"/>
    <w:rsid w:val="00C721B1"/>
    <w:rsid w:val="00C80D8E"/>
    <w:rsid w:val="00D06ACA"/>
    <w:rsid w:val="00D22CF8"/>
    <w:rsid w:val="00D602DC"/>
    <w:rsid w:val="00DA0122"/>
    <w:rsid w:val="00DA0C4C"/>
    <w:rsid w:val="00DE76ED"/>
    <w:rsid w:val="00DF7637"/>
    <w:rsid w:val="00E02541"/>
    <w:rsid w:val="00E262A7"/>
    <w:rsid w:val="00E615D5"/>
    <w:rsid w:val="00EC46BA"/>
    <w:rsid w:val="00EF01F6"/>
    <w:rsid w:val="00F03AD6"/>
    <w:rsid w:val="00F0617F"/>
    <w:rsid w:val="00F425D8"/>
    <w:rsid w:val="00FA099F"/>
    <w:rsid w:val="00FC00B6"/>
    <w:rsid w:val="00FC7C6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6BED1"/>
  <w15:chartTrackingRefBased/>
  <w15:docId w15:val="{8DF40653-6F57-45C3-8619-A664E30F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370A"/>
    <w:pPr>
      <w:keepNext/>
      <w:spacing w:before="240" w:after="60"/>
      <w:outlineLvl w:val="0"/>
    </w:pPr>
    <w:rPr>
      <w:rFonts w:eastAsia="SimSun"/>
      <w:b/>
      <w:bCs/>
      <w:caps/>
      <w:kern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CF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D22CF8"/>
    <w:rPr>
      <w:b/>
      <w:bCs/>
    </w:rPr>
  </w:style>
  <w:style w:type="character" w:styleId="Emphasis">
    <w:name w:val="Emphasis"/>
    <w:basedOn w:val="DefaultParagraphFont"/>
    <w:uiPriority w:val="20"/>
    <w:qFormat/>
    <w:rsid w:val="00D22CF8"/>
    <w:rPr>
      <w:i/>
      <w:iCs/>
    </w:rPr>
  </w:style>
  <w:style w:type="paragraph" w:styleId="Revision">
    <w:name w:val="Revision"/>
    <w:hidden/>
    <w:uiPriority w:val="99"/>
    <w:semiHidden/>
    <w:rsid w:val="00D22CF8"/>
    <w:pPr>
      <w:spacing w:after="0" w:line="240" w:lineRule="auto"/>
    </w:pPr>
  </w:style>
  <w:style w:type="character" w:styleId="CommentReference">
    <w:name w:val="annotation reference"/>
    <w:basedOn w:val="DefaultParagraphFont"/>
    <w:uiPriority w:val="99"/>
    <w:semiHidden/>
    <w:unhideWhenUsed/>
    <w:rsid w:val="004A71C7"/>
    <w:rPr>
      <w:sz w:val="16"/>
      <w:szCs w:val="16"/>
    </w:rPr>
  </w:style>
  <w:style w:type="paragraph" w:styleId="CommentText">
    <w:name w:val="annotation text"/>
    <w:basedOn w:val="Normal"/>
    <w:link w:val="CommentTextChar"/>
    <w:uiPriority w:val="99"/>
    <w:unhideWhenUsed/>
    <w:rsid w:val="004A71C7"/>
    <w:pPr>
      <w:spacing w:line="240" w:lineRule="auto"/>
    </w:pPr>
    <w:rPr>
      <w:sz w:val="20"/>
      <w:szCs w:val="20"/>
    </w:rPr>
  </w:style>
  <w:style w:type="character" w:customStyle="1" w:styleId="CommentTextChar">
    <w:name w:val="Comment Text Char"/>
    <w:basedOn w:val="DefaultParagraphFont"/>
    <w:link w:val="CommentText"/>
    <w:uiPriority w:val="99"/>
    <w:rsid w:val="004A71C7"/>
    <w:rPr>
      <w:sz w:val="20"/>
      <w:szCs w:val="20"/>
    </w:rPr>
  </w:style>
  <w:style w:type="paragraph" w:styleId="CommentSubject">
    <w:name w:val="annotation subject"/>
    <w:basedOn w:val="CommentText"/>
    <w:next w:val="CommentText"/>
    <w:link w:val="CommentSubjectChar"/>
    <w:uiPriority w:val="99"/>
    <w:semiHidden/>
    <w:unhideWhenUsed/>
    <w:rsid w:val="004A71C7"/>
    <w:rPr>
      <w:b/>
      <w:bCs/>
    </w:rPr>
  </w:style>
  <w:style w:type="character" w:customStyle="1" w:styleId="CommentSubjectChar">
    <w:name w:val="Comment Subject Char"/>
    <w:basedOn w:val="CommentTextChar"/>
    <w:link w:val="CommentSubject"/>
    <w:uiPriority w:val="99"/>
    <w:semiHidden/>
    <w:rsid w:val="004A71C7"/>
    <w:rPr>
      <w:b/>
      <w:bCs/>
      <w:sz w:val="20"/>
      <w:szCs w:val="20"/>
    </w:rPr>
  </w:style>
  <w:style w:type="paragraph" w:styleId="ListParagraph">
    <w:name w:val="List Paragraph"/>
    <w:basedOn w:val="Normal"/>
    <w:uiPriority w:val="34"/>
    <w:qFormat/>
    <w:rsid w:val="005A61C9"/>
    <w:pPr>
      <w:ind w:left="720"/>
      <w:contextualSpacing/>
    </w:pPr>
  </w:style>
  <w:style w:type="paragraph" w:styleId="Header">
    <w:name w:val="header"/>
    <w:basedOn w:val="Normal"/>
    <w:link w:val="HeaderChar"/>
    <w:uiPriority w:val="99"/>
    <w:unhideWhenUsed/>
    <w:rsid w:val="007A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B90"/>
  </w:style>
  <w:style w:type="paragraph" w:styleId="Footer">
    <w:name w:val="footer"/>
    <w:basedOn w:val="Normal"/>
    <w:link w:val="FooterChar"/>
    <w:uiPriority w:val="99"/>
    <w:unhideWhenUsed/>
    <w:rsid w:val="007A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0"/>
  </w:style>
  <w:style w:type="character" w:customStyle="1" w:styleId="Heading1Char">
    <w:name w:val="Heading 1 Char"/>
    <w:basedOn w:val="DefaultParagraphFont"/>
    <w:link w:val="Heading1"/>
    <w:rsid w:val="006F370A"/>
    <w:rPr>
      <w:rFonts w:eastAsia="SimSun"/>
      <w:b/>
      <w:bCs/>
      <w:caps/>
      <w:kern w:val="32"/>
      <w:szCs w:val="32"/>
      <w:lang w:val="fr-FR"/>
      <w14:ligatures w14:val="none"/>
    </w:rPr>
  </w:style>
  <w:style w:type="character" w:styleId="Hyperlink">
    <w:name w:val="Hyperlink"/>
    <w:basedOn w:val="DefaultParagraphFont"/>
    <w:uiPriority w:val="99"/>
    <w:semiHidden/>
    <w:unhideWhenUsed/>
    <w:rsid w:val="00073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88705">
      <w:bodyDiv w:val="1"/>
      <w:marLeft w:val="0"/>
      <w:marRight w:val="0"/>
      <w:marTop w:val="0"/>
      <w:marBottom w:val="0"/>
      <w:divBdr>
        <w:top w:val="none" w:sz="0" w:space="0" w:color="auto"/>
        <w:left w:val="none" w:sz="0" w:space="0" w:color="auto"/>
        <w:bottom w:val="none" w:sz="0" w:space="0" w:color="auto"/>
        <w:right w:val="none" w:sz="0" w:space="0" w:color="auto"/>
      </w:divBdr>
      <w:divsChild>
        <w:div w:id="891575190">
          <w:marLeft w:val="0"/>
          <w:marRight w:val="0"/>
          <w:marTop w:val="0"/>
          <w:marBottom w:val="0"/>
          <w:divBdr>
            <w:top w:val="none" w:sz="0" w:space="0" w:color="auto"/>
            <w:left w:val="none" w:sz="0" w:space="0" w:color="auto"/>
            <w:bottom w:val="none" w:sz="0" w:space="0" w:color="auto"/>
            <w:right w:val="none" w:sz="0" w:space="0" w:color="auto"/>
          </w:divBdr>
        </w:div>
        <w:div w:id="776867855">
          <w:marLeft w:val="0"/>
          <w:marRight w:val="0"/>
          <w:marTop w:val="0"/>
          <w:marBottom w:val="0"/>
          <w:divBdr>
            <w:top w:val="none" w:sz="0" w:space="0" w:color="auto"/>
            <w:left w:val="none" w:sz="0" w:space="0" w:color="auto"/>
            <w:bottom w:val="none" w:sz="0" w:space="0" w:color="auto"/>
            <w:right w:val="none" w:sz="0" w:space="0" w:color="auto"/>
          </w:divBdr>
        </w:div>
        <w:div w:id="192110899">
          <w:marLeft w:val="0"/>
          <w:marRight w:val="0"/>
          <w:marTop w:val="0"/>
          <w:marBottom w:val="0"/>
          <w:divBdr>
            <w:top w:val="none" w:sz="0" w:space="0" w:color="auto"/>
            <w:left w:val="none" w:sz="0" w:space="0" w:color="auto"/>
            <w:bottom w:val="none" w:sz="0" w:space="0" w:color="auto"/>
            <w:right w:val="none" w:sz="0" w:space="0" w:color="auto"/>
          </w:divBdr>
        </w:div>
        <w:div w:id="127940582">
          <w:marLeft w:val="0"/>
          <w:marRight w:val="0"/>
          <w:marTop w:val="0"/>
          <w:marBottom w:val="0"/>
          <w:divBdr>
            <w:top w:val="none" w:sz="0" w:space="0" w:color="auto"/>
            <w:left w:val="none" w:sz="0" w:space="0" w:color="auto"/>
            <w:bottom w:val="none" w:sz="0" w:space="0" w:color="auto"/>
            <w:right w:val="none" w:sz="0" w:space="0" w:color="auto"/>
          </w:divBdr>
        </w:div>
        <w:div w:id="505481005">
          <w:marLeft w:val="0"/>
          <w:marRight w:val="0"/>
          <w:marTop w:val="0"/>
          <w:marBottom w:val="0"/>
          <w:divBdr>
            <w:top w:val="none" w:sz="0" w:space="0" w:color="auto"/>
            <w:left w:val="none" w:sz="0" w:space="0" w:color="auto"/>
            <w:bottom w:val="none" w:sz="0" w:space="0" w:color="auto"/>
            <w:right w:val="none" w:sz="0" w:space="0" w:color="auto"/>
          </w:divBdr>
        </w:div>
        <w:div w:id="1360473656">
          <w:marLeft w:val="0"/>
          <w:marRight w:val="0"/>
          <w:marTop w:val="0"/>
          <w:marBottom w:val="0"/>
          <w:divBdr>
            <w:top w:val="none" w:sz="0" w:space="0" w:color="auto"/>
            <w:left w:val="none" w:sz="0" w:space="0" w:color="auto"/>
            <w:bottom w:val="none" w:sz="0" w:space="0" w:color="auto"/>
            <w:right w:val="none" w:sz="0" w:space="0" w:color="auto"/>
          </w:divBdr>
        </w:div>
        <w:div w:id="494616888">
          <w:marLeft w:val="0"/>
          <w:marRight w:val="0"/>
          <w:marTop w:val="0"/>
          <w:marBottom w:val="0"/>
          <w:divBdr>
            <w:top w:val="none" w:sz="0" w:space="0" w:color="auto"/>
            <w:left w:val="none" w:sz="0" w:space="0" w:color="auto"/>
            <w:bottom w:val="none" w:sz="0" w:space="0" w:color="auto"/>
            <w:right w:val="none" w:sz="0" w:space="0" w:color="auto"/>
          </w:divBdr>
        </w:div>
        <w:div w:id="678966701">
          <w:marLeft w:val="0"/>
          <w:marRight w:val="0"/>
          <w:marTop w:val="0"/>
          <w:marBottom w:val="0"/>
          <w:divBdr>
            <w:top w:val="none" w:sz="0" w:space="0" w:color="auto"/>
            <w:left w:val="none" w:sz="0" w:space="0" w:color="auto"/>
            <w:bottom w:val="none" w:sz="0" w:space="0" w:color="auto"/>
            <w:right w:val="none" w:sz="0" w:space="0" w:color="auto"/>
          </w:divBdr>
        </w:div>
        <w:div w:id="917440824">
          <w:marLeft w:val="0"/>
          <w:marRight w:val="0"/>
          <w:marTop w:val="0"/>
          <w:marBottom w:val="0"/>
          <w:divBdr>
            <w:top w:val="none" w:sz="0" w:space="0" w:color="auto"/>
            <w:left w:val="none" w:sz="0" w:space="0" w:color="auto"/>
            <w:bottom w:val="none" w:sz="0" w:space="0" w:color="auto"/>
            <w:right w:val="none" w:sz="0" w:space="0" w:color="auto"/>
          </w:divBdr>
        </w:div>
        <w:div w:id="93024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0B3D-B49D-4C46-B681-94C9908F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WIPO</dc:creator>
  <cp:keywords/>
  <dc:description/>
  <cp:lastModifiedBy>MOSTAJO Apolonia</cp:lastModifiedBy>
  <cp:revision>2</cp:revision>
  <cp:lastPrinted>2023-11-09T10:41:00Z</cp:lastPrinted>
  <dcterms:created xsi:type="dcterms:W3CDTF">2023-11-09T10:42:00Z</dcterms:created>
  <dcterms:modified xsi:type="dcterms:W3CDTF">2023-11-09T10:42:00Z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2023-10-24T08:24:38Z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e45960c8-a91f-4543-9a99-f4fafc12d32e</vt:lpwstr>
  </property>
  <property fmtid="{D5CDD505-2E9C-101B-9397-08002B2CF9AE}" pid="8" name="MSIP_Label_20773ee6-353b-4fb9-a59d-0b94c8c67bea_ContentBits">
    <vt:lpwstr>0</vt:lpwstr>
  </property>
</Properties>
</file>