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A887" w14:textId="77777777" w:rsidR="008B2CC1" w:rsidRPr="00A00EB4" w:rsidRDefault="0040540C" w:rsidP="00533626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A00EB4">
        <w:rPr>
          <w:noProof/>
          <w:lang w:val="fr-FR" w:eastAsia="en-US"/>
        </w:rPr>
        <w:drawing>
          <wp:inline distT="0" distB="0" distL="0" distR="0" wp14:anchorId="57F4AB55" wp14:editId="605DC41A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03D8D" w14:textId="76640922" w:rsidR="00B1090C" w:rsidRPr="00A00EB4" w:rsidRDefault="00533626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A00EB4">
        <w:rPr>
          <w:rFonts w:ascii="Arial Black" w:hAnsi="Arial Black"/>
          <w:caps/>
          <w:sz w:val="15"/>
          <w:lang w:val="fr-FR"/>
        </w:rPr>
        <w:t>CWS/11</w:t>
      </w:r>
      <w:bookmarkStart w:id="0" w:name="Code"/>
      <w:bookmarkEnd w:id="0"/>
      <w:r w:rsidR="00BC2DAD" w:rsidRPr="00A00EB4">
        <w:rPr>
          <w:rFonts w:ascii="Arial Black" w:hAnsi="Arial Black"/>
          <w:caps/>
          <w:sz w:val="15"/>
          <w:lang w:val="fr-FR"/>
        </w:rPr>
        <w:t>/19 Rev.</w:t>
      </w:r>
    </w:p>
    <w:p w14:paraId="2D662377" w14:textId="2888D5F7" w:rsidR="008B2CC1" w:rsidRPr="00A00EB4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A00EB4">
        <w:rPr>
          <w:rFonts w:ascii="Arial Black" w:hAnsi="Arial Black"/>
          <w:caps/>
          <w:sz w:val="15"/>
          <w:szCs w:val="15"/>
          <w:lang w:val="fr-FR"/>
        </w:rPr>
        <w:t>ORIGINAL</w:t>
      </w:r>
      <w:r w:rsidR="00F55B67" w:rsidRPr="00A00EB4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A00EB4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BC2DAD" w:rsidRPr="00A00EB4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426B4C85" w14:textId="226E6A60" w:rsidR="008B2CC1" w:rsidRPr="00A00EB4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A00EB4">
        <w:rPr>
          <w:rFonts w:ascii="Arial Black" w:hAnsi="Arial Black"/>
          <w:caps/>
          <w:sz w:val="15"/>
          <w:szCs w:val="15"/>
          <w:lang w:val="fr-FR"/>
        </w:rPr>
        <w:t>DATE</w:t>
      </w:r>
      <w:r w:rsidR="00F55B67" w:rsidRPr="00A00EB4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A00EB4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BC2DAD" w:rsidRPr="00A00EB4">
        <w:rPr>
          <w:rFonts w:ascii="Arial Black" w:hAnsi="Arial Black"/>
          <w:caps/>
          <w:sz w:val="15"/>
          <w:szCs w:val="15"/>
          <w:lang w:val="fr-FR"/>
        </w:rPr>
        <w:t>25 novembre 2023</w:t>
      </w:r>
    </w:p>
    <w:bookmarkEnd w:id="2"/>
    <w:p w14:paraId="29635E50" w14:textId="597F8811" w:rsidR="00533626" w:rsidRPr="00A00EB4" w:rsidRDefault="00533626" w:rsidP="00533626">
      <w:pPr>
        <w:spacing w:after="600"/>
        <w:rPr>
          <w:b/>
          <w:sz w:val="28"/>
          <w:szCs w:val="28"/>
          <w:lang w:val="fr-FR"/>
        </w:rPr>
      </w:pPr>
      <w:r w:rsidRPr="00A00EB4">
        <w:rPr>
          <w:b/>
          <w:sz w:val="28"/>
          <w:szCs w:val="28"/>
          <w:lang w:val="fr-FR"/>
        </w:rPr>
        <w:t>Comité des normes de l</w:t>
      </w:r>
      <w:r w:rsidR="00F55B67" w:rsidRPr="00A00EB4">
        <w:rPr>
          <w:b/>
          <w:sz w:val="28"/>
          <w:szCs w:val="28"/>
          <w:lang w:val="fr-FR"/>
        </w:rPr>
        <w:t>’</w:t>
      </w:r>
      <w:r w:rsidRPr="00A00EB4">
        <w:rPr>
          <w:b/>
          <w:sz w:val="28"/>
          <w:szCs w:val="28"/>
          <w:lang w:val="fr-FR"/>
        </w:rPr>
        <w:t>OMPI (CWS)</w:t>
      </w:r>
    </w:p>
    <w:p w14:paraId="6425EE4A" w14:textId="0BFBAE57" w:rsidR="00533626" w:rsidRPr="00A00EB4" w:rsidRDefault="00533626" w:rsidP="00533626">
      <w:pPr>
        <w:rPr>
          <w:b/>
          <w:sz w:val="28"/>
          <w:szCs w:val="24"/>
          <w:lang w:val="fr-FR"/>
        </w:rPr>
      </w:pPr>
      <w:r w:rsidRPr="00A00EB4">
        <w:rPr>
          <w:b/>
          <w:sz w:val="24"/>
          <w:lang w:val="fr-FR"/>
        </w:rPr>
        <w:t>Onz</w:t>
      </w:r>
      <w:r w:rsidR="00F55B67" w:rsidRPr="00A00EB4">
        <w:rPr>
          <w:b/>
          <w:sz w:val="24"/>
          <w:lang w:val="fr-FR"/>
        </w:rPr>
        <w:t>ième session</w:t>
      </w:r>
    </w:p>
    <w:p w14:paraId="1E3374D0" w14:textId="5BF0A5D0" w:rsidR="008B2CC1" w:rsidRPr="00A00EB4" w:rsidRDefault="00BC2DAD" w:rsidP="00BC2DAD">
      <w:pPr>
        <w:spacing w:after="720"/>
        <w:rPr>
          <w:caps/>
          <w:sz w:val="24"/>
          <w:lang w:val="fr-FR"/>
        </w:rPr>
      </w:pPr>
      <w:bookmarkStart w:id="3" w:name="TitleOfDoc"/>
      <w:r w:rsidRPr="00A00EB4">
        <w:rPr>
          <w:b/>
          <w:sz w:val="24"/>
          <w:lang w:val="fr-FR"/>
        </w:rPr>
        <w:t>Genève, 4 – 8 décembre 2023</w:t>
      </w:r>
    </w:p>
    <w:p w14:paraId="2C53C310" w14:textId="067FD860" w:rsidR="00BC2DAD" w:rsidRPr="00A00EB4" w:rsidRDefault="00BC2DAD" w:rsidP="00BC2DAD">
      <w:pPr>
        <w:spacing w:after="360"/>
        <w:outlineLvl w:val="0"/>
        <w:rPr>
          <w:caps/>
          <w:sz w:val="24"/>
          <w:lang w:val="fr-FR"/>
        </w:rPr>
      </w:pPr>
      <w:bookmarkStart w:id="4" w:name="Prepared"/>
      <w:bookmarkEnd w:id="3"/>
      <w:bookmarkEnd w:id="4"/>
      <w:r w:rsidRPr="00A00EB4">
        <w:rPr>
          <w:caps/>
          <w:sz w:val="24"/>
          <w:lang w:val="fr-FR"/>
        </w:rPr>
        <w:t>Propositions d</w:t>
      </w:r>
      <w:r w:rsidR="00F55B67" w:rsidRPr="00A00EB4">
        <w:rPr>
          <w:caps/>
          <w:sz w:val="24"/>
          <w:lang w:val="fr-FR"/>
        </w:rPr>
        <w:t>’</w:t>
      </w:r>
      <w:r w:rsidRPr="00A00EB4">
        <w:rPr>
          <w:caps/>
          <w:sz w:val="24"/>
          <w:lang w:val="fr-FR"/>
        </w:rPr>
        <w:t>amélioration des métadonnées relatives aux</w:t>
      </w:r>
      <w:r w:rsidR="00A84021" w:rsidRPr="00A00EB4">
        <w:rPr>
          <w:caps/>
          <w:sz w:val="24"/>
          <w:lang w:val="fr-FR"/>
        </w:rPr>
        <w:t> </w:t>
      </w:r>
      <w:r w:rsidRPr="00A00EB4">
        <w:rPr>
          <w:caps/>
          <w:sz w:val="24"/>
          <w:lang w:val="fr-FR"/>
        </w:rPr>
        <w:t>œuvres orphelines protégées par le droit d</w:t>
      </w:r>
      <w:r w:rsidR="00F55B67" w:rsidRPr="00A00EB4">
        <w:rPr>
          <w:caps/>
          <w:sz w:val="24"/>
          <w:lang w:val="fr-FR"/>
        </w:rPr>
        <w:t>’</w:t>
      </w:r>
      <w:r w:rsidRPr="00A00EB4">
        <w:rPr>
          <w:caps/>
          <w:sz w:val="24"/>
          <w:lang w:val="fr-FR"/>
        </w:rPr>
        <w:t>auteur dans la</w:t>
      </w:r>
      <w:r w:rsidR="00A84021" w:rsidRPr="00A00EB4">
        <w:rPr>
          <w:caps/>
          <w:sz w:val="24"/>
          <w:lang w:val="fr-FR"/>
        </w:rPr>
        <w:t> </w:t>
      </w:r>
      <w:r w:rsidRPr="00A00EB4">
        <w:rPr>
          <w:caps/>
          <w:sz w:val="24"/>
          <w:lang w:val="fr-FR"/>
        </w:rPr>
        <w:t>norme</w:t>
      </w:r>
      <w:r w:rsidR="00A84021" w:rsidRPr="00A00EB4">
        <w:rPr>
          <w:caps/>
          <w:sz w:val="24"/>
          <w:lang w:val="fr-FR"/>
        </w:rPr>
        <w:t> </w:t>
      </w:r>
      <w:r w:rsidRPr="00A00EB4">
        <w:rPr>
          <w:caps/>
          <w:sz w:val="24"/>
          <w:lang w:val="fr-FR"/>
        </w:rPr>
        <w:t>ST.96 de l</w:t>
      </w:r>
      <w:r w:rsidR="00F55B67" w:rsidRPr="00A00EB4">
        <w:rPr>
          <w:caps/>
          <w:sz w:val="24"/>
          <w:lang w:val="fr-FR"/>
        </w:rPr>
        <w:t>’</w:t>
      </w:r>
      <w:r w:rsidRPr="00A00EB4">
        <w:rPr>
          <w:caps/>
          <w:sz w:val="24"/>
          <w:lang w:val="fr-FR"/>
        </w:rPr>
        <w:t>OMPI</w:t>
      </w:r>
    </w:p>
    <w:p w14:paraId="246EFD1A" w14:textId="77777777" w:rsidR="00BC2DAD" w:rsidRPr="00A00EB4" w:rsidRDefault="00BC2DAD" w:rsidP="00BC2DAD">
      <w:pPr>
        <w:spacing w:after="1040"/>
        <w:rPr>
          <w:i/>
          <w:lang w:val="fr-FR"/>
        </w:rPr>
      </w:pPr>
      <w:r w:rsidRPr="00A00EB4">
        <w:rPr>
          <w:i/>
          <w:lang w:val="fr-FR"/>
        </w:rPr>
        <w:t>Document établi par le Bureau international</w:t>
      </w:r>
    </w:p>
    <w:p w14:paraId="50F0A270" w14:textId="77777777" w:rsidR="00BC2DAD" w:rsidRPr="00A00EB4" w:rsidRDefault="00BC2DAD" w:rsidP="0065683B">
      <w:pPr>
        <w:pStyle w:val="Heading2"/>
      </w:pPr>
      <w:r w:rsidRPr="00A00EB4">
        <w:t>Résumé</w:t>
      </w:r>
    </w:p>
    <w:p w14:paraId="70FD4777" w14:textId="0689D311" w:rsidR="00F55B67" w:rsidRPr="00A00EB4" w:rsidRDefault="00BC2DAD" w:rsidP="0065683B">
      <w:pPr>
        <w:pStyle w:val="ONUMFS"/>
        <w:rPr>
          <w:lang w:val="fr-FR"/>
        </w:rPr>
      </w:pPr>
      <w:r w:rsidRPr="00A00EB4">
        <w:rPr>
          <w:lang w:val="fr-FR"/>
        </w:rPr>
        <w:t>Le Bureau international présente un résumé des observations formulées par les membres et les observateurs du Comité des normes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OMPI (CWS)</w:t>
      </w:r>
      <w:r w:rsidRPr="00A00EB4">
        <w:rPr>
          <w:rStyle w:val="FootnoteReference"/>
          <w:lang w:val="fr-FR"/>
        </w:rPr>
        <w:footnoteReference w:id="2"/>
      </w:r>
      <w:r w:rsidRPr="00A00EB4">
        <w:rPr>
          <w:lang w:val="fr-FR"/>
        </w:rPr>
        <w:t xml:space="preserve"> au sujet de la proposition révisée, et demande des conseils concernant la prochaine étape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élaboration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une proposition finale sur les métadonnées relatives aux œuvres orphelines protégées par le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auteur.</w:t>
      </w:r>
    </w:p>
    <w:p w14:paraId="71094FB7" w14:textId="6428AB51" w:rsidR="00BC2DAD" w:rsidRPr="00A00EB4" w:rsidRDefault="0065683B" w:rsidP="0065683B">
      <w:pPr>
        <w:pStyle w:val="Heading2"/>
      </w:pPr>
      <w:r w:rsidRPr="00A00EB4">
        <w:t>Introduction</w:t>
      </w:r>
    </w:p>
    <w:p w14:paraId="3436EB18" w14:textId="0260ADD8" w:rsidR="00F55B67" w:rsidRPr="00A00EB4" w:rsidRDefault="00BC2DAD" w:rsidP="0065683B">
      <w:pPr>
        <w:pStyle w:val="ONUMFS"/>
        <w:rPr>
          <w:lang w:val="fr-FR"/>
        </w:rPr>
      </w:pPr>
      <w:r w:rsidRPr="00A00EB4">
        <w:rPr>
          <w:lang w:val="fr-FR"/>
        </w:rPr>
        <w:t>À sa six</w:t>
      </w:r>
      <w:r w:rsidR="00F55B67" w:rsidRPr="00A00EB4">
        <w:rPr>
          <w:lang w:val="fr-FR"/>
        </w:rPr>
        <w:t>ième session</w:t>
      </w:r>
      <w:r w:rsidRPr="00A00EB4">
        <w:rPr>
          <w:lang w:val="fr-FR"/>
        </w:rPr>
        <w:t xml:space="preserve">, tenue </w:t>
      </w:r>
      <w:r w:rsidR="00F55B67" w:rsidRPr="00A00EB4">
        <w:rPr>
          <w:lang w:val="fr-FR"/>
        </w:rPr>
        <w:t>en 2018</w:t>
      </w:r>
      <w:r w:rsidRPr="00A00EB4">
        <w:rPr>
          <w:lang w:val="fr-FR"/>
        </w:rPr>
        <w:t>,</w:t>
      </w:r>
      <w:r w:rsidR="00F55B67" w:rsidRPr="00A00EB4">
        <w:rPr>
          <w:lang w:val="fr-FR"/>
        </w:rPr>
        <w:t xml:space="preserve"> le CWS</w:t>
      </w:r>
      <w:r w:rsidRPr="00A00EB4">
        <w:rPr>
          <w:lang w:val="fr-FR"/>
        </w:rPr>
        <w:t xml:space="preserve"> est convenu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étendre la portée de la norme ST.96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OMPI aux œuvres orphelines protégées par le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auteur (voir le paragraphe 68 du document</w:t>
      </w:r>
      <w:r w:rsidR="0065683B">
        <w:rPr>
          <w:lang w:val="fr-FR"/>
        </w:rPr>
        <w:t> </w:t>
      </w:r>
      <w:r w:rsidRPr="00A00EB4">
        <w:rPr>
          <w:lang w:val="fr-FR"/>
        </w:rPr>
        <w:t>CWS/6/34).</w:t>
      </w:r>
    </w:p>
    <w:p w14:paraId="092172AB" w14:textId="5ACA5953" w:rsidR="00BC2DAD" w:rsidRPr="00A00EB4" w:rsidRDefault="00BC2DAD" w:rsidP="0065683B">
      <w:pPr>
        <w:pStyle w:val="ONUMFS"/>
        <w:rPr>
          <w:szCs w:val="22"/>
          <w:lang w:val="fr-FR"/>
        </w:rPr>
      </w:pPr>
      <w:r w:rsidRPr="00A00EB4">
        <w:rPr>
          <w:lang w:val="fr-FR"/>
        </w:rPr>
        <w:t>À sa huit</w:t>
      </w:r>
      <w:r w:rsidR="00F55B67" w:rsidRPr="00A00EB4">
        <w:rPr>
          <w:lang w:val="fr-FR"/>
        </w:rPr>
        <w:t>ième session</w:t>
      </w:r>
      <w:r w:rsidRPr="00A00EB4">
        <w:rPr>
          <w:lang w:val="fr-FR"/>
        </w:rPr>
        <w:t xml:space="preserve">, tenue </w:t>
      </w:r>
      <w:r w:rsidR="00F55B67" w:rsidRPr="00A00EB4">
        <w:rPr>
          <w:lang w:val="fr-FR"/>
        </w:rPr>
        <w:t>en 2020</w:t>
      </w:r>
      <w:r w:rsidRPr="00A00EB4">
        <w:rPr>
          <w:lang w:val="fr-FR"/>
        </w:rPr>
        <w:t>,</w:t>
      </w:r>
      <w:r w:rsidR="00F55B67" w:rsidRPr="00A00EB4">
        <w:rPr>
          <w:lang w:val="fr-FR"/>
        </w:rPr>
        <w:t xml:space="preserve"> le CWS</w:t>
      </w:r>
      <w:r w:rsidRPr="00A00EB4">
        <w:rPr>
          <w:lang w:val="fr-FR"/>
        </w:rPr>
        <w:t xml:space="preserve"> a pris note du fait que des éléments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un schéma XML pour les données relatives aux œuvres orphelines protégées par le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auteur avaient été publiés dans la version</w:t>
      </w:r>
      <w:r w:rsidR="0065683B">
        <w:rPr>
          <w:lang w:val="fr-FR"/>
        </w:rPr>
        <w:t> </w:t>
      </w:r>
      <w:r w:rsidRPr="00A00EB4">
        <w:rPr>
          <w:lang w:val="fr-FR"/>
        </w:rPr>
        <w:t>4.0 de la norme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>ST.96 et que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Équipe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experts chargée de la norme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>XML4IP prévoyait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améliorer certaines composantes relatives au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 xml:space="preserve">auteur et avait mentionné </w:t>
      </w:r>
      <w:proofErr w:type="spellStart"/>
      <w:proofErr w:type="gramStart"/>
      <w:r w:rsidRPr="00A00EB4">
        <w:rPr>
          <w:rFonts w:ascii="Courier New" w:hAnsi="Courier New"/>
          <w:lang w:val="fr-FR"/>
        </w:rPr>
        <w:t>cpy:RightsHolderCategory</w:t>
      </w:r>
      <w:proofErr w:type="spellEnd"/>
      <w:proofErr w:type="gramEnd"/>
      <w:r w:rsidRPr="00A00EB4">
        <w:rPr>
          <w:lang w:val="fr-FR"/>
        </w:rPr>
        <w:t xml:space="preserve"> </w:t>
      </w:r>
      <w:proofErr w:type="spellStart"/>
      <w:r w:rsidRPr="00A00EB4">
        <w:rPr>
          <w:lang w:val="fr-FR"/>
        </w:rPr>
        <w:t>et</w:t>
      </w:r>
      <w:r w:rsidRPr="00A00EB4">
        <w:rPr>
          <w:rFonts w:ascii="Courier New" w:hAnsi="Courier New"/>
          <w:lang w:val="fr-FR"/>
        </w:rPr>
        <w:t>cpy:OrphanWorkKindCode</w:t>
      </w:r>
      <w:proofErr w:type="spellEnd"/>
      <w:r w:rsidRPr="00A00EB4">
        <w:rPr>
          <w:lang w:val="fr-FR"/>
        </w:rPr>
        <w:t xml:space="preserve"> (voir les paragraphes 86 et 92 du document</w:t>
      </w:r>
      <w:r w:rsidR="0065683B">
        <w:rPr>
          <w:lang w:val="fr-FR"/>
        </w:rPr>
        <w:t> </w:t>
      </w:r>
      <w:r w:rsidRPr="00A00EB4">
        <w:rPr>
          <w:lang w:val="fr-FR"/>
        </w:rPr>
        <w:t>CWS/8/24).</w:t>
      </w:r>
    </w:p>
    <w:p w14:paraId="1067BBDA" w14:textId="4BAA1B75" w:rsidR="00F55B67" w:rsidRPr="00A00EB4" w:rsidRDefault="00BC2DAD" w:rsidP="0065683B">
      <w:pPr>
        <w:pStyle w:val="ONUMFS"/>
        <w:rPr>
          <w:lang w:val="fr-FR"/>
        </w:rPr>
      </w:pPr>
      <w:r w:rsidRPr="00A00EB4">
        <w:rPr>
          <w:lang w:val="fr-FR"/>
        </w:rPr>
        <w:lastRenderedPageBreak/>
        <w:t>À sa neuv</w:t>
      </w:r>
      <w:r w:rsidR="00F55B67" w:rsidRPr="00A00EB4">
        <w:rPr>
          <w:lang w:val="fr-FR"/>
        </w:rPr>
        <w:t>ième session</w:t>
      </w:r>
      <w:r w:rsidRPr="00A00EB4">
        <w:rPr>
          <w:lang w:val="fr-FR"/>
        </w:rPr>
        <w:t xml:space="preserve">, </w:t>
      </w:r>
      <w:r w:rsidR="00F55B67" w:rsidRPr="00A00EB4">
        <w:rPr>
          <w:lang w:val="fr-FR"/>
        </w:rPr>
        <w:t>en 2021</w:t>
      </w:r>
      <w:r w:rsidRPr="00A00EB4">
        <w:rPr>
          <w:lang w:val="fr-FR"/>
        </w:rPr>
        <w:t>,</w:t>
      </w:r>
      <w:r w:rsidR="00F55B67" w:rsidRPr="00A00EB4">
        <w:rPr>
          <w:lang w:val="fr-FR"/>
        </w:rPr>
        <w:t xml:space="preserve"> le CWS</w:t>
      </w:r>
      <w:r w:rsidRPr="00A00EB4">
        <w:rPr>
          <w:lang w:val="fr-FR"/>
        </w:rPr>
        <w:t xml:space="preserve"> a examiné un projet de document de travail, présenté par le Bureau international, qui proposait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instaurer un moyen structuré de catégoriser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 xml:space="preserve">information sur le </w:t>
      </w:r>
      <w:bookmarkStart w:id="5" w:name="_Hlk150352625"/>
      <w:r w:rsidRPr="00A00EB4">
        <w:rPr>
          <w:lang w:val="fr-FR"/>
        </w:rPr>
        <w:t>rôle des titulaires des droits et sur les catégories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œuvres créatives</w:t>
      </w:r>
      <w:bookmarkEnd w:id="5"/>
      <w:r w:rsidRPr="00A00EB4">
        <w:rPr>
          <w:lang w:val="fr-FR"/>
        </w:rPr>
        <w:t xml:space="preserve"> reprises dans les composantes existantes de la norme ST.96</w:t>
      </w:r>
      <w:r w:rsidR="00F55B67" w:rsidRPr="00A00EB4">
        <w:rPr>
          <w:lang w:val="fr-FR"/>
        </w:rPr>
        <w:t> :</w:t>
      </w:r>
      <w:r w:rsidRPr="00A00EB4">
        <w:rPr>
          <w:lang w:val="fr-FR"/>
        </w:rPr>
        <w:t xml:space="preserve"> </w:t>
      </w:r>
      <w:proofErr w:type="spellStart"/>
      <w:r w:rsidRPr="00A00EB4">
        <w:rPr>
          <w:rFonts w:ascii="Courier New" w:hAnsi="Courier New"/>
          <w:lang w:val="fr-FR"/>
        </w:rPr>
        <w:t>cpy:RightsHolderCategory</w:t>
      </w:r>
      <w:proofErr w:type="spellEnd"/>
      <w:r w:rsidRPr="00A00EB4">
        <w:rPr>
          <w:lang w:val="fr-FR"/>
        </w:rPr>
        <w:t xml:space="preserve"> (catégorie qui définit le type des titulaires des droits) et </w:t>
      </w:r>
      <w:proofErr w:type="spellStart"/>
      <w:r w:rsidRPr="00A00EB4">
        <w:rPr>
          <w:rFonts w:ascii="Courier New" w:hAnsi="Courier New"/>
          <w:lang w:val="fr-FR"/>
        </w:rPr>
        <w:t>cpy:OrphanWorkKindCode</w:t>
      </w:r>
      <w:proofErr w:type="spellEnd"/>
      <w:r w:rsidRPr="00A00EB4">
        <w:rPr>
          <w:lang w:val="fr-FR"/>
        </w:rPr>
        <w:t xml:space="preserve"> (liste de codes qui définit le genre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une œuvre orpheli</w:t>
      </w:r>
      <w:r w:rsidR="00A00EB4" w:rsidRPr="00A00EB4">
        <w:rPr>
          <w:lang w:val="fr-FR"/>
        </w:rPr>
        <w:t>ne).  Ce</w:t>
      </w:r>
      <w:r w:rsidRPr="00A00EB4">
        <w:rPr>
          <w:lang w:val="fr-FR"/>
        </w:rPr>
        <w:t xml:space="preserve"> document visait principalement à améliorer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interopérabilité de la norme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>ST.96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OMPI avec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autres normes à travers le monde, mises au point ou utilisées par les industries culturelles, les organisations de gestion collective du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auteur et des droits connexes et les bibliothèques nationales et universitaires.</w:t>
      </w:r>
    </w:p>
    <w:p w14:paraId="3C91BB91" w14:textId="1B618C51" w:rsidR="00F55B67" w:rsidRPr="003A3949" w:rsidRDefault="00BC2DAD" w:rsidP="0065683B">
      <w:pPr>
        <w:pStyle w:val="ONUMFS"/>
        <w:rPr>
          <w:spacing w:val="-2"/>
          <w:lang w:val="fr-FR"/>
        </w:rPr>
      </w:pPr>
      <w:r w:rsidRPr="003A3949">
        <w:rPr>
          <w:spacing w:val="-2"/>
          <w:lang w:val="fr-FR"/>
        </w:rPr>
        <w:t>Toujours à sa neuv</w:t>
      </w:r>
      <w:r w:rsidR="00F55B67" w:rsidRPr="003A3949">
        <w:rPr>
          <w:spacing w:val="-2"/>
          <w:lang w:val="fr-FR"/>
        </w:rPr>
        <w:t>ième session</w:t>
      </w:r>
      <w:r w:rsidRPr="003A3949">
        <w:rPr>
          <w:spacing w:val="-2"/>
          <w:lang w:val="fr-FR"/>
        </w:rPr>
        <w:t>,</w:t>
      </w:r>
      <w:r w:rsidR="00F55B67" w:rsidRPr="003A3949">
        <w:rPr>
          <w:spacing w:val="-2"/>
          <w:lang w:val="fr-FR"/>
        </w:rPr>
        <w:t xml:space="preserve"> le CWS</w:t>
      </w:r>
      <w:r w:rsidRPr="003A3949">
        <w:rPr>
          <w:spacing w:val="-2"/>
          <w:lang w:val="fr-FR"/>
        </w:rPr>
        <w:t xml:space="preserve"> a invité ses membres à formuler des observations sur les propositions concernant les métadonnées relatives aux œuvres orphelines protégées par le droit d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auteur, reproduites dans l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annexe du document</w:t>
      </w:r>
      <w:r w:rsidR="0065683B" w:rsidRPr="003A3949">
        <w:rPr>
          <w:spacing w:val="-2"/>
          <w:lang w:val="fr-FR"/>
        </w:rPr>
        <w:t> </w:t>
      </w:r>
      <w:r w:rsidRPr="003A3949">
        <w:rPr>
          <w:spacing w:val="-2"/>
          <w:lang w:val="fr-FR"/>
        </w:rPr>
        <w:t>CWS/9/4, et à se mettre en contact avec leur bureau du droit d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auteur pour obtenir des observatio</w:t>
      </w:r>
      <w:r w:rsidR="00A00EB4" w:rsidRPr="003A3949">
        <w:rPr>
          <w:spacing w:val="-2"/>
          <w:lang w:val="fr-FR"/>
        </w:rPr>
        <w:t>ns.  Le</w:t>
      </w:r>
      <w:r w:rsidRPr="003A3949">
        <w:rPr>
          <w:spacing w:val="-2"/>
          <w:lang w:val="fr-FR"/>
        </w:rPr>
        <w:t xml:space="preserve"> Bureau international a confirmé que l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Équipe d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experts chargée de la norme</w:t>
      </w:r>
      <w:r w:rsidR="00CC468A" w:rsidRPr="003A3949">
        <w:rPr>
          <w:spacing w:val="-2"/>
          <w:lang w:val="fr-FR"/>
        </w:rPr>
        <w:t> </w:t>
      </w:r>
      <w:r w:rsidRPr="003A3949">
        <w:rPr>
          <w:spacing w:val="-2"/>
          <w:lang w:val="fr-FR"/>
        </w:rPr>
        <w:t>XML4IP s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adresserait à un plus grand nombre de bureaux du droit d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auteur et de groupes de l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industrie du droit d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auteur pour obtenir de l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aide dans ce domai</w:t>
      </w:r>
      <w:r w:rsidR="00A00EB4" w:rsidRPr="003A3949">
        <w:rPr>
          <w:spacing w:val="-2"/>
          <w:lang w:val="fr-FR"/>
        </w:rPr>
        <w:t>ne.  Le</w:t>
      </w:r>
      <w:r w:rsidR="00F55B67" w:rsidRPr="003A3949">
        <w:rPr>
          <w:spacing w:val="-2"/>
          <w:lang w:val="fr-FR"/>
        </w:rPr>
        <w:t> CWS</w:t>
      </w:r>
      <w:r w:rsidRPr="003A3949">
        <w:rPr>
          <w:spacing w:val="-2"/>
          <w:lang w:val="fr-FR"/>
        </w:rPr>
        <w:t xml:space="preserve"> a noté que le Bureau international prévoyait de soumettre les propositions finales à l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examen de sa dix</w:t>
      </w:r>
      <w:r w:rsidR="00F55B67" w:rsidRPr="003A3949">
        <w:rPr>
          <w:spacing w:val="-2"/>
          <w:lang w:val="fr-FR"/>
        </w:rPr>
        <w:t>ième session</w:t>
      </w:r>
      <w:r w:rsidRPr="003A3949">
        <w:rPr>
          <w:spacing w:val="-2"/>
          <w:lang w:val="fr-FR"/>
        </w:rPr>
        <w:t xml:space="preserve"> (voir les paragraphes 21 à 24 du document</w:t>
      </w:r>
      <w:r w:rsidR="0065683B" w:rsidRPr="003A3949">
        <w:rPr>
          <w:spacing w:val="-2"/>
          <w:lang w:val="fr-FR"/>
        </w:rPr>
        <w:t> </w:t>
      </w:r>
      <w:r w:rsidRPr="003A3949">
        <w:rPr>
          <w:spacing w:val="-2"/>
          <w:lang w:val="fr-FR"/>
        </w:rPr>
        <w:t>CWS/9/25).</w:t>
      </w:r>
    </w:p>
    <w:p w14:paraId="5CB6DCD7" w14:textId="1B3C95F9" w:rsidR="00BC2DAD" w:rsidRPr="003A3949" w:rsidRDefault="00BC2DAD" w:rsidP="0065683B">
      <w:pPr>
        <w:pStyle w:val="ONUMFS"/>
        <w:rPr>
          <w:spacing w:val="-2"/>
          <w:szCs w:val="22"/>
          <w:lang w:val="fr-FR"/>
        </w:rPr>
      </w:pPr>
      <w:r w:rsidRPr="003A3949">
        <w:rPr>
          <w:spacing w:val="-2"/>
          <w:lang w:val="fr-FR"/>
        </w:rPr>
        <w:t>À sa dix</w:t>
      </w:r>
      <w:r w:rsidR="00F55B67" w:rsidRPr="003A3949">
        <w:rPr>
          <w:spacing w:val="-2"/>
          <w:lang w:val="fr-FR"/>
        </w:rPr>
        <w:t>ième session</w:t>
      </w:r>
      <w:r w:rsidRPr="003A3949">
        <w:rPr>
          <w:spacing w:val="-2"/>
          <w:lang w:val="fr-FR"/>
        </w:rPr>
        <w:t xml:space="preserve">, tenue </w:t>
      </w:r>
      <w:r w:rsidR="00F55B67" w:rsidRPr="003A3949">
        <w:rPr>
          <w:spacing w:val="-2"/>
          <w:lang w:val="fr-FR"/>
        </w:rPr>
        <w:t>en 2022</w:t>
      </w:r>
      <w:r w:rsidRPr="003A3949">
        <w:rPr>
          <w:spacing w:val="-2"/>
          <w:lang w:val="fr-FR"/>
        </w:rPr>
        <w:t>,</w:t>
      </w:r>
      <w:r w:rsidR="00F55B67" w:rsidRPr="003A3949">
        <w:rPr>
          <w:spacing w:val="-2"/>
          <w:lang w:val="fr-FR"/>
        </w:rPr>
        <w:t xml:space="preserve"> le CWS</w:t>
      </w:r>
      <w:r w:rsidRPr="003A3949">
        <w:rPr>
          <w:spacing w:val="-2"/>
          <w:lang w:val="fr-FR"/>
        </w:rPr>
        <w:t xml:space="preserve"> a noté que les États membres et observateurs de l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OMPI (</w:t>
      </w:r>
      <w:r w:rsidR="00F55B67" w:rsidRPr="003A3949">
        <w:rPr>
          <w:spacing w:val="-2"/>
          <w:lang w:val="fr-FR"/>
        </w:rPr>
        <w:t>y compris</w:t>
      </w:r>
      <w:r w:rsidRPr="003A3949">
        <w:rPr>
          <w:spacing w:val="-2"/>
          <w:lang w:val="fr-FR"/>
        </w:rPr>
        <w:t xml:space="preserve"> les groupes de l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industrie du droit d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auteur) avaient été invités à formuler leurs observations concernant ces nouvelles propositions, au moyen de la circulaire C.CWS</w:t>
      </w:r>
      <w:r w:rsidR="0065683B" w:rsidRPr="003A3949">
        <w:rPr>
          <w:spacing w:val="-2"/>
          <w:lang w:val="fr-FR"/>
        </w:rPr>
        <w:t> </w:t>
      </w:r>
      <w:r w:rsidRPr="003A3949">
        <w:rPr>
          <w:spacing w:val="-2"/>
          <w:lang w:val="fr-FR"/>
        </w:rPr>
        <w:t>156.  Six</w:t>
      </w:r>
      <w:r w:rsidR="00CC468A" w:rsidRPr="003A3949">
        <w:rPr>
          <w:spacing w:val="-2"/>
          <w:lang w:val="fr-FR"/>
        </w:rPr>
        <w:t> </w:t>
      </w:r>
      <w:r w:rsidRPr="003A3949">
        <w:rPr>
          <w:spacing w:val="-2"/>
          <w:lang w:val="fr-FR"/>
        </w:rPr>
        <w:t>États membres et trois</w:t>
      </w:r>
      <w:r w:rsidR="00CC468A" w:rsidRPr="003A3949">
        <w:rPr>
          <w:spacing w:val="-2"/>
          <w:lang w:val="fr-FR"/>
        </w:rPr>
        <w:t> </w:t>
      </w:r>
      <w:r w:rsidRPr="003A3949">
        <w:rPr>
          <w:spacing w:val="-2"/>
          <w:lang w:val="fr-FR"/>
        </w:rPr>
        <w:t>observateurs avaient transmis neuf</w:t>
      </w:r>
      <w:r w:rsidR="00CC468A" w:rsidRPr="003A3949">
        <w:rPr>
          <w:spacing w:val="-2"/>
          <w:lang w:val="fr-FR"/>
        </w:rPr>
        <w:t> </w:t>
      </w:r>
      <w:r w:rsidRPr="003A3949">
        <w:rPr>
          <w:spacing w:val="-2"/>
          <w:lang w:val="fr-FR"/>
        </w:rPr>
        <w:t>répons</w:t>
      </w:r>
      <w:r w:rsidR="00A00EB4" w:rsidRPr="003A3949">
        <w:rPr>
          <w:spacing w:val="-2"/>
          <w:lang w:val="fr-FR"/>
        </w:rPr>
        <w:t>es.  Le</w:t>
      </w:r>
      <w:r w:rsidRPr="003A3949">
        <w:rPr>
          <w:spacing w:val="-2"/>
          <w:lang w:val="fr-FR"/>
        </w:rPr>
        <w:t xml:space="preserve"> projet de document de travail avait été modifié en fonction des observations reçues et</w:t>
      </w:r>
      <w:r w:rsidR="00F55B67" w:rsidRPr="003A3949">
        <w:rPr>
          <w:spacing w:val="-2"/>
          <w:lang w:val="fr-FR"/>
        </w:rPr>
        <w:t xml:space="preserve"> le CWS</w:t>
      </w:r>
      <w:r w:rsidRPr="003A3949">
        <w:rPr>
          <w:spacing w:val="-2"/>
          <w:lang w:val="fr-FR"/>
        </w:rPr>
        <w:t xml:space="preserve"> a été invité à formuler des observations sur le projet de document de travail révisé concernant les métadonnées relatives aux œuvres orphelines protégées par le droit d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auteur, qui figure à l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annexe du document</w:t>
      </w:r>
      <w:r w:rsidR="0065683B" w:rsidRPr="003A3949">
        <w:rPr>
          <w:spacing w:val="-2"/>
          <w:lang w:val="fr-FR"/>
        </w:rPr>
        <w:t> </w:t>
      </w:r>
      <w:r w:rsidRPr="003A3949">
        <w:rPr>
          <w:spacing w:val="-2"/>
          <w:lang w:val="fr-FR"/>
        </w:rPr>
        <w:t>CWS/10/7 (voir les paragraphes 50 et 51 du document</w:t>
      </w:r>
      <w:r w:rsidR="0065683B" w:rsidRPr="003A3949">
        <w:rPr>
          <w:spacing w:val="-2"/>
          <w:lang w:val="fr-FR"/>
        </w:rPr>
        <w:t> </w:t>
      </w:r>
      <w:r w:rsidRPr="003A3949">
        <w:rPr>
          <w:spacing w:val="-2"/>
          <w:lang w:val="fr-FR"/>
        </w:rPr>
        <w:t>CWS/10/22).</w:t>
      </w:r>
    </w:p>
    <w:p w14:paraId="35DF4593" w14:textId="3042F7CA" w:rsidR="00F55B67" w:rsidRPr="00A00EB4" w:rsidRDefault="00BC2DAD" w:rsidP="0065683B">
      <w:pPr>
        <w:pStyle w:val="ONUMFS"/>
        <w:rPr>
          <w:lang w:val="fr-FR"/>
        </w:rPr>
      </w:pPr>
      <w:r w:rsidRPr="00A00EB4">
        <w:rPr>
          <w:lang w:val="fr-FR"/>
        </w:rPr>
        <w:t>Également à sa dix</w:t>
      </w:r>
      <w:r w:rsidR="00F55B67" w:rsidRPr="00A00EB4">
        <w:rPr>
          <w:lang w:val="fr-FR"/>
        </w:rPr>
        <w:t>ième session</w:t>
      </w:r>
      <w:r w:rsidRPr="00A00EB4">
        <w:rPr>
          <w:lang w:val="fr-FR"/>
        </w:rPr>
        <w:t>,</w:t>
      </w:r>
      <w:r w:rsidR="00F55B67" w:rsidRPr="00A00EB4">
        <w:rPr>
          <w:lang w:val="fr-FR"/>
        </w:rPr>
        <w:t xml:space="preserve"> le CWS</w:t>
      </w:r>
      <w:r w:rsidRPr="00A00EB4">
        <w:rPr>
          <w:lang w:val="fr-FR"/>
        </w:rPr>
        <w:t xml:space="preserve"> a examiné les prochaines étapes concernant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amélioration des métadonnées relatives aux œuvres orphelines protégées par le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auteur, compte tenu des deux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>options ci</w:t>
      </w:r>
      <w:r w:rsidR="0065683B">
        <w:rPr>
          <w:lang w:val="fr-FR"/>
        </w:rPr>
        <w:noBreakHyphen/>
      </w:r>
      <w:r w:rsidRPr="00A00EB4">
        <w:rPr>
          <w:lang w:val="fr-FR"/>
        </w:rPr>
        <w:t>après proposées par le Bureau international.</w:t>
      </w:r>
    </w:p>
    <w:p w14:paraId="0B41B2B3" w14:textId="77777777" w:rsidR="0065683B" w:rsidRDefault="00BC2DAD" w:rsidP="003A3949">
      <w:pPr>
        <w:pStyle w:val="ONUMFS"/>
        <w:numPr>
          <w:ilvl w:val="0"/>
          <w:numId w:val="14"/>
        </w:numPr>
        <w:spacing w:after="120"/>
        <w:ind w:left="1134" w:hanging="567"/>
        <w:rPr>
          <w:szCs w:val="22"/>
          <w:lang w:val="fr-FR"/>
        </w:rPr>
      </w:pPr>
      <w:r w:rsidRPr="00A00EB4">
        <w:rPr>
          <w:lang w:val="fr-FR"/>
        </w:rPr>
        <w:t xml:space="preserve">La </w:t>
      </w:r>
      <w:r w:rsidRPr="0065683B">
        <w:rPr>
          <w:i/>
          <w:iCs/>
          <w:lang w:val="fr-FR"/>
        </w:rPr>
        <w:t>première option</w:t>
      </w:r>
      <w:r w:rsidRPr="00A00EB4">
        <w:rPr>
          <w:lang w:val="fr-FR"/>
        </w:rPr>
        <w:t xml:space="preserve"> consisterait à créer une nouvelle tâche et à mettre en place une nouvelle équipe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 xml:space="preserve">experts, </w:t>
      </w:r>
      <w:r w:rsidR="00F55B67" w:rsidRPr="00A00EB4">
        <w:rPr>
          <w:lang w:val="fr-FR"/>
        </w:rPr>
        <w:t>à savoir</w:t>
      </w:r>
      <w:r w:rsidRPr="00A00EB4">
        <w:rPr>
          <w:lang w:val="fr-FR"/>
        </w:rPr>
        <w:t xml:space="preserve"> “l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Équipe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experts chargée des métadonnées relatives aux œuvres orphelines protégées par le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auteur”, afin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établir des propositions finales sur une recommandation relative aux métadonnées concernant le rôle des titulaires des droits et les catégories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œuvres créatives auxquelles les éléments XML peuvent faire référence dans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espace de nommage relatif au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auteur de la norme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>ST.96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OMPI.</w:t>
      </w:r>
    </w:p>
    <w:p w14:paraId="430951CA" w14:textId="1151D414" w:rsidR="00F55B67" w:rsidRPr="00A00EB4" w:rsidRDefault="00BC2DAD" w:rsidP="0065683B">
      <w:pPr>
        <w:pStyle w:val="ONUMFS"/>
        <w:numPr>
          <w:ilvl w:val="0"/>
          <w:numId w:val="14"/>
        </w:numPr>
        <w:ind w:left="1134" w:hanging="567"/>
        <w:rPr>
          <w:lang w:val="fr-FR"/>
        </w:rPr>
      </w:pPr>
      <w:r w:rsidRPr="00A00EB4">
        <w:rPr>
          <w:lang w:val="fr-FR"/>
        </w:rPr>
        <w:t xml:space="preserve">La </w:t>
      </w:r>
      <w:r w:rsidRPr="0065683B">
        <w:rPr>
          <w:i/>
          <w:iCs/>
          <w:lang w:val="fr-FR"/>
        </w:rPr>
        <w:t>deuxième option</w:t>
      </w:r>
      <w:r w:rsidRPr="00A00EB4">
        <w:rPr>
          <w:lang w:val="fr-FR"/>
        </w:rPr>
        <w:t xml:space="preserve"> consisterait à mener un nouveau cycle de consultation concernant le projet de document de travail révisé figurant à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annexe du document</w:t>
      </w:r>
      <w:r w:rsidR="0065683B">
        <w:t> </w:t>
      </w:r>
      <w:r w:rsidRPr="00A00EB4">
        <w:rPr>
          <w:lang w:val="fr-FR"/>
        </w:rPr>
        <w:t>CWS/10/7, au moyen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une circulaire CWS invitant les spécialistes du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auteur à formuler des observations.</w:t>
      </w:r>
    </w:p>
    <w:p w14:paraId="08EEF042" w14:textId="0F481535" w:rsidR="00BC2DAD" w:rsidRPr="003A3949" w:rsidRDefault="00BC2DAD" w:rsidP="0065683B">
      <w:pPr>
        <w:pStyle w:val="ONUMFS"/>
        <w:numPr>
          <w:ilvl w:val="0"/>
          <w:numId w:val="0"/>
        </w:numPr>
        <w:rPr>
          <w:spacing w:val="-2"/>
          <w:szCs w:val="22"/>
          <w:lang w:val="fr-FR"/>
        </w:rPr>
      </w:pPr>
      <w:r w:rsidRPr="003A3949">
        <w:rPr>
          <w:spacing w:val="-2"/>
          <w:lang w:val="fr-FR"/>
        </w:rPr>
        <w:t>Le comité a accepté de mener un nouveau cycle de consultation afin de recevoir les observations des bureaux du droit d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auteur et des entreprises (</w:t>
      </w:r>
      <w:r w:rsidRPr="003A3949">
        <w:rPr>
          <w:i/>
          <w:iCs/>
          <w:spacing w:val="-2"/>
          <w:lang w:val="fr-FR"/>
        </w:rPr>
        <w:t>deuxième opti</w:t>
      </w:r>
      <w:r w:rsidR="00A00EB4" w:rsidRPr="003A3949">
        <w:rPr>
          <w:i/>
          <w:iCs/>
          <w:spacing w:val="-2"/>
          <w:lang w:val="fr-FR"/>
        </w:rPr>
        <w:t>on</w:t>
      </w:r>
      <w:r w:rsidR="00A00EB4" w:rsidRPr="003A3949">
        <w:rPr>
          <w:spacing w:val="-2"/>
          <w:lang w:val="fr-FR"/>
        </w:rPr>
        <w:t>).  Il</w:t>
      </w:r>
      <w:r w:rsidRPr="003A3949">
        <w:rPr>
          <w:spacing w:val="-2"/>
          <w:lang w:val="fr-FR"/>
        </w:rPr>
        <w:t xml:space="preserve"> a demandé au Secrétariat de diffuser une circulaire invitant ses membres et ses observateurs, avec un renvoi exprès aux bureaux du droit d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auteur et aux institutions, ainsi qu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aux organisations non gouvernementales (ONG) internationales représentant les parties prenantes de l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industrie de la création, à examiner le projet de document de travail révisé figurant dans le document</w:t>
      </w:r>
      <w:r w:rsidR="0065683B" w:rsidRPr="003A3949">
        <w:rPr>
          <w:spacing w:val="-2"/>
          <w:lang w:val="fr-FR"/>
        </w:rPr>
        <w:t> </w:t>
      </w:r>
      <w:r w:rsidRPr="003A3949">
        <w:rPr>
          <w:spacing w:val="-2"/>
          <w:lang w:val="fr-FR"/>
        </w:rPr>
        <w:t>CWS/10/7 et à présenter leurs observatio</w:t>
      </w:r>
      <w:r w:rsidR="00A00EB4" w:rsidRPr="003A3949">
        <w:rPr>
          <w:spacing w:val="-2"/>
          <w:lang w:val="fr-FR"/>
        </w:rPr>
        <w:t>ns.  Le</w:t>
      </w:r>
      <w:r w:rsidR="00F55B67" w:rsidRPr="003A3949">
        <w:rPr>
          <w:spacing w:val="-2"/>
          <w:lang w:val="fr-FR"/>
        </w:rPr>
        <w:t> CWS</w:t>
      </w:r>
      <w:r w:rsidRPr="003A3949">
        <w:rPr>
          <w:spacing w:val="-2"/>
          <w:lang w:val="fr-FR"/>
        </w:rPr>
        <w:t xml:space="preserve"> a demandé au Secrétariat de présenter, à sa onz</w:t>
      </w:r>
      <w:r w:rsidR="00F55B67" w:rsidRPr="003A3949">
        <w:rPr>
          <w:spacing w:val="-2"/>
          <w:lang w:val="fr-FR"/>
        </w:rPr>
        <w:t>ième session</w:t>
      </w:r>
      <w:r w:rsidRPr="003A3949">
        <w:rPr>
          <w:spacing w:val="-2"/>
          <w:lang w:val="fr-FR"/>
        </w:rPr>
        <w:t>, une proposition finale reflétant les résultats de la consultation pour examen et approbation par</w:t>
      </w:r>
      <w:r w:rsidR="00F55B67" w:rsidRPr="003A3949">
        <w:rPr>
          <w:spacing w:val="-2"/>
          <w:lang w:val="fr-FR"/>
        </w:rPr>
        <w:t xml:space="preserve"> le CWS</w:t>
      </w:r>
      <w:r w:rsidRPr="003A3949">
        <w:rPr>
          <w:spacing w:val="-2"/>
          <w:lang w:val="fr-FR"/>
        </w:rPr>
        <w:t>, ou une proposition pour les prochaines étapes, en fonction des observations reçues lors de la consultation (voir les paragraphes 52 à 57 du document</w:t>
      </w:r>
      <w:r w:rsidR="0065683B" w:rsidRPr="003A3949">
        <w:rPr>
          <w:spacing w:val="-2"/>
          <w:lang w:val="fr-FR"/>
        </w:rPr>
        <w:t> </w:t>
      </w:r>
      <w:r w:rsidRPr="003A3949">
        <w:rPr>
          <w:spacing w:val="-2"/>
          <w:lang w:val="fr-FR"/>
        </w:rPr>
        <w:t>CWS/10/22).</w:t>
      </w:r>
    </w:p>
    <w:p w14:paraId="45B8B3A2" w14:textId="7748B77D" w:rsidR="00BC2DAD" w:rsidRPr="00A00EB4" w:rsidRDefault="0065683B" w:rsidP="0065683B">
      <w:pPr>
        <w:pStyle w:val="Heading2"/>
      </w:pPr>
      <w:r>
        <w:t>R</w:t>
      </w:r>
      <w:r w:rsidRPr="00A00EB4">
        <w:t>éponses à la proposition révisée concernant la gestion des métadonnées relatives aux œuvres orphelines protégées par le droit d’auteur</w:t>
      </w:r>
    </w:p>
    <w:p w14:paraId="402F942A" w14:textId="7FBCCCE5" w:rsidR="00F55B67" w:rsidRPr="00A00EB4" w:rsidRDefault="00BC2DAD" w:rsidP="0065683B">
      <w:pPr>
        <w:pStyle w:val="ONUMFS"/>
        <w:rPr>
          <w:lang w:val="fr-FR"/>
        </w:rPr>
      </w:pPr>
      <w:r w:rsidRPr="00A00EB4">
        <w:rPr>
          <w:lang w:val="fr-FR"/>
        </w:rPr>
        <w:t>Conformément à la décision prise à la dix</w:t>
      </w:r>
      <w:r w:rsidR="00F55B67" w:rsidRPr="00A00EB4">
        <w:rPr>
          <w:lang w:val="fr-FR"/>
        </w:rPr>
        <w:t>ième session du CWS</w:t>
      </w:r>
      <w:r w:rsidRPr="00A00EB4">
        <w:rPr>
          <w:lang w:val="fr-FR"/>
        </w:rPr>
        <w:t xml:space="preserve"> indiquée au </w:t>
      </w:r>
      <w:r w:rsidR="00F55B67" w:rsidRPr="00A00EB4">
        <w:rPr>
          <w:lang w:val="fr-FR"/>
        </w:rPr>
        <w:t>paragraphe 7</w:t>
      </w:r>
      <w:r w:rsidRPr="00A00EB4">
        <w:rPr>
          <w:lang w:val="fr-FR"/>
        </w:rPr>
        <w:t>, le Secrétariat a diffusé la circulaire C.CWS</w:t>
      </w:r>
      <w:r w:rsidR="0065683B">
        <w:rPr>
          <w:lang w:val="fr-FR"/>
        </w:rPr>
        <w:t> </w:t>
      </w:r>
      <w:r w:rsidRPr="00A00EB4">
        <w:rPr>
          <w:lang w:val="fr-FR"/>
        </w:rPr>
        <w:t>171 invitant les membres et observateurs du comité à examiner la proposition révisée qui est présentée dans les appendices I et II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 xml:space="preserve">annexe du </w:t>
      </w:r>
      <w:r w:rsidR="00F55B67" w:rsidRPr="00A00EB4">
        <w:rPr>
          <w:lang w:val="fr-FR"/>
        </w:rPr>
        <w:t>document</w:t>
      </w:r>
      <w:r w:rsidR="0065683B">
        <w:rPr>
          <w:lang w:val="fr-FR"/>
        </w:rPr>
        <w:t> </w:t>
      </w:r>
      <w:r w:rsidR="00F55B67" w:rsidRPr="00A00EB4">
        <w:rPr>
          <w:lang w:val="fr-FR"/>
        </w:rPr>
        <w:t>CW</w:t>
      </w:r>
      <w:r w:rsidRPr="00A00EB4">
        <w:rPr>
          <w:lang w:val="fr-FR"/>
        </w:rPr>
        <w:t>S/10/7 et à formuler des observations à son sujet, compte tenu notamment des éléments suivants</w:t>
      </w:r>
      <w:r w:rsidR="00F55B67" w:rsidRPr="00A00EB4">
        <w:rPr>
          <w:lang w:val="fr-FR"/>
        </w:rPr>
        <w:t> :</w:t>
      </w:r>
    </w:p>
    <w:p w14:paraId="37C690EA" w14:textId="1F9E3F3B" w:rsidR="00F55B67" w:rsidRPr="00A00EB4" w:rsidRDefault="00BC2DAD" w:rsidP="003A3949">
      <w:pPr>
        <w:pStyle w:val="ONUMFS"/>
        <w:numPr>
          <w:ilvl w:val="0"/>
          <w:numId w:val="15"/>
        </w:numPr>
        <w:spacing w:after="120"/>
        <w:ind w:left="1134" w:hanging="567"/>
        <w:rPr>
          <w:lang w:val="fr-FR"/>
        </w:rPr>
      </w:pPr>
      <w:proofErr w:type="gramStart"/>
      <w:r w:rsidRPr="00A00EB4">
        <w:rPr>
          <w:lang w:val="fr-FR"/>
        </w:rPr>
        <w:t>caractère</w:t>
      </w:r>
      <w:proofErr w:type="gramEnd"/>
      <w:r w:rsidRPr="00A00EB4">
        <w:rPr>
          <w:lang w:val="fr-FR"/>
        </w:rPr>
        <w:t xml:space="preserve"> exhaustif des rôles des titulaires de droits et des catégories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œuvres de création;</w:t>
      </w:r>
    </w:p>
    <w:p w14:paraId="68ED8681" w14:textId="77D2D62D" w:rsidR="00F55B67" w:rsidRPr="00A00EB4" w:rsidRDefault="00BC2DAD" w:rsidP="003A3949">
      <w:pPr>
        <w:pStyle w:val="ONUMFS"/>
        <w:numPr>
          <w:ilvl w:val="0"/>
          <w:numId w:val="15"/>
        </w:numPr>
        <w:spacing w:after="120"/>
        <w:ind w:left="1134" w:hanging="567"/>
        <w:rPr>
          <w:lang w:val="fr-FR"/>
        </w:rPr>
      </w:pPr>
      <w:proofErr w:type="gramStart"/>
      <w:r w:rsidRPr="00A00EB4">
        <w:rPr>
          <w:lang w:val="fr-FR"/>
        </w:rPr>
        <w:t>pertinence</w:t>
      </w:r>
      <w:proofErr w:type="gramEnd"/>
      <w:r w:rsidRPr="00A00EB4">
        <w:rPr>
          <w:lang w:val="fr-FR"/>
        </w:rPr>
        <w:t xml:space="preserve"> des mécanismes de groupement et de codage des rôles des titulaires de droits et des catégories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 xml:space="preserve">œuvres; </w:t>
      </w:r>
      <w:r w:rsidR="00CC468A" w:rsidRPr="00A00EB4">
        <w:rPr>
          <w:lang w:val="fr-FR"/>
        </w:rPr>
        <w:t xml:space="preserve"> </w:t>
      </w:r>
      <w:r w:rsidRPr="00A00EB4">
        <w:rPr>
          <w:lang w:val="fr-FR"/>
        </w:rPr>
        <w:t>et</w:t>
      </w:r>
    </w:p>
    <w:p w14:paraId="175CB776" w14:textId="74DD1831" w:rsidR="00BC2DAD" w:rsidRPr="00A00EB4" w:rsidRDefault="00BC2DAD" w:rsidP="0065683B">
      <w:pPr>
        <w:pStyle w:val="ONUMFS"/>
        <w:numPr>
          <w:ilvl w:val="0"/>
          <w:numId w:val="15"/>
        </w:numPr>
        <w:ind w:left="1134" w:hanging="567"/>
        <w:rPr>
          <w:szCs w:val="22"/>
          <w:lang w:val="fr-FR"/>
        </w:rPr>
      </w:pPr>
      <w:proofErr w:type="gramStart"/>
      <w:r w:rsidRPr="00A00EB4">
        <w:rPr>
          <w:lang w:val="fr-FR"/>
        </w:rPr>
        <w:t>clarté</w:t>
      </w:r>
      <w:proofErr w:type="gramEnd"/>
      <w:r w:rsidRPr="00A00EB4">
        <w:rPr>
          <w:lang w:val="fr-FR"/>
        </w:rPr>
        <w:t xml:space="preserve"> des descriptions des entrées correspondant aux rôles des titulaires de droits et aux catégories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œuvres.</w:t>
      </w:r>
    </w:p>
    <w:p w14:paraId="7A543ACB" w14:textId="5B4B5C72" w:rsidR="00F55B67" w:rsidRPr="00A00EB4" w:rsidRDefault="00BC2DAD" w:rsidP="0065683B">
      <w:pPr>
        <w:pStyle w:val="ONUMFS"/>
        <w:rPr>
          <w:lang w:val="fr-FR"/>
        </w:rPr>
      </w:pPr>
      <w:r w:rsidRPr="00A00EB4">
        <w:rPr>
          <w:lang w:val="fr-FR"/>
        </w:rPr>
        <w:t>Le Bureau international a reçu neuf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>réponses à la circulaire C.CWS</w:t>
      </w:r>
      <w:r w:rsidR="0065683B">
        <w:rPr>
          <w:lang w:val="fr-FR"/>
        </w:rPr>
        <w:t> </w:t>
      </w:r>
      <w:r w:rsidRPr="00A00EB4">
        <w:rPr>
          <w:lang w:val="fr-FR"/>
        </w:rPr>
        <w:t>171, en provenance de huit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>membres</w:t>
      </w:r>
      <w:r w:rsidR="00F55B67" w:rsidRPr="00A00EB4">
        <w:rPr>
          <w:lang w:val="fr-FR"/>
        </w:rPr>
        <w:t xml:space="preserve"> du CWS :</w:t>
      </w:r>
      <w:r w:rsidRPr="00A00EB4">
        <w:rPr>
          <w:lang w:val="fr-FR"/>
        </w:rPr>
        <w:t xml:space="preserve"> Australie, Chine, Espagne, États</w:t>
      </w:r>
      <w:r w:rsidR="0065683B">
        <w:rPr>
          <w:lang w:val="fr-FR"/>
        </w:rPr>
        <w:noBreakHyphen/>
      </w:r>
      <w:r w:rsidRPr="00A00EB4">
        <w:rPr>
          <w:lang w:val="fr-FR"/>
        </w:rPr>
        <w:t>Unis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Amérique, Lituanie, Mexique, Royaume</w:t>
      </w:r>
      <w:r w:rsidR="0065683B">
        <w:rPr>
          <w:lang w:val="fr-FR"/>
        </w:rPr>
        <w:noBreakHyphen/>
      </w:r>
      <w:r w:rsidRPr="00A00EB4">
        <w:rPr>
          <w:lang w:val="fr-FR"/>
        </w:rPr>
        <w:t>Uni et Organisation régionale africaine de la propriété intellectuelle (ARIPO</w:t>
      </w:r>
      <w:proofErr w:type="gramStart"/>
      <w:r w:rsidRPr="00A00EB4">
        <w:rPr>
          <w:lang w:val="fr-FR"/>
        </w:rPr>
        <w:t xml:space="preserve">); </w:t>
      </w:r>
      <w:r w:rsidR="00CC468A" w:rsidRPr="00A00EB4">
        <w:rPr>
          <w:lang w:val="fr-FR"/>
        </w:rPr>
        <w:t xml:space="preserve"> </w:t>
      </w:r>
      <w:r w:rsidRPr="00A00EB4">
        <w:rPr>
          <w:lang w:val="fr-FR"/>
        </w:rPr>
        <w:t>et</w:t>
      </w:r>
      <w:proofErr w:type="gramEnd"/>
      <w:r w:rsidRPr="00A00EB4">
        <w:rPr>
          <w:lang w:val="fr-FR"/>
        </w:rPr>
        <w:t xml:space="preserve">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un observateur</w:t>
      </w:r>
      <w:r w:rsidR="00F55B67" w:rsidRPr="00A00EB4">
        <w:rPr>
          <w:lang w:val="fr-FR"/>
        </w:rPr>
        <w:t> :</w:t>
      </w:r>
      <w:r w:rsidRPr="00A00EB4">
        <w:rPr>
          <w:lang w:val="fr-FR"/>
        </w:rPr>
        <w:t xml:space="preserve"> LLC (DDEX).  Seuls le Mexique et DDEX ont répondu aux deux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>circulaires C.CWS</w:t>
      </w:r>
      <w:r w:rsidR="0065683B">
        <w:rPr>
          <w:lang w:val="fr-FR"/>
        </w:rPr>
        <w:t> </w:t>
      </w:r>
      <w:r w:rsidRPr="00A00EB4">
        <w:rPr>
          <w:lang w:val="fr-FR"/>
        </w:rPr>
        <w:t>156 et C.CWS</w:t>
      </w:r>
      <w:r w:rsidR="0065683B">
        <w:rPr>
          <w:lang w:val="fr-FR"/>
        </w:rPr>
        <w:t> </w:t>
      </w:r>
      <w:r w:rsidRPr="00A00EB4">
        <w:rPr>
          <w:lang w:val="fr-FR"/>
        </w:rPr>
        <w:t>171.</w:t>
      </w:r>
    </w:p>
    <w:p w14:paraId="4D70954D" w14:textId="60530710" w:rsidR="00BC2DAD" w:rsidRPr="00A00EB4" w:rsidRDefault="00BC2DAD" w:rsidP="0065683B">
      <w:pPr>
        <w:pStyle w:val="ONUMFS"/>
        <w:rPr>
          <w:szCs w:val="22"/>
          <w:lang w:val="fr-FR"/>
        </w:rPr>
      </w:pPr>
      <w:bookmarkStart w:id="6" w:name="_Hlk150348395"/>
      <w:r w:rsidRPr="00A00EB4">
        <w:rPr>
          <w:lang w:val="fr-FR"/>
        </w:rPr>
        <w:t>Cinq membres ayant répondu ont déclaré qu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ils appuyaient les suggestions contenues dans le projet révisé ou n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avaient aucun commentaire à formul</w:t>
      </w:r>
      <w:r w:rsidR="00A00EB4" w:rsidRPr="00A00EB4">
        <w:rPr>
          <w:lang w:val="fr-FR"/>
        </w:rPr>
        <w:t>er.  Le</w:t>
      </w:r>
      <w:r w:rsidRPr="00A00EB4">
        <w:rPr>
          <w:lang w:val="fr-FR"/>
        </w:rPr>
        <w:t>urs observations sont les suivantes</w:t>
      </w:r>
      <w:r w:rsidR="00F55B67" w:rsidRPr="00A00EB4">
        <w:rPr>
          <w:lang w:val="fr-FR"/>
        </w:rPr>
        <w:t> :</w:t>
      </w:r>
    </w:p>
    <w:p w14:paraId="6C6529AD" w14:textId="585CD7F5" w:rsidR="00F55B67" w:rsidRPr="00A00EB4" w:rsidRDefault="00BC2DAD" w:rsidP="003A3949">
      <w:pPr>
        <w:pStyle w:val="ONUMFS"/>
        <w:numPr>
          <w:ilvl w:val="0"/>
          <w:numId w:val="15"/>
        </w:numPr>
        <w:spacing w:after="120"/>
        <w:ind w:left="1134" w:hanging="567"/>
        <w:rPr>
          <w:lang w:val="fr-FR"/>
        </w:rPr>
      </w:pPr>
      <w:proofErr w:type="gramStart"/>
      <w:r w:rsidRPr="00A00EB4">
        <w:rPr>
          <w:lang w:val="fr-FR"/>
        </w:rPr>
        <w:t>la</w:t>
      </w:r>
      <w:proofErr w:type="gramEnd"/>
      <w:r w:rsidRPr="00A00EB4">
        <w:rPr>
          <w:lang w:val="fr-FR"/>
        </w:rPr>
        <w:t xml:space="preserve"> Chine et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Espagne ont déclaré qu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elles n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avaient aucun commentaire;</w:t>
      </w:r>
    </w:p>
    <w:p w14:paraId="29A3FFC7" w14:textId="1ABB5521" w:rsidR="00BC2DAD" w:rsidRPr="00A00EB4" w:rsidRDefault="00BC2DAD" w:rsidP="003A3949">
      <w:pPr>
        <w:pStyle w:val="ONUMFS"/>
        <w:numPr>
          <w:ilvl w:val="0"/>
          <w:numId w:val="15"/>
        </w:numPr>
        <w:spacing w:after="120"/>
        <w:ind w:left="1134" w:hanging="567"/>
        <w:rPr>
          <w:szCs w:val="22"/>
          <w:lang w:val="fr-FR"/>
        </w:rPr>
      </w:pPr>
      <w:proofErr w:type="gramStart"/>
      <w:r w:rsidRPr="00A00EB4">
        <w:rPr>
          <w:lang w:val="fr-FR"/>
        </w:rPr>
        <w:t>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Australie</w:t>
      </w:r>
      <w:proofErr w:type="gramEnd"/>
      <w:r w:rsidRPr="00A00EB4">
        <w:rPr>
          <w:lang w:val="fr-FR"/>
        </w:rPr>
        <w:t xml:space="preserve"> a déclaré que les parties prenantes australiennes n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 xml:space="preserve">avaient émis aucune inquiétude quant à la proposition révisée sur les points de vue énumérés au </w:t>
      </w:r>
      <w:r w:rsidR="00F55B67" w:rsidRPr="00A00EB4">
        <w:rPr>
          <w:lang w:val="fr-FR"/>
        </w:rPr>
        <w:t>paragraphe 8</w:t>
      </w:r>
      <w:r w:rsidRPr="00A00EB4">
        <w:rPr>
          <w:lang w:val="fr-FR"/>
        </w:rPr>
        <w:t xml:space="preserve"> ci</w:t>
      </w:r>
      <w:r w:rsidR="0065683B">
        <w:rPr>
          <w:lang w:val="fr-FR"/>
        </w:rPr>
        <w:noBreakHyphen/>
      </w:r>
      <w:r w:rsidRPr="00A00EB4">
        <w:rPr>
          <w:lang w:val="fr-FR"/>
        </w:rPr>
        <w:t>dessus;</w:t>
      </w:r>
    </w:p>
    <w:p w14:paraId="13983B81" w14:textId="76608C00" w:rsidR="00BC2DAD" w:rsidRPr="00A00EB4" w:rsidRDefault="00BC2DAD" w:rsidP="003A3949">
      <w:pPr>
        <w:pStyle w:val="ONUMFS"/>
        <w:numPr>
          <w:ilvl w:val="0"/>
          <w:numId w:val="15"/>
        </w:numPr>
        <w:spacing w:after="120"/>
        <w:ind w:left="1134" w:hanging="567"/>
        <w:rPr>
          <w:szCs w:val="22"/>
          <w:lang w:val="fr-FR"/>
        </w:rPr>
      </w:pPr>
      <w:proofErr w:type="gramStart"/>
      <w:r w:rsidRPr="00A00EB4">
        <w:rPr>
          <w:lang w:val="fr-FR"/>
        </w:rPr>
        <w:t>la</w:t>
      </w:r>
      <w:proofErr w:type="gramEnd"/>
      <w:r w:rsidRPr="00A00EB4">
        <w:rPr>
          <w:lang w:val="fr-FR"/>
        </w:rPr>
        <w:t xml:space="preserve"> Lituanie a indiqué que la bibliothèque nationale lituanienne avait examiné la proposition révisée et qu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elle considérait que les informations fournies dans cette proposition étaient complètes, adéquates et suffisamment claires;  et</w:t>
      </w:r>
    </w:p>
    <w:p w14:paraId="7B3EF7F4" w14:textId="77777777" w:rsidR="0065683B" w:rsidRDefault="00BC2DAD" w:rsidP="0065683B">
      <w:pPr>
        <w:pStyle w:val="ONUMFS"/>
        <w:numPr>
          <w:ilvl w:val="0"/>
          <w:numId w:val="15"/>
        </w:numPr>
        <w:ind w:left="1134" w:hanging="567"/>
        <w:rPr>
          <w:lang w:val="fr-FR"/>
        </w:rPr>
      </w:pPr>
      <w:proofErr w:type="gramStart"/>
      <w:r w:rsidRPr="00A00EB4">
        <w:rPr>
          <w:lang w:val="fr-FR"/>
        </w:rPr>
        <w:t>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ARIPO</w:t>
      </w:r>
      <w:proofErr w:type="gramEnd"/>
      <w:r w:rsidRPr="00A00EB4">
        <w:rPr>
          <w:lang w:val="fr-FR"/>
        </w:rPr>
        <w:t xml:space="preserve"> s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est félicitée des progrès réalisés quant à la proposition visant à mettre en place des moyens structurés de classer les informations relatives au rôle des titulaires du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auteur et aux catégories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œuvres orphelines protégées par le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auteur, et elle a indiqué être prête à s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engager de manière constructive et à encourager ses États membres à en faire de même. 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ARIPO a récemment adopté le Protocole de Kampala sur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enregistrement volontaire du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auteur et des droits connexes qui compte actuellement 12</w:t>
      </w:r>
      <w:r w:rsidR="0065683B">
        <w:t> </w:t>
      </w:r>
      <w:r w:rsidRPr="00A00EB4">
        <w:rPr>
          <w:lang w:val="fr-FR"/>
        </w:rPr>
        <w:t>signatair</w:t>
      </w:r>
      <w:r w:rsidR="00A00EB4" w:rsidRPr="00A00EB4">
        <w:rPr>
          <w:lang w:val="fr-FR"/>
        </w:rPr>
        <w:t>es.  Le</w:t>
      </w:r>
      <w:r w:rsidRPr="00A00EB4">
        <w:rPr>
          <w:lang w:val="fr-FR"/>
        </w:rPr>
        <w:t xml:space="preserve"> protocole entrera en vigueur lorsque cinq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 xml:space="preserve">ratifications/adhésions auront été reçues par le </w:t>
      </w:r>
      <w:r w:rsidR="0065683B">
        <w:t>d</w:t>
      </w:r>
      <w:r w:rsidRPr="00A00EB4">
        <w:rPr>
          <w:lang w:val="fr-FR"/>
        </w:rPr>
        <w:t>irecteur général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AR</w:t>
      </w:r>
      <w:r w:rsidR="00A00EB4" w:rsidRPr="00A00EB4">
        <w:rPr>
          <w:lang w:val="fr-FR"/>
        </w:rPr>
        <w:t>IPO.  Un</w:t>
      </w:r>
      <w:r w:rsidRPr="00A00EB4">
        <w:rPr>
          <w:lang w:val="fr-FR"/>
        </w:rPr>
        <w:t>e fois le protocole en vigueur,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ARIPO examinera les possibilités de tirer parti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initiative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OMPI.</w:t>
      </w:r>
    </w:p>
    <w:p w14:paraId="26E54224" w14:textId="4C8EDD3A" w:rsidR="00BC2DAD" w:rsidRPr="00A00EB4" w:rsidRDefault="00BC2DAD" w:rsidP="0065683B">
      <w:pPr>
        <w:pStyle w:val="ONUMFS"/>
        <w:rPr>
          <w:szCs w:val="22"/>
          <w:lang w:val="fr-FR"/>
        </w:rPr>
      </w:pPr>
      <w:r w:rsidRPr="00A00EB4">
        <w:rPr>
          <w:lang w:val="fr-FR"/>
        </w:rPr>
        <w:t>Quatre membres ou observateurs ayant répondu (DDEX, États</w:t>
      </w:r>
      <w:r w:rsidR="0065683B">
        <w:rPr>
          <w:lang w:val="fr-FR"/>
        </w:rPr>
        <w:noBreakHyphen/>
      </w:r>
      <w:r w:rsidRPr="00A00EB4">
        <w:rPr>
          <w:lang w:val="fr-FR"/>
        </w:rPr>
        <w:t>Unis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Amérique, Mexique et Royaume</w:t>
      </w:r>
      <w:r w:rsidR="0065683B">
        <w:rPr>
          <w:lang w:val="fr-FR"/>
        </w:rPr>
        <w:noBreakHyphen/>
      </w:r>
      <w:r w:rsidRPr="00A00EB4">
        <w:rPr>
          <w:lang w:val="fr-FR"/>
        </w:rPr>
        <w:t>Uni) ont formulé plusieurs suggestions et posé des questio</w:t>
      </w:r>
      <w:r w:rsidR="00A00EB4" w:rsidRPr="00A00EB4">
        <w:rPr>
          <w:lang w:val="fr-FR"/>
        </w:rPr>
        <w:t>ns.  On</w:t>
      </w:r>
      <w:r w:rsidRPr="00A00EB4">
        <w:rPr>
          <w:lang w:val="fr-FR"/>
        </w:rPr>
        <w:t xml:space="preserve"> trouvera ci</w:t>
      </w:r>
      <w:r w:rsidR="0065683B">
        <w:rPr>
          <w:lang w:val="fr-FR"/>
        </w:rPr>
        <w:noBreakHyphen/>
      </w:r>
      <w:r w:rsidRPr="00A00EB4">
        <w:rPr>
          <w:lang w:val="fr-FR"/>
        </w:rPr>
        <w:t>après un résumé de leurs réponses</w:t>
      </w:r>
      <w:r w:rsidR="00F55B67" w:rsidRPr="00A00EB4">
        <w:rPr>
          <w:lang w:val="fr-FR"/>
        </w:rPr>
        <w:t> :</w:t>
      </w:r>
    </w:p>
    <w:p w14:paraId="625663D5" w14:textId="77777777" w:rsidR="0065683B" w:rsidRPr="003A3949" w:rsidRDefault="00BC2DAD" w:rsidP="009C24F0">
      <w:pPr>
        <w:pStyle w:val="ONUMFS"/>
        <w:numPr>
          <w:ilvl w:val="1"/>
          <w:numId w:val="6"/>
        </w:numPr>
        <w:rPr>
          <w:spacing w:val="-2"/>
          <w:lang w:val="fr-FR"/>
        </w:rPr>
      </w:pPr>
      <w:r w:rsidRPr="003A3949">
        <w:rPr>
          <w:spacing w:val="-2"/>
          <w:lang w:val="fr-FR"/>
        </w:rPr>
        <w:t>Le Mexique soutient globalement les propositions contenues dans la circulaire et suggère d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 xml:space="preserve">ajouter une catégorie supplémentaire pour les œuvres, appelée </w:t>
      </w:r>
      <w:r w:rsidR="00F55B67" w:rsidRPr="003A3949">
        <w:rPr>
          <w:spacing w:val="-2"/>
          <w:lang w:val="fr-FR"/>
        </w:rPr>
        <w:t>“e</w:t>
      </w:r>
      <w:r w:rsidRPr="003A3949">
        <w:rPr>
          <w:spacing w:val="-2"/>
          <w:lang w:val="fr-FR"/>
        </w:rPr>
        <w:t>nregistrements sur le terrai</w:t>
      </w:r>
      <w:r w:rsidR="00F55B67" w:rsidRPr="003A3949">
        <w:rPr>
          <w:spacing w:val="-2"/>
          <w:lang w:val="fr-FR"/>
        </w:rPr>
        <w:t>n”</w:t>
      </w:r>
      <w:r w:rsidRPr="003A3949">
        <w:rPr>
          <w:spacing w:val="-2"/>
          <w:lang w:val="fr-FR"/>
        </w:rPr>
        <w:t xml:space="preserve">, qui correspondrait </w:t>
      </w:r>
      <w:proofErr w:type="gramStart"/>
      <w:r w:rsidRPr="003A3949">
        <w:rPr>
          <w:spacing w:val="-2"/>
          <w:lang w:val="fr-FR"/>
        </w:rPr>
        <w:t>aux enregistrements audio</w:t>
      </w:r>
      <w:proofErr w:type="gramEnd"/>
      <w:r w:rsidRPr="003A3949">
        <w:rPr>
          <w:spacing w:val="-2"/>
          <w:lang w:val="fr-FR"/>
        </w:rPr>
        <w:t xml:space="preserve"> effectués en dehors d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un studio d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enregistrement, et plus particulièrement à l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enregistrement de chansons traditionnelles, de contes et d</w:t>
      </w:r>
      <w:r w:rsidR="00F55B67" w:rsidRPr="003A3949">
        <w:rPr>
          <w:spacing w:val="-2"/>
          <w:lang w:val="fr-FR"/>
        </w:rPr>
        <w:t>’</w:t>
      </w:r>
      <w:r w:rsidRPr="003A3949">
        <w:rPr>
          <w:spacing w:val="-2"/>
          <w:lang w:val="fr-FR"/>
        </w:rPr>
        <w:t>autres récits des populations autochtones mexicaines.</w:t>
      </w:r>
    </w:p>
    <w:bookmarkEnd w:id="6"/>
    <w:p w14:paraId="2A0BA31C" w14:textId="6B90A1E8" w:rsidR="0065683B" w:rsidRDefault="00BC2DAD" w:rsidP="009C24F0">
      <w:pPr>
        <w:pStyle w:val="ONUMFS"/>
        <w:numPr>
          <w:ilvl w:val="1"/>
          <w:numId w:val="6"/>
        </w:numPr>
        <w:rPr>
          <w:lang w:val="fr-FR"/>
        </w:rPr>
      </w:pPr>
      <w:r w:rsidRPr="00A00EB4">
        <w:rPr>
          <w:lang w:val="fr-FR"/>
        </w:rPr>
        <w:t>Le Royaume</w:t>
      </w:r>
      <w:r w:rsidR="0065683B">
        <w:rPr>
          <w:lang w:val="fr-FR"/>
        </w:rPr>
        <w:noBreakHyphen/>
      </w:r>
      <w:r w:rsidRPr="00A00EB4">
        <w:rPr>
          <w:lang w:val="fr-FR"/>
        </w:rPr>
        <w:t>Uni estime que la proposition utilise judicieusement les meilleures pratiques en se fondant sur les normes internationales pour définir les rôles des titulaires de droits et les catégories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œuvr</w:t>
      </w:r>
      <w:r w:rsidR="00A00EB4" w:rsidRPr="00A00EB4">
        <w:rPr>
          <w:lang w:val="fr-FR"/>
        </w:rPr>
        <w:t>es.  Il</w:t>
      </w:r>
      <w:r w:rsidRPr="00A00EB4">
        <w:rPr>
          <w:lang w:val="fr-FR"/>
        </w:rPr>
        <w:t xml:space="preserve"> a proposé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élargir le nombre de sous</w:t>
      </w:r>
      <w:r w:rsidR="0065683B">
        <w:rPr>
          <w:lang w:val="fr-FR"/>
        </w:rPr>
        <w:noBreakHyphen/>
      </w:r>
      <w:r w:rsidRPr="00A00EB4">
        <w:rPr>
          <w:lang w:val="fr-FR"/>
        </w:rPr>
        <w:t>catégories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œuvres disponibles pour les programmes informatiques/logiciels, car ceux</w:t>
      </w:r>
      <w:r w:rsidR="0065683B">
        <w:rPr>
          <w:lang w:val="fr-FR"/>
        </w:rPr>
        <w:noBreakHyphen/>
      </w:r>
      <w:r w:rsidRPr="00A00EB4">
        <w:rPr>
          <w:lang w:val="fr-FR"/>
        </w:rPr>
        <w:t>ci ne sont représentés que par une seule catégorie globale (“Système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information”) et peuvent couvrir toute une série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applications différent</w:t>
      </w:r>
      <w:r w:rsidR="00A00EB4" w:rsidRPr="00A00EB4">
        <w:rPr>
          <w:lang w:val="fr-FR"/>
        </w:rPr>
        <w:t>es.  Il</w:t>
      </w:r>
      <w:r w:rsidRPr="00A00EB4">
        <w:rPr>
          <w:lang w:val="fr-FR"/>
        </w:rPr>
        <w:t xml:space="preserve"> a également suggéré de développer à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avenir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autres catégories pour couvrir les œuvres et les titulaires de droits non professionne</w:t>
      </w:r>
      <w:r w:rsidR="00A00EB4" w:rsidRPr="00A00EB4">
        <w:rPr>
          <w:lang w:val="fr-FR"/>
        </w:rPr>
        <w:t>ls.  Le</w:t>
      </w:r>
      <w:r w:rsidRPr="00A00EB4">
        <w:rPr>
          <w:lang w:val="fr-FR"/>
        </w:rPr>
        <w:t xml:space="preserve">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auteur s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applique à une grande variété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œuvres et peut être créé par des personnes qui ne sont pas des professionnels.</w:t>
      </w:r>
    </w:p>
    <w:p w14:paraId="69DC3806" w14:textId="6E7873FD" w:rsidR="00BC2DAD" w:rsidRPr="00A00EB4" w:rsidRDefault="00BC2DAD" w:rsidP="003A3949">
      <w:pPr>
        <w:pStyle w:val="ONUMFS"/>
        <w:numPr>
          <w:ilvl w:val="1"/>
          <w:numId w:val="6"/>
        </w:numPr>
        <w:spacing w:after="120"/>
        <w:rPr>
          <w:szCs w:val="22"/>
          <w:lang w:val="fr-FR"/>
        </w:rPr>
      </w:pPr>
      <w:r w:rsidRPr="00A00EB4">
        <w:rPr>
          <w:lang w:val="fr-FR"/>
        </w:rPr>
        <w:t>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Office des brevets et des marques des États</w:t>
      </w:r>
      <w:r w:rsidR="0065683B">
        <w:rPr>
          <w:lang w:val="fr-FR"/>
        </w:rPr>
        <w:noBreakHyphen/>
      </w:r>
      <w:r w:rsidRPr="00A00EB4">
        <w:rPr>
          <w:lang w:val="fr-FR"/>
        </w:rPr>
        <w:t>Unis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Amérique (USPTO), conjointement avec le Bureau du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auteur des États</w:t>
      </w:r>
      <w:r w:rsidR="0065683B">
        <w:rPr>
          <w:lang w:val="fr-FR"/>
        </w:rPr>
        <w:noBreakHyphen/>
      </w:r>
      <w:r w:rsidRPr="00A00EB4">
        <w:rPr>
          <w:lang w:val="fr-FR"/>
        </w:rPr>
        <w:t>Unis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Amérique (USCO), a formulé des observations exhaustives dont les principaux points sont indiqués ci</w:t>
      </w:r>
      <w:r w:rsidR="0065683B">
        <w:rPr>
          <w:lang w:val="fr-FR"/>
        </w:rPr>
        <w:noBreakHyphen/>
      </w:r>
      <w:r w:rsidRPr="00A00EB4">
        <w:rPr>
          <w:lang w:val="fr-FR"/>
        </w:rPr>
        <w:t>après.</w:t>
      </w:r>
    </w:p>
    <w:p w14:paraId="52999F0C" w14:textId="2DD1071E" w:rsidR="00F55B67" w:rsidRPr="003A3949" w:rsidRDefault="00BC2DAD" w:rsidP="003A3949">
      <w:pPr>
        <w:pStyle w:val="ONUMFS"/>
        <w:numPr>
          <w:ilvl w:val="0"/>
          <w:numId w:val="16"/>
        </w:numPr>
        <w:spacing w:after="120"/>
        <w:ind w:left="1701" w:hanging="567"/>
        <w:rPr>
          <w:lang w:val="fr-FR"/>
        </w:rPr>
      </w:pPr>
      <w:r w:rsidRPr="003A3949">
        <w:rPr>
          <w:lang w:val="fr-FR"/>
        </w:rPr>
        <w:t>Concernant l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étendue et l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objectif de la proposition</w:t>
      </w:r>
      <w:r w:rsidR="00F55B67" w:rsidRPr="003A3949">
        <w:rPr>
          <w:lang w:val="fr-FR"/>
        </w:rPr>
        <w:t> :</w:t>
      </w:r>
      <w:r w:rsidRPr="003A3949">
        <w:rPr>
          <w:lang w:val="fr-FR"/>
        </w:rPr>
        <w:t xml:space="preserve"> La proposition révisée risque d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aller au</w:t>
      </w:r>
      <w:r w:rsidR="0065683B" w:rsidRPr="003A3949">
        <w:rPr>
          <w:lang w:val="fr-FR"/>
        </w:rPr>
        <w:noBreakHyphen/>
      </w:r>
      <w:r w:rsidRPr="003A3949">
        <w:rPr>
          <w:lang w:val="fr-FR"/>
        </w:rPr>
        <w:t>delà des paramètres initiaux et susciter des inquiétudes quant à une “dérive de la mission”.  La proposition n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est pas axée sur l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élaboration d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un schéma pour l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échange de données entre les offices de propriété intellectuelle, mais plutôt sur l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élargissement des catégories de “rôles” et un classement structuré des “types” d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œuvres en rapport avec la gestion de l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information en matière de droit d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auteur et l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octroi de licences par des organisations qui ne sont pas des offices de propriété intellectuel</w:t>
      </w:r>
      <w:r w:rsidR="00A00EB4" w:rsidRPr="003A3949">
        <w:rPr>
          <w:lang w:val="fr-FR"/>
        </w:rPr>
        <w:t>le.  La</w:t>
      </w:r>
      <w:r w:rsidRPr="003A3949">
        <w:rPr>
          <w:lang w:val="fr-FR"/>
        </w:rPr>
        <w:t xml:space="preserve"> proposition initiale relative aux œuvres orphelines visait à “faciliter la mise en place de normes techniques compatibles entre elles dans le cas où d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autres pays décideraient d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inclure des œuvres orphelines dans une base de données accessible au public et où il serait nécessaire d</w:t>
      </w:r>
      <w:r w:rsidR="00F55B67" w:rsidRPr="003A3949">
        <w:rPr>
          <w:lang w:val="fr-FR"/>
        </w:rPr>
        <w:t>’</w:t>
      </w:r>
      <w:r w:rsidRPr="003A3949">
        <w:rPr>
          <w:u w:val="single"/>
          <w:lang w:val="fr-FR"/>
        </w:rPr>
        <w:t>échanger</w:t>
      </w:r>
      <w:r w:rsidRPr="003A3949">
        <w:rPr>
          <w:lang w:val="fr-FR"/>
        </w:rPr>
        <w:t xml:space="preserve"> des données”</w:t>
      </w:r>
      <w:r w:rsidRPr="003A3949">
        <w:rPr>
          <w:rStyle w:val="FootnoteReference"/>
          <w:szCs w:val="22"/>
          <w:lang w:val="fr-FR"/>
        </w:rPr>
        <w:footnoteReference w:id="3"/>
      </w:r>
      <w:r w:rsidR="00CC468A" w:rsidRPr="003A3949">
        <w:rPr>
          <w:lang w:val="fr-FR"/>
        </w:rPr>
        <w:t>.</w:t>
      </w:r>
      <w:r w:rsidRPr="003A3949">
        <w:rPr>
          <w:lang w:val="fr-FR"/>
        </w:rPr>
        <w:t xml:space="preserve">  La proposition révisée semble “axée sur la </w:t>
      </w:r>
      <w:r w:rsidRPr="003A3949">
        <w:rPr>
          <w:u w:val="single"/>
          <w:lang w:val="fr-FR"/>
        </w:rPr>
        <w:t>gestion</w:t>
      </w:r>
      <w:r w:rsidRPr="003A3949">
        <w:rPr>
          <w:lang w:val="fr-FR"/>
        </w:rPr>
        <w:t xml:space="preserve"> des métadonnées relatives aux œuvres orphelines protégées par le droit d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auteur” et intègre les contributions de l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industrie sur la manière dont certains titulaires de droits dans certains secteurs, notamment du patrimoine culturel (par exemple, musique et bibliothèques), utilisent les œuvres dans leurs divers scénarios d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octroi de licences.  La manière dont cette proposition facilite l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échange de données entre les offices de propriété intellectuelle, voire entre les offices de propriété intellectuelle et les tiers, n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est pas claire non pl</w:t>
      </w:r>
      <w:r w:rsidR="00A00EB4" w:rsidRPr="003A3949">
        <w:rPr>
          <w:lang w:val="fr-FR"/>
        </w:rPr>
        <w:t>us.  Ce</w:t>
      </w:r>
      <w:r w:rsidRPr="003A3949">
        <w:rPr>
          <w:lang w:val="fr-FR"/>
        </w:rPr>
        <w:t>tte orientation distincte peut être à l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origine des questions et des préoccupations soulevées (ci</w:t>
      </w:r>
      <w:r w:rsidR="0065683B" w:rsidRPr="003A3949">
        <w:rPr>
          <w:lang w:val="fr-FR"/>
        </w:rPr>
        <w:noBreakHyphen/>
      </w:r>
      <w:r w:rsidRPr="003A3949">
        <w:rPr>
          <w:lang w:val="fr-FR"/>
        </w:rPr>
        <w:t>dessous) quant à l</w:t>
      </w:r>
      <w:r w:rsidR="00F55B67" w:rsidRPr="003A3949">
        <w:rPr>
          <w:lang w:val="fr-FR"/>
        </w:rPr>
        <w:t>’</w:t>
      </w:r>
      <w:r w:rsidRPr="003A3949">
        <w:rPr>
          <w:lang w:val="fr-FR"/>
        </w:rPr>
        <w:t>adéquation des mécanismes de groupement et de codage.</w:t>
      </w:r>
    </w:p>
    <w:p w14:paraId="44BB4C0D" w14:textId="6FB6236B" w:rsidR="00F55B67" w:rsidRPr="00A00EB4" w:rsidRDefault="00BC2DAD" w:rsidP="003A3949">
      <w:pPr>
        <w:pStyle w:val="ONUMFS"/>
        <w:numPr>
          <w:ilvl w:val="0"/>
          <w:numId w:val="16"/>
        </w:numPr>
        <w:spacing w:after="120"/>
        <w:ind w:left="1701" w:hanging="567"/>
        <w:rPr>
          <w:lang w:val="fr-FR"/>
        </w:rPr>
      </w:pPr>
      <w:r w:rsidRPr="00A00EB4">
        <w:rPr>
          <w:lang w:val="fr-FR"/>
        </w:rPr>
        <w:t>En ce qui concerne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adéquation des mécanismes de groupement et de codage pour les catégories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“œuvres”, la législation sur le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auteur reconnaît différents types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œuvres créatives susceptibles de bénéficier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une protecti</w:t>
      </w:r>
      <w:r w:rsidR="00A00EB4" w:rsidRPr="00A00EB4">
        <w:rPr>
          <w:lang w:val="fr-FR"/>
        </w:rPr>
        <w:t>on.  Pa</w:t>
      </w:r>
      <w:r w:rsidRPr="00A00EB4">
        <w:rPr>
          <w:lang w:val="fr-FR"/>
        </w:rPr>
        <w:t>rmi les exemples courants que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on trouve dans les traités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OMPI et les législations nationales, on peut citer</w:t>
      </w:r>
      <w:r w:rsidR="00F55B67" w:rsidRPr="00A00EB4">
        <w:rPr>
          <w:lang w:val="fr-FR"/>
        </w:rPr>
        <w:t> :</w:t>
      </w:r>
      <w:r w:rsidRPr="00A00EB4">
        <w:rPr>
          <w:lang w:val="fr-FR"/>
        </w:rPr>
        <w:t xml:space="preserve"> les œuvres littéraires, les œuvres musicales, les œuvres artistiques, les œuvres audiovisuelles, les œuvres des arts appliqués, les œuvres des arts visuels et les œuvres dérivées. 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USPTO et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USCO notent que la version</w:t>
      </w:r>
      <w:r w:rsidR="0065683B">
        <w:rPr>
          <w:lang w:val="fr-FR"/>
        </w:rPr>
        <w:t> </w:t>
      </w:r>
      <w:r w:rsidRPr="00A00EB4">
        <w:rPr>
          <w:lang w:val="fr-FR"/>
        </w:rPr>
        <w:t>7.1 actuelle de la norme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>ST.96 contient neuf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>catégories principales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œuvres créatives et aucune sous</w:t>
      </w:r>
      <w:r w:rsidR="0065683B">
        <w:rPr>
          <w:lang w:val="fr-FR"/>
        </w:rPr>
        <w:noBreakHyphen/>
      </w:r>
      <w:r w:rsidRPr="00A00EB4">
        <w:rPr>
          <w:lang w:val="fr-FR"/>
        </w:rPr>
        <w:t>catégor</w:t>
      </w:r>
      <w:r w:rsidR="00A00EB4" w:rsidRPr="00A00EB4">
        <w:rPr>
          <w:lang w:val="fr-FR"/>
        </w:rPr>
        <w:t>ie.  Le</w:t>
      </w:r>
      <w:r w:rsidRPr="00A00EB4">
        <w:rPr>
          <w:lang w:val="fr-FR"/>
        </w:rPr>
        <w:t xml:space="preserve"> Bureau international propose (</w:t>
      </w:r>
      <w:r w:rsidR="00F55B67" w:rsidRPr="00A00EB4">
        <w:rPr>
          <w:lang w:val="fr-FR"/>
        </w:rPr>
        <w:t>annexe ii)</w:t>
      </w:r>
      <w:r w:rsidRPr="00A00EB4">
        <w:rPr>
          <w:lang w:val="fr-FR"/>
        </w:rPr>
        <w:t xml:space="preserve">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ajouter quatre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 xml:space="preserve">nouvelles catégories (œuvres chorégraphiques, œuvres </w:t>
      </w:r>
      <w:proofErr w:type="spellStart"/>
      <w:r w:rsidRPr="00A00EB4">
        <w:rPr>
          <w:lang w:val="fr-FR"/>
        </w:rPr>
        <w:t>dramatico</w:t>
      </w:r>
      <w:proofErr w:type="spellEnd"/>
      <w:r w:rsidR="0065683B">
        <w:rPr>
          <w:lang w:val="fr-FR"/>
        </w:rPr>
        <w:noBreakHyphen/>
      </w:r>
      <w:r w:rsidRPr="00A00EB4">
        <w:rPr>
          <w:lang w:val="fr-FR"/>
        </w:rPr>
        <w:t>musicales, œuvres cartographiques et systèmes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 xml:space="preserve">information) à un nouveau code </w:t>
      </w:r>
      <w:proofErr w:type="spellStart"/>
      <w:r w:rsidRPr="00A00EB4">
        <w:rPr>
          <w:rFonts w:ascii="Courier New" w:hAnsi="Courier New"/>
          <w:lang w:val="fr-FR"/>
        </w:rPr>
        <w:t>CreativeWorkKindCo</w:t>
      </w:r>
      <w:r w:rsidR="00A00EB4" w:rsidRPr="00A00EB4">
        <w:rPr>
          <w:rFonts w:ascii="Courier New" w:hAnsi="Courier New"/>
          <w:lang w:val="fr-FR"/>
        </w:rPr>
        <w:t>de</w:t>
      </w:r>
      <w:proofErr w:type="spellEnd"/>
      <w:r w:rsidR="00A00EB4" w:rsidRPr="00A00EB4">
        <w:rPr>
          <w:rFonts w:ascii="Courier New" w:hAnsi="Courier New"/>
          <w:lang w:val="fr-FR"/>
        </w:rPr>
        <w:t xml:space="preserve">.  </w:t>
      </w:r>
      <w:r w:rsidR="00A00EB4" w:rsidRPr="00A00EB4">
        <w:rPr>
          <w:lang w:val="fr-FR"/>
        </w:rPr>
        <w:t>Il</w:t>
      </w:r>
      <w:r w:rsidRPr="00A00EB4">
        <w:rPr>
          <w:lang w:val="fr-FR"/>
        </w:rPr>
        <w:t xml:space="preserve"> n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 xml:space="preserve">est pas évident de savoir où et comment le </w:t>
      </w:r>
      <w:proofErr w:type="spellStart"/>
      <w:r w:rsidRPr="00A00EB4">
        <w:rPr>
          <w:lang w:val="fr-FR"/>
        </w:rPr>
        <w:t>code</w:t>
      </w:r>
      <w:r w:rsidRPr="00A00EB4">
        <w:rPr>
          <w:rFonts w:ascii="Courier New" w:hAnsi="Courier New"/>
          <w:lang w:val="fr-FR"/>
        </w:rPr>
        <w:t>CreativeWorkKindCode</w:t>
      </w:r>
      <w:proofErr w:type="spellEnd"/>
      <w:r w:rsidRPr="00A00EB4">
        <w:rPr>
          <w:lang w:val="fr-FR"/>
        </w:rPr>
        <w:t xml:space="preserve"> est censé s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intégrer dans la structure existante de la norme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>ST.96.  En outre,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USPTO et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USCO recommandent</w:t>
      </w:r>
      <w:r w:rsidR="00F55B67" w:rsidRPr="00A00EB4">
        <w:rPr>
          <w:lang w:val="fr-FR"/>
        </w:rPr>
        <w:t xml:space="preserve"> au CWS</w:t>
      </w:r>
      <w:r w:rsidRPr="00A00EB4">
        <w:rPr>
          <w:lang w:val="fr-FR"/>
        </w:rPr>
        <w:t xml:space="preserve">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examiner la proposition afin de s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assurer que la catégorisation et la sous</w:t>
      </w:r>
      <w:r w:rsidR="0065683B">
        <w:rPr>
          <w:lang w:val="fr-FR"/>
        </w:rPr>
        <w:noBreakHyphen/>
      </w:r>
      <w:r w:rsidRPr="00A00EB4">
        <w:rPr>
          <w:lang w:val="fr-FR"/>
        </w:rPr>
        <w:t>catégorisation des œuvres sont conformes aux catégories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œuvres définies dans les traités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OMPI et les législations nationales.</w:t>
      </w:r>
    </w:p>
    <w:p w14:paraId="3E2F5F8F" w14:textId="23236EF9" w:rsidR="00BC2DAD" w:rsidRPr="00A00EB4" w:rsidRDefault="00BC2DAD" w:rsidP="003A3949">
      <w:pPr>
        <w:pStyle w:val="ONUMFS"/>
        <w:numPr>
          <w:ilvl w:val="0"/>
          <w:numId w:val="16"/>
        </w:numPr>
        <w:spacing w:after="120"/>
        <w:ind w:left="1701" w:hanging="567"/>
        <w:rPr>
          <w:szCs w:val="22"/>
          <w:lang w:val="fr-FR"/>
        </w:rPr>
      </w:pPr>
      <w:r w:rsidRPr="00A00EB4">
        <w:rPr>
          <w:lang w:val="fr-FR"/>
        </w:rPr>
        <w:t xml:space="preserve">En ce qui concerne les “codes de rôle” uniques proposés sous </w:t>
      </w:r>
      <w:proofErr w:type="spellStart"/>
      <w:r w:rsidRPr="00A00EB4">
        <w:rPr>
          <w:rFonts w:ascii="Courier New" w:hAnsi="Courier New"/>
          <w:lang w:val="fr-FR"/>
        </w:rPr>
        <w:t>RightsHolderCategory</w:t>
      </w:r>
      <w:proofErr w:type="spellEnd"/>
      <w:r w:rsidRPr="00A00EB4">
        <w:rPr>
          <w:lang w:val="fr-FR"/>
        </w:rPr>
        <w:t>, ils ne semblent pas correspondre à des catégories de titulaires de droits, mais plutôt refléter une longue liste de rôles différents qui contribuent aux œuvres créatives sur le marché. 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USPTO et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USCO craignent que la proposition ne soit source de confusion,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une part parce qu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elle s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écarte des normes sectorielles et des pratiques des offices de propriété intellectuelle et,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autre part, parce qu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elle mélange les “rôles” affiliés au marché et les “titulaires de droits”.</w:t>
      </w:r>
    </w:p>
    <w:p w14:paraId="3ABCB636" w14:textId="597D2D0C" w:rsidR="00BC2DAD" w:rsidRPr="00A00EB4" w:rsidRDefault="00BC2DAD" w:rsidP="003A3949">
      <w:pPr>
        <w:pStyle w:val="ONUMFS"/>
        <w:numPr>
          <w:ilvl w:val="0"/>
          <w:numId w:val="16"/>
        </w:numPr>
        <w:spacing w:after="120"/>
        <w:ind w:left="1701" w:hanging="567"/>
        <w:rPr>
          <w:szCs w:val="22"/>
          <w:lang w:val="fr-FR"/>
        </w:rPr>
      </w:pPr>
      <w:r w:rsidRPr="00A00EB4">
        <w:rPr>
          <w:lang w:val="fr-FR"/>
        </w:rPr>
        <w:t>Concernant le manque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engagement des parties prenantes dont les intérêts peuvent être menacés</w:t>
      </w:r>
      <w:r w:rsidR="00F55B67" w:rsidRPr="00A00EB4">
        <w:rPr>
          <w:lang w:val="fr-FR"/>
        </w:rPr>
        <w:t> :</w:t>
      </w:r>
      <w:r w:rsidRPr="00A00EB4">
        <w:rPr>
          <w:lang w:val="fr-FR"/>
        </w:rPr>
        <w:t xml:space="preserve"> il semble que les parties prenantes concernées n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aient pas apporté de contribution suffisante pour garantir que les propositions et la norme reposent sur un consens</w:t>
      </w:r>
      <w:r w:rsidR="00A00EB4" w:rsidRPr="00A00EB4">
        <w:rPr>
          <w:lang w:val="fr-FR"/>
        </w:rPr>
        <w:t>us.  Il</w:t>
      </w:r>
      <w:r w:rsidRPr="00A00EB4">
        <w:rPr>
          <w:lang w:val="fr-FR"/>
        </w:rPr>
        <w:t xml:space="preserve"> serait souhaitable que des informations soient transmises sur les personnes ayant a répondu et contribué à la proposition initiale et aux versions ultérieur</w:t>
      </w:r>
      <w:r w:rsidR="00A00EB4" w:rsidRPr="00A00EB4">
        <w:rPr>
          <w:lang w:val="fr-FR"/>
        </w:rPr>
        <w:t>es.  Da</w:t>
      </w:r>
      <w:r w:rsidRPr="00A00EB4">
        <w:rPr>
          <w:lang w:val="fr-FR"/>
        </w:rPr>
        <w:t>ns la mesure où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OMPI estime qu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il est important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inclure des informations relatives à la gestion du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auteur dans la norme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>ST.96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OMPI, une contribution plus large des parties prenantes dans le secteur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industrie et du patrimoine culturel concernés est recommand</w:t>
      </w:r>
      <w:r w:rsidR="00A00EB4" w:rsidRPr="00A00EB4">
        <w:rPr>
          <w:lang w:val="fr-FR"/>
        </w:rPr>
        <w:t>ée.  L’a</w:t>
      </w:r>
      <w:r w:rsidRPr="00A00EB4">
        <w:rPr>
          <w:lang w:val="fr-FR"/>
        </w:rPr>
        <w:t>bsence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engagement, malgré la diffusion auprès des secteurs concernés, peut être le signe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un manque de valorisation ou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utilité de cette proposition pour les secteurs concernés.</w:t>
      </w:r>
    </w:p>
    <w:p w14:paraId="2F2D3F83" w14:textId="77777777" w:rsidR="0065683B" w:rsidRDefault="00BC2DAD" w:rsidP="003A3949">
      <w:pPr>
        <w:pStyle w:val="ONUMFS"/>
        <w:numPr>
          <w:ilvl w:val="0"/>
          <w:numId w:val="16"/>
        </w:numPr>
        <w:spacing w:after="120"/>
        <w:ind w:left="1701" w:hanging="567"/>
        <w:rPr>
          <w:lang w:val="fr-FR"/>
        </w:rPr>
      </w:pPr>
      <w:r w:rsidRPr="00A00EB4">
        <w:rPr>
          <w:lang w:val="fr-FR"/>
        </w:rPr>
        <w:t>Concernant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interopérabilité avec des normes sectorielles</w:t>
      </w:r>
      <w:r w:rsidR="00F55B67" w:rsidRPr="00A00EB4">
        <w:rPr>
          <w:lang w:val="fr-FR"/>
        </w:rPr>
        <w:t> :</w:t>
      </w:r>
      <w:r w:rsidRPr="00A00EB4">
        <w:rPr>
          <w:lang w:val="fr-FR"/>
        </w:rPr>
        <w:t xml:space="preserve"> La proposition rassemble des données provenant des normes sectorielles existantes et les modif</w:t>
      </w:r>
      <w:r w:rsidR="00A00EB4" w:rsidRPr="00A00EB4">
        <w:rPr>
          <w:lang w:val="fr-FR"/>
        </w:rPr>
        <w:t>ie.  Ce</w:t>
      </w:r>
      <w:r w:rsidRPr="00A00EB4">
        <w:rPr>
          <w:lang w:val="fr-FR"/>
        </w:rPr>
        <w:t>la ne revient pas à utiliser des normes sectorielles existantes (par exemple, le code international normalisé des enregistrements) pour créer de nouvelles catégories et descriptions uniques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œuvres et de titulaires de droits pour la norme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>ST.96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OMPI. 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une des préoccupations est que la proposition obtenue soit unique et ne fasse pas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objet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un consensus volontaire, ce qui pourrait diminuer la valeur de cette structure pour les pays souhaitant développer ou maintenir des bases de données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œuvres orphelines dépendant de cette structu</w:t>
      </w:r>
      <w:r w:rsidR="00A00EB4" w:rsidRPr="00A00EB4">
        <w:rPr>
          <w:lang w:val="fr-FR"/>
        </w:rPr>
        <w:t>re.  Un</w:t>
      </w:r>
      <w:r w:rsidRPr="00A00EB4">
        <w:rPr>
          <w:lang w:val="fr-FR"/>
        </w:rPr>
        <w:t>e autre préoccupation tient au fait que la catégorisation ne correspond pas aux catégories figurant dans la législation sur le droit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auteur et dans les traités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OMPI en la matière.</w:t>
      </w:r>
    </w:p>
    <w:p w14:paraId="3BCDCCC7" w14:textId="0AFED65D" w:rsidR="0065683B" w:rsidRDefault="00BC2DAD" w:rsidP="009C24F0">
      <w:pPr>
        <w:pStyle w:val="ONUMFS"/>
        <w:numPr>
          <w:ilvl w:val="0"/>
          <w:numId w:val="16"/>
        </w:numPr>
        <w:ind w:left="1701" w:hanging="567"/>
        <w:rPr>
          <w:lang w:val="fr-FR"/>
        </w:rPr>
      </w:pPr>
      <w:r w:rsidRPr="00A00EB4">
        <w:rPr>
          <w:lang w:val="fr-FR"/>
        </w:rPr>
        <w:t>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USPTO et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USCO n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ont pas pu appuyer la proposition révisée dans sa forme actuelle et craignent que cette proposition n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aille au</w:t>
      </w:r>
      <w:r w:rsidR="0065683B">
        <w:rPr>
          <w:lang w:val="fr-FR"/>
        </w:rPr>
        <w:noBreakHyphen/>
      </w:r>
      <w:r w:rsidRPr="00A00EB4">
        <w:rPr>
          <w:lang w:val="fr-FR"/>
        </w:rPr>
        <w:t>delà de la fonction prévue par la proposition initiale de base de données sur les œuvres orphelin</w:t>
      </w:r>
      <w:r w:rsidR="00A00EB4" w:rsidRPr="00A00EB4">
        <w:rPr>
          <w:lang w:val="fr-FR"/>
        </w:rPr>
        <w:t>es.  El</w:t>
      </w:r>
      <w:r w:rsidRPr="00A00EB4">
        <w:rPr>
          <w:lang w:val="fr-FR"/>
        </w:rPr>
        <w:t>les ont demandé des informations supplémentaires sur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objectif de la proposition et les consultations ayant contribué à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 xml:space="preserve">élaborer, </w:t>
      </w:r>
      <w:r w:rsidR="00F55B67" w:rsidRPr="00A00EB4">
        <w:rPr>
          <w:lang w:val="fr-FR"/>
        </w:rPr>
        <w:t>y compris</w:t>
      </w:r>
      <w:r w:rsidRPr="00A00EB4">
        <w:rPr>
          <w:lang w:val="fr-FR"/>
        </w:rPr>
        <w:t xml:space="preserve"> une liste des personnes engagées par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OMPI pour concevoir la proposition ainsi que des personnes ayant refusé d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y apporter une contribution substantielle, afin de mieux comprendre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étendue des contributions reçues et leur pertinence au regard de la proposition initiale.</w:t>
      </w:r>
    </w:p>
    <w:p w14:paraId="127C9EEE" w14:textId="75EA6266" w:rsidR="00F55B67" w:rsidRPr="00A00EB4" w:rsidRDefault="00BC2DAD" w:rsidP="009C24F0">
      <w:pPr>
        <w:pStyle w:val="ONUMFS"/>
        <w:numPr>
          <w:ilvl w:val="1"/>
          <w:numId w:val="6"/>
        </w:numPr>
        <w:rPr>
          <w:lang w:val="fr-FR"/>
        </w:rPr>
      </w:pPr>
      <w:r w:rsidRPr="00A00EB4">
        <w:rPr>
          <w:lang w:val="fr-FR"/>
        </w:rPr>
        <w:t>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organisation DDEX a estimé que la proposition était globalement satisfaisante, mais que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extension proposée risquait de ne pas fonctionner comme prévu dans le domaine de la musique, et elle a formulé des observations sur les éléments du schéma XML de la norme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>ST.96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OMPI.</w:t>
      </w:r>
    </w:p>
    <w:p w14:paraId="7BCBA2B0" w14:textId="60615EBF" w:rsidR="00BC2DAD" w:rsidRPr="00A00EB4" w:rsidRDefault="00BC2DAD" w:rsidP="009C24F0">
      <w:pPr>
        <w:pStyle w:val="Heading2"/>
        <w:rPr>
          <w:szCs w:val="22"/>
        </w:rPr>
      </w:pPr>
      <w:r w:rsidRPr="00A00EB4">
        <w:t>Propositions relatives aux prochaines étapes</w:t>
      </w:r>
    </w:p>
    <w:p w14:paraId="4E2D2BC1" w14:textId="3189CCCD" w:rsidR="00BC2DAD" w:rsidRPr="00A00EB4" w:rsidRDefault="00BC2DAD" w:rsidP="0065683B">
      <w:pPr>
        <w:pStyle w:val="ONUMFS"/>
        <w:rPr>
          <w:szCs w:val="22"/>
          <w:lang w:val="fr-FR"/>
        </w:rPr>
      </w:pPr>
      <w:r w:rsidRPr="00A00EB4">
        <w:rPr>
          <w:color w:val="000000"/>
          <w:lang w:val="fr-FR"/>
        </w:rPr>
        <w:t>Compte tenu des réponses reçues à la circulaire C.CWS</w:t>
      </w:r>
      <w:r w:rsidR="0065683B">
        <w:rPr>
          <w:color w:val="000000"/>
          <w:lang w:val="fr-FR"/>
        </w:rPr>
        <w:t> </w:t>
      </w:r>
      <w:r w:rsidRPr="00A00EB4">
        <w:rPr>
          <w:color w:val="000000"/>
          <w:lang w:val="fr-FR"/>
        </w:rPr>
        <w:t>171, le Bureau international estime que de nouvelles discussions entre les parties prenantes concernées semblent nécessaires afin de définir les prochaines étapes, en vue d</w:t>
      </w:r>
      <w:r w:rsidR="00F55B67" w:rsidRPr="00A00EB4">
        <w:rPr>
          <w:color w:val="000000"/>
          <w:lang w:val="fr-FR"/>
        </w:rPr>
        <w:t>’</w:t>
      </w:r>
      <w:r w:rsidRPr="00A00EB4">
        <w:rPr>
          <w:color w:val="000000"/>
          <w:lang w:val="fr-FR"/>
        </w:rPr>
        <w:t>établir la proposition finale qui devait être présentée à la présente sessi</w:t>
      </w:r>
      <w:r w:rsidR="00A00EB4" w:rsidRPr="00A00EB4">
        <w:rPr>
          <w:color w:val="000000"/>
          <w:lang w:val="fr-FR"/>
        </w:rPr>
        <w:t xml:space="preserve">on.  </w:t>
      </w:r>
      <w:r w:rsidR="00A00EB4" w:rsidRPr="00A00EB4">
        <w:rPr>
          <w:lang w:val="fr-FR"/>
        </w:rPr>
        <w:t>Le</w:t>
      </w:r>
      <w:r w:rsidRPr="00A00EB4">
        <w:rPr>
          <w:lang w:val="fr-FR"/>
        </w:rPr>
        <w:t xml:space="preserve"> Bureau international propose de réexaminer les deux</w:t>
      </w:r>
      <w:r w:rsidR="00CC468A" w:rsidRPr="00A00EB4">
        <w:rPr>
          <w:lang w:val="fr-FR"/>
        </w:rPr>
        <w:t> </w:t>
      </w:r>
      <w:r w:rsidRPr="00A00EB4">
        <w:rPr>
          <w:lang w:val="fr-FR"/>
        </w:rPr>
        <w:t>options présentées dans le document</w:t>
      </w:r>
      <w:r w:rsidR="0065683B">
        <w:rPr>
          <w:lang w:val="fr-FR"/>
        </w:rPr>
        <w:t> </w:t>
      </w:r>
      <w:r w:rsidRPr="00A00EB4">
        <w:rPr>
          <w:lang w:val="fr-FR"/>
        </w:rPr>
        <w:t xml:space="preserve">CWS/10/8, auxquelles il est fait référence au </w:t>
      </w:r>
      <w:r w:rsidR="00F55B67" w:rsidRPr="00A00EB4">
        <w:rPr>
          <w:lang w:val="fr-FR"/>
        </w:rPr>
        <w:t>paragraphe 7</w:t>
      </w:r>
      <w:r w:rsidRPr="00A00EB4">
        <w:rPr>
          <w:lang w:val="fr-FR"/>
        </w:rPr>
        <w:t>, afin de déterminer les prochaines étapes de l</w:t>
      </w:r>
      <w:r w:rsidR="00F55B67" w:rsidRPr="00A00EB4">
        <w:rPr>
          <w:lang w:val="fr-FR"/>
        </w:rPr>
        <w:t>’</w:t>
      </w:r>
      <w:r w:rsidRPr="00A00EB4">
        <w:rPr>
          <w:lang w:val="fr-FR"/>
        </w:rPr>
        <w:t>élaboration de la proposition finale.</w:t>
      </w:r>
    </w:p>
    <w:p w14:paraId="7B533C00" w14:textId="437D863B" w:rsidR="00BC2DAD" w:rsidRPr="009C24F0" w:rsidRDefault="00BC2DAD" w:rsidP="009C24F0">
      <w:pPr>
        <w:pStyle w:val="ONUMFS"/>
        <w:ind w:left="5533"/>
        <w:rPr>
          <w:i/>
        </w:rPr>
      </w:pPr>
      <w:r w:rsidRPr="009C24F0">
        <w:rPr>
          <w:i/>
        </w:rPr>
        <w:t>Le CWS est invité</w:t>
      </w:r>
    </w:p>
    <w:p w14:paraId="4331C143" w14:textId="77777777" w:rsidR="00BC2DAD" w:rsidRPr="009C24F0" w:rsidRDefault="00BC2DAD" w:rsidP="009C24F0">
      <w:pPr>
        <w:pStyle w:val="ONUMFS"/>
        <w:numPr>
          <w:ilvl w:val="1"/>
          <w:numId w:val="6"/>
        </w:numPr>
        <w:ind w:left="5533" w:firstLine="704"/>
        <w:rPr>
          <w:i/>
        </w:rPr>
      </w:pPr>
      <w:proofErr w:type="gramStart"/>
      <w:r w:rsidRPr="009C24F0">
        <w:rPr>
          <w:i/>
        </w:rPr>
        <w:t>à</w:t>
      </w:r>
      <w:proofErr w:type="gramEnd"/>
      <w:r w:rsidRPr="009C24F0">
        <w:rPr>
          <w:i/>
        </w:rPr>
        <w:t xml:space="preserve"> prendre note du contenu du présent document et</w:t>
      </w:r>
    </w:p>
    <w:p w14:paraId="66D00B84" w14:textId="15ECC0A8" w:rsidR="00BC2DAD" w:rsidRPr="009C24F0" w:rsidRDefault="00BC2DAD" w:rsidP="009C24F0">
      <w:pPr>
        <w:pStyle w:val="ONUMFS"/>
        <w:numPr>
          <w:ilvl w:val="1"/>
          <w:numId w:val="6"/>
        </w:numPr>
        <w:ind w:left="5533" w:firstLine="704"/>
        <w:rPr>
          <w:i/>
        </w:rPr>
      </w:pPr>
      <w:proofErr w:type="gramStart"/>
      <w:r w:rsidRPr="009C24F0">
        <w:rPr>
          <w:i/>
        </w:rPr>
        <w:t>à</w:t>
      </w:r>
      <w:proofErr w:type="gramEnd"/>
      <w:r w:rsidRPr="009C24F0">
        <w:rPr>
          <w:i/>
        </w:rPr>
        <w:t xml:space="preserve"> examiner les prochaines étapes de l</w:t>
      </w:r>
      <w:r w:rsidR="00F55B67" w:rsidRPr="009C24F0">
        <w:rPr>
          <w:i/>
        </w:rPr>
        <w:t>’</w:t>
      </w:r>
      <w:r w:rsidRPr="009C24F0">
        <w:rPr>
          <w:i/>
        </w:rPr>
        <w:t>élaboration de la proposition finale, ainsi qu</w:t>
      </w:r>
      <w:r w:rsidR="00F55B67" w:rsidRPr="009C24F0">
        <w:rPr>
          <w:i/>
        </w:rPr>
        <w:t>’</w:t>
      </w:r>
      <w:r w:rsidRPr="009C24F0">
        <w:rPr>
          <w:i/>
        </w:rPr>
        <w:t xml:space="preserve">il est indiqué au </w:t>
      </w:r>
      <w:r w:rsidR="00F55B67" w:rsidRPr="009C24F0">
        <w:rPr>
          <w:i/>
        </w:rPr>
        <w:t>paragraphe 1</w:t>
      </w:r>
      <w:r w:rsidRPr="009C24F0">
        <w:rPr>
          <w:i/>
        </w:rPr>
        <w:t>2, et à se prononcer à cet égard.</w:t>
      </w:r>
    </w:p>
    <w:p w14:paraId="3BC38C93" w14:textId="33D5CF64" w:rsidR="000F5E56" w:rsidRPr="00A00EB4" w:rsidRDefault="00BC2DAD" w:rsidP="00BC2DAD">
      <w:pPr>
        <w:pStyle w:val="Endofdocument-Annex"/>
        <w:rPr>
          <w:lang w:val="fr-FR"/>
        </w:rPr>
      </w:pPr>
      <w:r w:rsidRPr="00A00EB4">
        <w:rPr>
          <w:lang w:val="fr-FR"/>
        </w:rPr>
        <w:t>[Fin du document]</w:t>
      </w:r>
    </w:p>
    <w:sectPr w:rsidR="000F5E56" w:rsidRPr="00A00EB4" w:rsidSect="00A840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229BB" w14:textId="77777777" w:rsidR="00BC2DAD" w:rsidRDefault="00BC2DAD">
      <w:r>
        <w:separator/>
      </w:r>
    </w:p>
  </w:endnote>
  <w:endnote w:type="continuationSeparator" w:id="0">
    <w:p w14:paraId="1B47F90C" w14:textId="77777777" w:rsidR="00BC2DAD" w:rsidRPr="009D30E6" w:rsidRDefault="00BC2DA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32A11AF" w14:textId="77777777" w:rsidR="00BC2DAD" w:rsidRPr="009D30E6" w:rsidRDefault="00BC2DA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D1706CE" w14:textId="77777777" w:rsidR="00BC2DAD" w:rsidRPr="009D30E6" w:rsidRDefault="00BC2DA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0ED1" w14:textId="77777777" w:rsidR="0065683B" w:rsidRDefault="00656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3FBD" w14:textId="77777777" w:rsidR="0065683B" w:rsidRDefault="006568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39EF" w14:textId="77777777" w:rsidR="0065683B" w:rsidRDefault="00656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895C" w14:textId="77777777" w:rsidR="00BC2DAD" w:rsidRDefault="00BC2DAD">
      <w:r>
        <w:separator/>
      </w:r>
    </w:p>
  </w:footnote>
  <w:footnote w:type="continuationSeparator" w:id="0">
    <w:p w14:paraId="768C7997" w14:textId="77777777" w:rsidR="00BC2DAD" w:rsidRDefault="00BC2DAD" w:rsidP="007461F1">
      <w:r>
        <w:separator/>
      </w:r>
    </w:p>
    <w:p w14:paraId="06218C9F" w14:textId="77777777" w:rsidR="00BC2DAD" w:rsidRPr="009D30E6" w:rsidRDefault="00BC2DA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B88334C" w14:textId="77777777" w:rsidR="00BC2DAD" w:rsidRPr="009D30E6" w:rsidRDefault="00BC2DA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41366D7B" w14:textId="6D6E5141" w:rsidR="00BC2DAD" w:rsidRPr="00A00EB4" w:rsidRDefault="00BC2DAD" w:rsidP="00F86D45">
      <w:pPr>
        <w:pStyle w:val="FootnoteText"/>
        <w:tabs>
          <w:tab w:val="left" w:pos="567"/>
        </w:tabs>
        <w:rPr>
          <w:szCs w:val="18"/>
          <w:lang w:val="fr-FR"/>
        </w:rPr>
      </w:pPr>
      <w:r w:rsidRPr="00A00EB4">
        <w:rPr>
          <w:rStyle w:val="FootnoteReference"/>
          <w:szCs w:val="18"/>
          <w:lang w:val="fr-FR"/>
        </w:rPr>
        <w:footnoteRef/>
      </w:r>
      <w:r w:rsidRPr="00A00EB4">
        <w:rPr>
          <w:szCs w:val="18"/>
          <w:lang w:val="fr-FR"/>
        </w:rPr>
        <w:t xml:space="preserve"> </w:t>
      </w:r>
      <w:r w:rsidR="00F86D45" w:rsidRPr="00A00EB4">
        <w:rPr>
          <w:szCs w:val="18"/>
          <w:lang w:val="fr-FR"/>
        </w:rPr>
        <w:tab/>
      </w:r>
      <w:r w:rsidRPr="00A00EB4">
        <w:rPr>
          <w:szCs w:val="18"/>
          <w:lang w:val="fr-FR"/>
        </w:rPr>
        <w:t>La composition</w:t>
      </w:r>
      <w:r w:rsidR="00CF08F9" w:rsidRPr="00A00EB4">
        <w:rPr>
          <w:szCs w:val="18"/>
          <w:lang w:val="fr-FR"/>
        </w:rPr>
        <w:t xml:space="preserve"> du CWS</w:t>
      </w:r>
      <w:r w:rsidRPr="00A00EB4">
        <w:rPr>
          <w:szCs w:val="18"/>
          <w:lang w:val="fr-FR"/>
        </w:rPr>
        <w:t xml:space="preserve"> est définie aux </w:t>
      </w:r>
      <w:r w:rsidR="00CF08F9" w:rsidRPr="00A00EB4">
        <w:rPr>
          <w:szCs w:val="18"/>
          <w:lang w:val="fr-FR"/>
        </w:rPr>
        <w:t>paragraphes 7</w:t>
      </w:r>
      <w:r w:rsidRPr="00A00EB4">
        <w:rPr>
          <w:szCs w:val="18"/>
          <w:lang w:val="fr-FR"/>
        </w:rPr>
        <w:t xml:space="preserve"> et 8 du document intitulé “Questions d</w:t>
      </w:r>
      <w:r w:rsidR="00CF08F9" w:rsidRPr="00A00EB4">
        <w:rPr>
          <w:szCs w:val="18"/>
          <w:lang w:val="fr-FR"/>
        </w:rPr>
        <w:t>’</w:t>
      </w:r>
      <w:r w:rsidRPr="00A00EB4">
        <w:rPr>
          <w:szCs w:val="18"/>
          <w:lang w:val="fr-FR"/>
        </w:rPr>
        <w:t>organisation et règlement intérieur particulier</w:t>
      </w:r>
      <w:r w:rsidR="00CF08F9" w:rsidRPr="00A00EB4">
        <w:rPr>
          <w:szCs w:val="18"/>
          <w:lang w:val="fr-FR"/>
        </w:rPr>
        <w:t xml:space="preserve"> du CWS</w:t>
      </w:r>
      <w:r w:rsidRPr="00A00EB4">
        <w:rPr>
          <w:szCs w:val="18"/>
          <w:lang w:val="fr-FR"/>
        </w:rPr>
        <w:t>”, publié sur le site</w:t>
      </w:r>
      <w:r w:rsidR="00CC468A" w:rsidRPr="00A00EB4">
        <w:rPr>
          <w:szCs w:val="18"/>
          <w:lang w:val="fr-FR"/>
        </w:rPr>
        <w:t> </w:t>
      </w:r>
      <w:r w:rsidRPr="00A00EB4">
        <w:rPr>
          <w:szCs w:val="18"/>
          <w:lang w:val="fr-FR"/>
        </w:rPr>
        <w:t>Web de l</w:t>
      </w:r>
      <w:r w:rsidR="00CF08F9" w:rsidRPr="00A00EB4">
        <w:rPr>
          <w:szCs w:val="18"/>
          <w:lang w:val="fr-FR"/>
        </w:rPr>
        <w:t>’</w:t>
      </w:r>
      <w:r w:rsidRPr="00A00EB4">
        <w:rPr>
          <w:szCs w:val="18"/>
          <w:lang w:val="fr-FR"/>
        </w:rPr>
        <w:t>OMPI à l</w:t>
      </w:r>
      <w:r w:rsidR="00CF08F9" w:rsidRPr="00A00EB4">
        <w:rPr>
          <w:szCs w:val="18"/>
          <w:lang w:val="fr-FR"/>
        </w:rPr>
        <w:t>’</w:t>
      </w:r>
      <w:r w:rsidRPr="00A00EB4">
        <w:rPr>
          <w:szCs w:val="18"/>
          <w:lang w:val="fr-FR"/>
        </w:rPr>
        <w:t xml:space="preserve">adresse </w:t>
      </w:r>
      <w:hyperlink r:id="rId1" w:history="1">
        <w:r w:rsidRPr="00A00EB4">
          <w:rPr>
            <w:rStyle w:val="Hyperlink"/>
            <w:color w:val="000000" w:themeColor="text1"/>
            <w:szCs w:val="18"/>
            <w:lang w:val="fr-FR"/>
          </w:rPr>
          <w:t>https://www.wipo.int/cws/fr/cws</w:t>
        </w:r>
        <w:r w:rsidR="00CF08F9" w:rsidRPr="00A00EB4">
          <w:rPr>
            <w:rStyle w:val="Hyperlink"/>
            <w:color w:val="000000" w:themeColor="text1"/>
            <w:szCs w:val="18"/>
            <w:lang w:val="fr-FR"/>
          </w:rPr>
          <w:t>-</w:t>
        </w:r>
        <w:r w:rsidRPr="00A00EB4">
          <w:rPr>
            <w:rStyle w:val="Hyperlink"/>
            <w:color w:val="000000" w:themeColor="text1"/>
            <w:szCs w:val="18"/>
            <w:lang w:val="fr-FR"/>
          </w:rPr>
          <w:t>rules</w:t>
        </w:r>
        <w:r w:rsidR="00CF08F9" w:rsidRPr="00A00EB4">
          <w:rPr>
            <w:rStyle w:val="Hyperlink"/>
            <w:color w:val="000000" w:themeColor="text1"/>
            <w:szCs w:val="18"/>
            <w:lang w:val="fr-FR"/>
          </w:rPr>
          <w:t>-</w:t>
        </w:r>
        <w:r w:rsidRPr="00A00EB4">
          <w:rPr>
            <w:rStyle w:val="Hyperlink"/>
            <w:color w:val="000000" w:themeColor="text1"/>
            <w:szCs w:val="18"/>
            <w:lang w:val="fr-FR"/>
          </w:rPr>
          <w:t>procedure.html</w:t>
        </w:r>
      </w:hyperlink>
      <w:r w:rsidRPr="00A00EB4">
        <w:rPr>
          <w:szCs w:val="18"/>
          <w:lang w:val="fr-FR"/>
        </w:rPr>
        <w:t>.</w:t>
      </w:r>
    </w:p>
  </w:footnote>
  <w:footnote w:id="3">
    <w:p w14:paraId="6012E02C" w14:textId="4E7D41EB" w:rsidR="00BC2DAD" w:rsidRPr="00A00EB4" w:rsidRDefault="00BC2DAD" w:rsidP="00F86D45">
      <w:pPr>
        <w:pStyle w:val="FootnoteText"/>
        <w:tabs>
          <w:tab w:val="left" w:pos="567"/>
        </w:tabs>
        <w:rPr>
          <w:szCs w:val="18"/>
          <w:lang w:val="fr-FR"/>
        </w:rPr>
      </w:pPr>
      <w:r w:rsidRPr="00A00EB4">
        <w:rPr>
          <w:rStyle w:val="FootnoteReference"/>
          <w:szCs w:val="18"/>
          <w:lang w:val="fr-FR"/>
        </w:rPr>
        <w:footnoteRef/>
      </w:r>
      <w:r w:rsidRPr="00A00EB4">
        <w:rPr>
          <w:szCs w:val="18"/>
          <w:lang w:val="fr-FR"/>
        </w:rPr>
        <w:t xml:space="preserve"> </w:t>
      </w:r>
      <w:r w:rsidR="00F86D45" w:rsidRPr="00A00EB4">
        <w:rPr>
          <w:szCs w:val="18"/>
          <w:lang w:val="fr-FR"/>
        </w:rPr>
        <w:tab/>
      </w:r>
      <w:hyperlink r:id="rId2">
        <w:r w:rsidRPr="00A00EB4">
          <w:rPr>
            <w:color w:val="000000" w:themeColor="text1"/>
            <w:szCs w:val="18"/>
            <w:u w:val="single" w:color="0562C1"/>
            <w:lang w:val="fr-FR"/>
          </w:rPr>
          <w:t>Proposition d</w:t>
        </w:r>
        <w:r w:rsidR="00CF08F9" w:rsidRPr="00A00EB4">
          <w:rPr>
            <w:color w:val="000000" w:themeColor="text1"/>
            <w:szCs w:val="18"/>
            <w:u w:val="single" w:color="0562C1"/>
            <w:lang w:val="fr-FR"/>
          </w:rPr>
          <w:t>’</w:t>
        </w:r>
        <w:r w:rsidRPr="00A00EB4">
          <w:rPr>
            <w:color w:val="000000" w:themeColor="text1"/>
            <w:szCs w:val="18"/>
            <w:u w:val="single" w:color="0562C1"/>
            <w:lang w:val="fr-FR"/>
          </w:rPr>
          <w:t>extension de la norme ST.96 de l</w:t>
        </w:r>
        <w:r w:rsidR="00CF08F9" w:rsidRPr="00A00EB4">
          <w:rPr>
            <w:color w:val="000000" w:themeColor="text1"/>
            <w:szCs w:val="18"/>
            <w:u w:val="single" w:color="0562C1"/>
            <w:lang w:val="fr-FR"/>
          </w:rPr>
          <w:t>’</w:t>
        </w:r>
        <w:r w:rsidRPr="00A00EB4">
          <w:rPr>
            <w:color w:val="000000" w:themeColor="text1"/>
            <w:szCs w:val="18"/>
            <w:u w:val="single" w:color="0562C1"/>
            <w:lang w:val="fr-FR"/>
          </w:rPr>
          <w:t>OMPI à l</w:t>
        </w:r>
        <w:r w:rsidR="00CF08F9" w:rsidRPr="00A00EB4">
          <w:rPr>
            <w:color w:val="000000" w:themeColor="text1"/>
            <w:szCs w:val="18"/>
            <w:u w:val="single" w:color="0562C1"/>
            <w:lang w:val="fr-FR"/>
          </w:rPr>
          <w:t>’</w:t>
        </w:r>
        <w:r w:rsidRPr="00A00EB4">
          <w:rPr>
            <w:color w:val="000000" w:themeColor="text1"/>
            <w:szCs w:val="18"/>
            <w:u w:val="single" w:color="0562C1"/>
            <w:lang w:val="fr-FR"/>
          </w:rPr>
          <w:t>utilisation du schéma XML (</w:t>
        </w:r>
        <w:proofErr w:type="spellStart"/>
        <w:r w:rsidRPr="00A00EB4">
          <w:rPr>
            <w:color w:val="000000" w:themeColor="text1"/>
            <w:szCs w:val="18"/>
            <w:u w:val="single" w:color="0562C1"/>
            <w:lang w:val="fr-FR"/>
          </w:rPr>
          <w:t>eXtensible</w:t>
        </w:r>
        <w:proofErr w:type="spellEnd"/>
        <w:r w:rsidRPr="00A00EB4">
          <w:rPr>
            <w:color w:val="000000" w:themeColor="text1"/>
            <w:szCs w:val="18"/>
            <w:u w:val="single" w:color="0562C1"/>
            <w:lang w:val="fr-FR"/>
          </w:rPr>
          <w:t xml:space="preserve"> Markup </w:t>
        </w:r>
        <w:proofErr w:type="spellStart"/>
        <w:r w:rsidRPr="00A00EB4">
          <w:rPr>
            <w:color w:val="000000" w:themeColor="text1"/>
            <w:szCs w:val="18"/>
            <w:u w:val="single" w:color="0562C1"/>
            <w:lang w:val="fr-FR"/>
          </w:rPr>
          <w:t>Language</w:t>
        </w:r>
        <w:proofErr w:type="spellEnd"/>
        <w:r w:rsidRPr="00A00EB4">
          <w:rPr>
            <w:color w:val="000000" w:themeColor="text1"/>
            <w:szCs w:val="18"/>
            <w:u w:val="single" w:color="0562C1"/>
            <w:lang w:val="fr-FR"/>
          </w:rPr>
          <w:t>)</w:t>
        </w:r>
      </w:hyperlink>
      <w:hyperlink r:id="rId3">
        <w:r w:rsidRPr="00A00EB4">
          <w:rPr>
            <w:color w:val="000000" w:themeColor="text1"/>
            <w:szCs w:val="18"/>
            <w:u w:val="single" w:color="0562C1"/>
            <w:lang w:val="fr-FR"/>
          </w:rPr>
          <w:t xml:space="preserve"> pour les œuvres orphelines, soumise par l</w:t>
        </w:r>
        <w:r w:rsidR="00CF08F9" w:rsidRPr="00A00EB4">
          <w:rPr>
            <w:color w:val="000000" w:themeColor="text1"/>
            <w:szCs w:val="18"/>
            <w:u w:val="single" w:color="0562C1"/>
            <w:lang w:val="fr-FR"/>
          </w:rPr>
          <w:t>’</w:t>
        </w:r>
        <w:r w:rsidRPr="00A00EB4">
          <w:rPr>
            <w:color w:val="000000" w:themeColor="text1"/>
            <w:szCs w:val="18"/>
            <w:u w:val="single" w:color="0562C1"/>
            <w:lang w:val="fr-FR"/>
          </w:rPr>
          <w:t>Office de la propriété intellectuelle du Royaume</w:t>
        </w:r>
        <w:r w:rsidR="00CF08F9" w:rsidRPr="00A00EB4">
          <w:rPr>
            <w:color w:val="000000" w:themeColor="text1"/>
            <w:szCs w:val="18"/>
            <w:u w:val="single" w:color="0562C1"/>
            <w:lang w:val="fr-FR"/>
          </w:rPr>
          <w:t>-</w:t>
        </w:r>
        <w:r w:rsidRPr="00A00EB4">
          <w:rPr>
            <w:color w:val="000000" w:themeColor="text1"/>
            <w:szCs w:val="18"/>
            <w:u w:val="single" w:color="0562C1"/>
            <w:lang w:val="fr-FR"/>
          </w:rPr>
          <w:t>Uni pour examen à la cinqu</w:t>
        </w:r>
        <w:r w:rsidR="00CF08F9" w:rsidRPr="00A00EB4">
          <w:rPr>
            <w:color w:val="000000" w:themeColor="text1"/>
            <w:szCs w:val="18"/>
            <w:u w:val="single" w:color="0562C1"/>
            <w:lang w:val="fr-FR"/>
          </w:rPr>
          <w:t>ième session du CWS</w:t>
        </w:r>
        <w:r w:rsidRPr="00A00EB4">
          <w:rPr>
            <w:color w:val="000000" w:themeColor="text1"/>
            <w:szCs w:val="18"/>
            <w:u w:val="single" w:color="0562C1"/>
            <w:lang w:val="fr-FR"/>
          </w:rPr>
          <w:t xml:space="preserve"> (voir le document</w:t>
        </w:r>
        <w:r w:rsidR="0065683B">
          <w:rPr>
            <w:color w:val="000000" w:themeColor="text1"/>
            <w:szCs w:val="18"/>
            <w:u w:val="single" w:color="0562C1"/>
            <w:lang w:val="fr-FR"/>
          </w:rPr>
          <w:t> </w:t>
        </w:r>
        <w:r w:rsidRPr="00A00EB4">
          <w:rPr>
            <w:color w:val="000000" w:themeColor="text1"/>
            <w:szCs w:val="18"/>
            <w:u w:val="single" w:color="0562C1"/>
            <w:lang w:val="fr-FR"/>
          </w:rPr>
          <w:t>CWS/5/4)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7424" w14:textId="77777777" w:rsidR="0065683B" w:rsidRDefault="00656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F036" w14:textId="06C11CA1" w:rsidR="00F16975" w:rsidRPr="00B45C15" w:rsidRDefault="00BC2DAD" w:rsidP="00477D6B">
    <w:pPr>
      <w:jc w:val="right"/>
      <w:rPr>
        <w:caps/>
      </w:rPr>
    </w:pPr>
    <w:bookmarkStart w:id="7" w:name="Code2"/>
    <w:bookmarkEnd w:id="7"/>
    <w:r>
      <w:rPr>
        <w:caps/>
      </w:rPr>
      <w:t>CWS/11/19 </w:t>
    </w:r>
    <w:proofErr w:type="spellStart"/>
    <w:r>
      <w:t>Rev</w:t>
    </w:r>
    <w:proofErr w:type="spellEnd"/>
    <w:r>
      <w:rPr>
        <w:caps/>
      </w:rPr>
      <w:t>.</w:t>
    </w:r>
  </w:p>
  <w:p w14:paraId="1FC40B18" w14:textId="4C3DA9C2" w:rsidR="00574036" w:rsidRDefault="00BC2DAD" w:rsidP="00BC2DAD">
    <w:pPr>
      <w:spacing w:after="480"/>
      <w:jc w:val="right"/>
    </w:pPr>
    <w:proofErr w:type="gramStart"/>
    <w:r>
      <w:t>p</w:t>
    </w:r>
    <w:r w:rsidR="00F16975">
      <w:t>age</w:t>
    </w:r>
    <w:proofErr w:type="gramEnd"/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B45C15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9030" w14:textId="77777777" w:rsidR="0065683B" w:rsidRDefault="00656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724F5"/>
    <w:multiLevelType w:val="hybridMultilevel"/>
    <w:tmpl w:val="CC2AF34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515413"/>
    <w:multiLevelType w:val="hybridMultilevel"/>
    <w:tmpl w:val="35EE43B6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E4C7E"/>
    <w:multiLevelType w:val="hybridMultilevel"/>
    <w:tmpl w:val="276CB5F8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7B476A"/>
    <w:multiLevelType w:val="hybridMultilevel"/>
    <w:tmpl w:val="9252F4AE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F0E3F"/>
    <w:multiLevelType w:val="hybridMultilevel"/>
    <w:tmpl w:val="7B026E64"/>
    <w:lvl w:ilvl="0" w:tplc="1B18B27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2327F"/>
    <w:multiLevelType w:val="hybridMultilevel"/>
    <w:tmpl w:val="EC1468D6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6609D"/>
    <w:multiLevelType w:val="hybridMultilevel"/>
    <w:tmpl w:val="2F94B0D6"/>
    <w:lvl w:ilvl="0" w:tplc="7CBEF83E">
      <w:start w:val="1"/>
      <w:numFmt w:val="lowerLetter"/>
      <w:lvlText w:val="(%1)"/>
      <w:lvlJc w:val="left"/>
      <w:pPr>
        <w:ind w:left="5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0" w:hanging="360"/>
      </w:pPr>
    </w:lvl>
    <w:lvl w:ilvl="2" w:tplc="0409001B" w:tentative="1">
      <w:start w:val="1"/>
      <w:numFmt w:val="lowerRoman"/>
      <w:lvlText w:val="%3."/>
      <w:lvlJc w:val="right"/>
      <w:pPr>
        <w:ind w:left="7330" w:hanging="180"/>
      </w:pPr>
    </w:lvl>
    <w:lvl w:ilvl="3" w:tplc="0409000F" w:tentative="1">
      <w:start w:val="1"/>
      <w:numFmt w:val="decimal"/>
      <w:lvlText w:val="%4."/>
      <w:lvlJc w:val="left"/>
      <w:pPr>
        <w:ind w:left="8050" w:hanging="360"/>
      </w:pPr>
    </w:lvl>
    <w:lvl w:ilvl="4" w:tplc="04090019" w:tentative="1">
      <w:start w:val="1"/>
      <w:numFmt w:val="lowerLetter"/>
      <w:lvlText w:val="%5."/>
      <w:lvlJc w:val="left"/>
      <w:pPr>
        <w:ind w:left="8770" w:hanging="360"/>
      </w:pPr>
    </w:lvl>
    <w:lvl w:ilvl="5" w:tplc="0409001B" w:tentative="1">
      <w:start w:val="1"/>
      <w:numFmt w:val="lowerRoman"/>
      <w:lvlText w:val="%6."/>
      <w:lvlJc w:val="right"/>
      <w:pPr>
        <w:ind w:left="9490" w:hanging="180"/>
      </w:pPr>
    </w:lvl>
    <w:lvl w:ilvl="6" w:tplc="0409000F" w:tentative="1">
      <w:start w:val="1"/>
      <w:numFmt w:val="decimal"/>
      <w:lvlText w:val="%7."/>
      <w:lvlJc w:val="left"/>
      <w:pPr>
        <w:ind w:left="10210" w:hanging="360"/>
      </w:pPr>
    </w:lvl>
    <w:lvl w:ilvl="7" w:tplc="04090019" w:tentative="1">
      <w:start w:val="1"/>
      <w:numFmt w:val="lowerLetter"/>
      <w:lvlText w:val="%8."/>
      <w:lvlJc w:val="left"/>
      <w:pPr>
        <w:ind w:left="10930" w:hanging="360"/>
      </w:pPr>
    </w:lvl>
    <w:lvl w:ilvl="8" w:tplc="0409001B" w:tentative="1">
      <w:start w:val="1"/>
      <w:numFmt w:val="lowerRoman"/>
      <w:lvlText w:val="%9."/>
      <w:lvlJc w:val="right"/>
      <w:pPr>
        <w:ind w:left="11650" w:hanging="180"/>
      </w:pPr>
    </w:lvl>
  </w:abstractNum>
  <w:abstractNum w:abstractNumId="13" w15:restartNumberingAfterBreak="0">
    <w:nsid w:val="7C2152C4"/>
    <w:multiLevelType w:val="hybridMultilevel"/>
    <w:tmpl w:val="FA6A60E6"/>
    <w:lvl w:ilvl="0" w:tplc="1B18B27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975CF"/>
    <w:multiLevelType w:val="hybridMultilevel"/>
    <w:tmpl w:val="BAF0339A"/>
    <w:lvl w:ilvl="0" w:tplc="1B18B27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957A0"/>
    <w:multiLevelType w:val="hybridMultilevel"/>
    <w:tmpl w:val="ACDC08B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797744">
    <w:abstractNumId w:val="3"/>
  </w:num>
  <w:num w:numId="2" w16cid:durableId="921990400">
    <w:abstractNumId w:val="7"/>
  </w:num>
  <w:num w:numId="3" w16cid:durableId="1694070640">
    <w:abstractNumId w:val="0"/>
  </w:num>
  <w:num w:numId="4" w16cid:durableId="1749300378">
    <w:abstractNumId w:val="8"/>
  </w:num>
  <w:num w:numId="5" w16cid:durableId="2045514439">
    <w:abstractNumId w:val="2"/>
  </w:num>
  <w:num w:numId="6" w16cid:durableId="303511800">
    <w:abstractNumId w:val="4"/>
  </w:num>
  <w:num w:numId="7" w16cid:durableId="1650478182">
    <w:abstractNumId w:val="12"/>
  </w:num>
  <w:num w:numId="8" w16cid:durableId="552009785">
    <w:abstractNumId w:val="1"/>
  </w:num>
  <w:num w:numId="9" w16cid:durableId="1045371033">
    <w:abstractNumId w:val="15"/>
  </w:num>
  <w:num w:numId="10" w16cid:durableId="1248075319">
    <w:abstractNumId w:val="5"/>
  </w:num>
  <w:num w:numId="11" w16cid:durableId="1809863113">
    <w:abstractNumId w:val="6"/>
  </w:num>
  <w:num w:numId="12" w16cid:durableId="1634290993">
    <w:abstractNumId w:val="9"/>
  </w:num>
  <w:num w:numId="13" w16cid:durableId="503981659">
    <w:abstractNumId w:val="11"/>
  </w:num>
  <w:num w:numId="14" w16cid:durableId="344552912">
    <w:abstractNumId w:val="13"/>
  </w:num>
  <w:num w:numId="15" w16cid:durableId="1220366626">
    <w:abstractNumId w:val="10"/>
  </w:num>
  <w:num w:numId="16" w16cid:durableId="13104067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AD"/>
    <w:rsid w:val="00011B7D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E4D1A"/>
    <w:rsid w:val="002F16BC"/>
    <w:rsid w:val="002F4E68"/>
    <w:rsid w:val="003030BB"/>
    <w:rsid w:val="00322C0B"/>
    <w:rsid w:val="00381798"/>
    <w:rsid w:val="003845C1"/>
    <w:rsid w:val="003A3949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33626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5683B"/>
    <w:rsid w:val="006B0DB5"/>
    <w:rsid w:val="00726A01"/>
    <w:rsid w:val="007461F1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C24F0"/>
    <w:rsid w:val="009D30E6"/>
    <w:rsid w:val="009E3F6F"/>
    <w:rsid w:val="009F499F"/>
    <w:rsid w:val="00A00EB4"/>
    <w:rsid w:val="00A11D74"/>
    <w:rsid w:val="00A84021"/>
    <w:rsid w:val="00AC0AE4"/>
    <w:rsid w:val="00AD61DB"/>
    <w:rsid w:val="00B1090C"/>
    <w:rsid w:val="00B35AF5"/>
    <w:rsid w:val="00B457F8"/>
    <w:rsid w:val="00B45C15"/>
    <w:rsid w:val="00BC2DAD"/>
    <w:rsid w:val="00BE0BE0"/>
    <w:rsid w:val="00C664C8"/>
    <w:rsid w:val="00CC468A"/>
    <w:rsid w:val="00CF0460"/>
    <w:rsid w:val="00CF08F9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55B67"/>
    <w:rsid w:val="00F66152"/>
    <w:rsid w:val="00F86D45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64054"/>
  <w15:docId w15:val="{DE6C4699-B7E1-4868-83FD-0DC6F405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5683B"/>
    <w:pPr>
      <w:keepNext/>
      <w:spacing w:before="360" w:after="6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BC2DAD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1"/>
    <w:qFormat/>
    <w:rsid w:val="00BC2DA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fr-FR" w:eastAsia="en-US"/>
    </w:rPr>
  </w:style>
  <w:style w:type="character" w:styleId="Hyperlink">
    <w:name w:val="Hyperlink"/>
    <w:basedOn w:val="DefaultParagraphFont"/>
    <w:unhideWhenUsed/>
    <w:rsid w:val="00BC2DAD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BC2D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edocs/mdocs/cws/en/cws_5/cws_5_item_6.pdf" TargetMode="External"/><Relationship Id="rId2" Type="http://schemas.openxmlformats.org/officeDocument/2006/relationships/hyperlink" Target="https://www.wipo.int/edocs/mdocs/cws/en/cws_5/cws_5_item_6.pdf" TargetMode="External"/><Relationship Id="rId1" Type="http://schemas.openxmlformats.org/officeDocument/2006/relationships/hyperlink" Target="https://www.wipo.int/cws/fr/cws-rules-procedure.html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F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12ED2-FE5A-4DBC-8844-A7976EAD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(F) </Template>
  <TotalTime>0</TotalTime>
  <Pages>6</Pages>
  <Words>2557</Words>
  <Characters>14591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CWS/11/19 Rev.</vt:lpstr>
      <vt:lpstr>Propositions d’amélioration des métadonnées relatives aux œuvres orphelines prot</vt:lpstr>
      <vt:lpstr>    Résumé</vt:lpstr>
      <vt:lpstr>    Introduction</vt:lpstr>
      <vt:lpstr>    Réponses à la proposition révisée concernant la gestion des métadonnées relative</vt:lpstr>
    </vt:vector>
  </TitlesOfParts>
  <Company>WIPO</Company>
  <LinksUpToDate>false</LinksUpToDate>
  <CharactersWithSpaces>17114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CWS/11/19 Rev.</dc:title>
  <dc:creator>OLIVIÉ Karen</dc:creator>
  <cp:keywords>FOR OFFICIAL USE ONLY</cp:keywords>
  <cp:lastModifiedBy>MOSTAJO Apolonia</cp:lastModifiedBy>
  <cp:revision>2</cp:revision>
  <cp:lastPrinted>2011-05-19T12:37:00Z</cp:lastPrinted>
  <dcterms:created xsi:type="dcterms:W3CDTF">2023-11-30T07:50:00Z</dcterms:created>
  <dcterms:modified xsi:type="dcterms:W3CDTF">2023-11-30T07:50:00Z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2023-11-30T07:11:28Z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0bce07cc-0fb0-40a2-b1e6-5e1a12f894c7</vt:lpwstr>
  </property>
  <property fmtid="{D5CDD505-2E9C-101B-9397-08002B2CF9AE}" pid="13" name="MSIP_Label_20773ee6-353b-4fb9-a59d-0b94c8c67bea_ContentBits">
    <vt:lpwstr>0</vt:lpwstr>
  </property>
</Properties>
</file>