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651" w14:textId="3DD04C9F" w:rsidR="000C0D9E" w:rsidRPr="000E176E" w:rsidRDefault="000C0D9E" w:rsidP="004E4CCA">
      <w:pPr>
        <w:pStyle w:val="Heading1-notTOC"/>
        <w:widowControl/>
        <w:spacing w:after="360" w:line="240" w:lineRule="auto"/>
        <w:jc w:val="left"/>
        <w:rPr>
          <w:sz w:val="17"/>
        </w:rPr>
      </w:pPr>
      <w:bookmarkStart w:id="0" w:name="_Toc386180539"/>
      <w:bookmarkStart w:id="1" w:name="_Toc386180708"/>
      <w:bookmarkStart w:id="2" w:name="_Toc386180725"/>
      <w:bookmarkStart w:id="3" w:name="_Toc532458218"/>
    </w:p>
    <w:bookmarkEnd w:id="0"/>
    <w:bookmarkEnd w:id="1"/>
    <w:bookmarkEnd w:id="2"/>
    <w:bookmarkEnd w:id="3"/>
    <w:p w14:paraId="55759905" w14:textId="77777777" w:rsidR="0046779A" w:rsidRDefault="00914F0C" w:rsidP="004E4CCA">
      <w:pPr>
        <w:pStyle w:val="StandardTitle"/>
      </w:pPr>
      <w:r>
        <w:t>PRINCIPES DIRECTEURS CONCERNANT LE NETTOYAGE DES DONNÉES DES NOMS</w:t>
      </w:r>
    </w:p>
    <w:p w14:paraId="310F881E" w14:textId="1CF09AF6" w:rsidR="00F857BE" w:rsidRPr="000E176E" w:rsidRDefault="00F857BE" w:rsidP="004E4CCA">
      <w:pPr>
        <w:rPr>
          <w:sz w:val="17"/>
          <w:szCs w:val="17"/>
        </w:rPr>
      </w:pPr>
    </w:p>
    <w:p w14:paraId="013503F8" w14:textId="77777777" w:rsidR="00F857BE" w:rsidRPr="000E176E" w:rsidRDefault="00F857BE" w:rsidP="004E4CCA">
      <w:pPr>
        <w:rPr>
          <w:sz w:val="17"/>
          <w:szCs w:val="17"/>
          <w:lang w:eastAsia="en-US"/>
        </w:rPr>
      </w:pPr>
    </w:p>
    <w:p w14:paraId="0944301C" w14:textId="6D896DE0" w:rsidR="0046779A" w:rsidRDefault="00914F0C" w:rsidP="004E4CCA">
      <w:pPr>
        <w:spacing w:line="240" w:lineRule="auto"/>
        <w:jc w:val="center"/>
        <w:rPr>
          <w:i/>
          <w:sz w:val="17"/>
        </w:rPr>
      </w:pPr>
      <w:r>
        <w:rPr>
          <w:i/>
          <w:sz w:val="17"/>
        </w:rPr>
        <w:t>Proposition présentée au Comité des normes de l</w:t>
      </w:r>
      <w:r w:rsidR="0046779A">
        <w:rPr>
          <w:i/>
          <w:sz w:val="17"/>
        </w:rPr>
        <w:t>’</w:t>
      </w:r>
      <w:r>
        <w:rPr>
          <w:i/>
          <w:sz w:val="17"/>
        </w:rPr>
        <w:t>OMPI (CWS) pour approbation</w:t>
      </w:r>
    </w:p>
    <w:p w14:paraId="63F6B663" w14:textId="26769358" w:rsidR="00836490" w:rsidRPr="00765953" w:rsidRDefault="00836490" w:rsidP="004E4CCA">
      <w:pPr>
        <w:spacing w:line="240" w:lineRule="auto"/>
        <w:jc w:val="center"/>
        <w:rPr>
          <w:i/>
          <w:iCs/>
          <w:sz w:val="17"/>
          <w:szCs w:val="17"/>
        </w:rPr>
      </w:pPr>
      <w:proofErr w:type="gramStart"/>
      <w:r>
        <w:rPr>
          <w:i/>
          <w:sz w:val="17"/>
        </w:rPr>
        <w:t>à</w:t>
      </w:r>
      <w:proofErr w:type="gramEnd"/>
      <w:r>
        <w:rPr>
          <w:i/>
          <w:sz w:val="17"/>
        </w:rPr>
        <w:t xml:space="preserve"> sa onz</w:t>
      </w:r>
      <w:r w:rsidR="0046779A">
        <w:rPr>
          <w:i/>
          <w:sz w:val="17"/>
        </w:rPr>
        <w:t>ième session</w:t>
      </w:r>
    </w:p>
    <w:p w14:paraId="6DA324D5" w14:textId="0961111D" w:rsidR="009E4454" w:rsidRPr="00765953" w:rsidRDefault="009E4454" w:rsidP="004E4CCA">
      <w:pPr>
        <w:spacing w:line="240" w:lineRule="auto"/>
        <w:jc w:val="center"/>
        <w:rPr>
          <w:i/>
          <w:iCs/>
          <w:sz w:val="17"/>
          <w:szCs w:val="17"/>
          <w:lang w:eastAsia="en-US"/>
        </w:rPr>
      </w:pPr>
    </w:p>
    <w:p w14:paraId="25267CF7" w14:textId="309B6B4F" w:rsidR="00B15048" w:rsidRPr="000E176E" w:rsidRDefault="00B15048" w:rsidP="004E4CCA">
      <w:pPr>
        <w:tabs>
          <w:tab w:val="left" w:pos="8640"/>
        </w:tabs>
        <w:rPr>
          <w:rFonts w:eastAsia="Times New Roman" w:cs="Times New Roman"/>
          <w:sz w:val="17"/>
          <w:szCs w:val="17"/>
        </w:rPr>
      </w:pPr>
    </w:p>
    <w:sdt>
      <w:sdtPr>
        <w:rPr>
          <w:rFonts w:eastAsia="MS Mincho"/>
          <w:sz w:val="17"/>
          <w:szCs w:val="17"/>
          <w:lang w:eastAsia="ja-JP"/>
        </w:rPr>
        <w:id w:val="50117398"/>
        <w:docPartObj>
          <w:docPartGallery w:val="Table of Contents"/>
          <w:docPartUnique/>
        </w:docPartObj>
      </w:sdtPr>
      <w:sdtEndPr>
        <w:rPr>
          <w:noProof/>
          <w:sz w:val="24"/>
        </w:rPr>
      </w:sdtEndPr>
      <w:sdtContent>
        <w:p w14:paraId="266F7BF4" w14:textId="6B4568BB" w:rsidR="0082561C" w:rsidRPr="0082561C" w:rsidRDefault="00CA6B8F">
          <w:pPr>
            <w:pStyle w:val="TOC1"/>
            <w:rPr>
              <w:rFonts w:asciiTheme="minorHAnsi" w:eastAsiaTheme="minorEastAsia" w:hAnsiTheme="minorHAnsi" w:cstheme="minorBidi"/>
              <w:noProof/>
              <w:sz w:val="22"/>
              <w:szCs w:val="22"/>
              <w:lang w:eastAsia="en-US"/>
            </w:rPr>
          </w:pPr>
          <w:r>
            <w:rPr>
              <w:b/>
              <w:sz w:val="17"/>
            </w:rPr>
            <w:fldChar w:fldCharType="begin"/>
          </w:r>
          <w:r>
            <w:rPr>
              <w:b/>
              <w:sz w:val="17"/>
            </w:rPr>
            <w:instrText xml:space="preserve"> TOC \o "1-3" \u </w:instrText>
          </w:r>
          <w:r>
            <w:rPr>
              <w:b/>
              <w:sz w:val="17"/>
            </w:rPr>
            <w:fldChar w:fldCharType="separate"/>
          </w:r>
          <w:r w:rsidR="0082561C">
            <w:rPr>
              <w:noProof/>
            </w:rPr>
            <w:t>Introduction</w:t>
          </w:r>
          <w:r w:rsidR="0082561C">
            <w:rPr>
              <w:noProof/>
            </w:rPr>
            <w:tab/>
          </w:r>
          <w:r w:rsidR="0082561C">
            <w:rPr>
              <w:noProof/>
            </w:rPr>
            <w:fldChar w:fldCharType="begin"/>
          </w:r>
          <w:r w:rsidR="0082561C">
            <w:rPr>
              <w:noProof/>
            </w:rPr>
            <w:instrText xml:space="preserve"> PAGEREF _Toc150853997 \h </w:instrText>
          </w:r>
          <w:r w:rsidR="0082561C">
            <w:rPr>
              <w:noProof/>
            </w:rPr>
          </w:r>
          <w:r w:rsidR="0082561C">
            <w:rPr>
              <w:noProof/>
            </w:rPr>
            <w:fldChar w:fldCharType="separate"/>
          </w:r>
          <w:r w:rsidR="00E61C6D">
            <w:rPr>
              <w:noProof/>
            </w:rPr>
            <w:t>2</w:t>
          </w:r>
          <w:r w:rsidR="0082561C">
            <w:rPr>
              <w:noProof/>
            </w:rPr>
            <w:fldChar w:fldCharType="end"/>
          </w:r>
        </w:p>
        <w:p w14:paraId="1DF30F5E" w14:textId="1B86501B" w:rsidR="0082561C" w:rsidRPr="0082561C" w:rsidRDefault="0082561C">
          <w:pPr>
            <w:pStyle w:val="TOC1"/>
            <w:rPr>
              <w:rFonts w:asciiTheme="minorHAnsi" w:eastAsiaTheme="minorEastAsia" w:hAnsiTheme="minorHAnsi" w:cstheme="minorBidi"/>
              <w:noProof/>
              <w:sz w:val="22"/>
              <w:szCs w:val="22"/>
              <w:lang w:eastAsia="en-US"/>
            </w:rPr>
          </w:pPr>
          <w:r>
            <w:rPr>
              <w:noProof/>
            </w:rPr>
            <w:t>Définitions</w:t>
          </w:r>
          <w:r>
            <w:rPr>
              <w:noProof/>
            </w:rPr>
            <w:tab/>
          </w:r>
          <w:r>
            <w:rPr>
              <w:noProof/>
            </w:rPr>
            <w:fldChar w:fldCharType="begin"/>
          </w:r>
          <w:r>
            <w:rPr>
              <w:noProof/>
            </w:rPr>
            <w:instrText xml:space="preserve"> PAGEREF _Toc150853998 \h </w:instrText>
          </w:r>
          <w:r>
            <w:rPr>
              <w:noProof/>
            </w:rPr>
          </w:r>
          <w:r>
            <w:rPr>
              <w:noProof/>
            </w:rPr>
            <w:fldChar w:fldCharType="separate"/>
          </w:r>
          <w:r w:rsidR="00E61C6D">
            <w:rPr>
              <w:noProof/>
            </w:rPr>
            <w:t>2</w:t>
          </w:r>
          <w:r>
            <w:rPr>
              <w:noProof/>
            </w:rPr>
            <w:fldChar w:fldCharType="end"/>
          </w:r>
        </w:p>
        <w:p w14:paraId="10A146D1" w14:textId="666A22E2" w:rsidR="0082561C" w:rsidRPr="0082561C" w:rsidRDefault="0082561C">
          <w:pPr>
            <w:pStyle w:val="TOC1"/>
            <w:rPr>
              <w:rFonts w:asciiTheme="minorHAnsi" w:eastAsiaTheme="minorEastAsia" w:hAnsiTheme="minorHAnsi" w:cstheme="minorBidi"/>
              <w:noProof/>
              <w:sz w:val="22"/>
              <w:szCs w:val="22"/>
              <w:lang w:eastAsia="en-US"/>
            </w:rPr>
          </w:pPr>
          <w:r>
            <w:rPr>
              <w:noProof/>
            </w:rPr>
            <w:t>Collecte</w:t>
          </w:r>
          <w:r>
            <w:rPr>
              <w:noProof/>
            </w:rPr>
            <w:tab/>
          </w:r>
          <w:r>
            <w:rPr>
              <w:noProof/>
            </w:rPr>
            <w:fldChar w:fldCharType="begin"/>
          </w:r>
          <w:r>
            <w:rPr>
              <w:noProof/>
            </w:rPr>
            <w:instrText xml:space="preserve"> PAGEREF _Toc150853999 \h </w:instrText>
          </w:r>
          <w:r>
            <w:rPr>
              <w:noProof/>
            </w:rPr>
          </w:r>
          <w:r>
            <w:rPr>
              <w:noProof/>
            </w:rPr>
            <w:fldChar w:fldCharType="separate"/>
          </w:r>
          <w:r w:rsidR="00E61C6D">
            <w:rPr>
              <w:noProof/>
            </w:rPr>
            <w:t>2</w:t>
          </w:r>
          <w:r>
            <w:rPr>
              <w:noProof/>
            </w:rPr>
            <w:fldChar w:fldCharType="end"/>
          </w:r>
        </w:p>
        <w:p w14:paraId="16268636" w14:textId="0DEA2EE8" w:rsidR="0082561C" w:rsidRPr="0082561C" w:rsidRDefault="0082561C">
          <w:pPr>
            <w:pStyle w:val="TOC1"/>
            <w:rPr>
              <w:rFonts w:asciiTheme="minorHAnsi" w:eastAsiaTheme="minorEastAsia" w:hAnsiTheme="minorHAnsi" w:cstheme="minorBidi"/>
              <w:noProof/>
              <w:sz w:val="22"/>
              <w:szCs w:val="22"/>
              <w:lang w:eastAsia="en-US"/>
            </w:rPr>
          </w:pPr>
          <w:r>
            <w:rPr>
              <w:noProof/>
            </w:rPr>
            <w:t>Transformation des noms</w:t>
          </w:r>
          <w:r>
            <w:rPr>
              <w:noProof/>
            </w:rPr>
            <w:tab/>
          </w:r>
          <w:r>
            <w:rPr>
              <w:noProof/>
            </w:rPr>
            <w:fldChar w:fldCharType="begin"/>
          </w:r>
          <w:r>
            <w:rPr>
              <w:noProof/>
            </w:rPr>
            <w:instrText xml:space="preserve"> PAGEREF _Toc150854000 \h </w:instrText>
          </w:r>
          <w:r>
            <w:rPr>
              <w:noProof/>
            </w:rPr>
          </w:r>
          <w:r>
            <w:rPr>
              <w:noProof/>
            </w:rPr>
            <w:fldChar w:fldCharType="separate"/>
          </w:r>
          <w:r w:rsidR="00E61C6D">
            <w:rPr>
              <w:noProof/>
            </w:rPr>
            <w:t>3</w:t>
          </w:r>
          <w:r>
            <w:rPr>
              <w:noProof/>
            </w:rPr>
            <w:fldChar w:fldCharType="end"/>
          </w:r>
        </w:p>
        <w:p w14:paraId="5EF787A1" w14:textId="29762232" w:rsidR="0082561C" w:rsidRPr="0082561C" w:rsidRDefault="0082561C">
          <w:pPr>
            <w:pStyle w:val="TOC1"/>
            <w:rPr>
              <w:rFonts w:asciiTheme="minorHAnsi" w:eastAsiaTheme="minorEastAsia" w:hAnsiTheme="minorHAnsi" w:cstheme="minorBidi"/>
              <w:noProof/>
              <w:sz w:val="22"/>
              <w:szCs w:val="22"/>
              <w:lang w:eastAsia="en-US"/>
            </w:rPr>
          </w:pPr>
          <w:r>
            <w:rPr>
              <w:noProof/>
            </w:rPr>
            <w:t>Validation et levée des ambiguïtés</w:t>
          </w:r>
          <w:r>
            <w:rPr>
              <w:noProof/>
            </w:rPr>
            <w:tab/>
          </w:r>
          <w:r>
            <w:rPr>
              <w:noProof/>
            </w:rPr>
            <w:fldChar w:fldCharType="begin"/>
          </w:r>
          <w:r>
            <w:rPr>
              <w:noProof/>
            </w:rPr>
            <w:instrText xml:space="preserve"> PAGEREF _Toc150854001 \h </w:instrText>
          </w:r>
          <w:r>
            <w:rPr>
              <w:noProof/>
            </w:rPr>
          </w:r>
          <w:r>
            <w:rPr>
              <w:noProof/>
            </w:rPr>
            <w:fldChar w:fldCharType="separate"/>
          </w:r>
          <w:r w:rsidR="00E61C6D">
            <w:rPr>
              <w:noProof/>
            </w:rPr>
            <w:t>3</w:t>
          </w:r>
          <w:r>
            <w:rPr>
              <w:noProof/>
            </w:rPr>
            <w:fldChar w:fldCharType="end"/>
          </w:r>
        </w:p>
        <w:p w14:paraId="591B064D" w14:textId="14A4585B" w:rsidR="0082561C" w:rsidRPr="0082561C" w:rsidRDefault="0082561C">
          <w:pPr>
            <w:pStyle w:val="TOC1"/>
            <w:rPr>
              <w:rFonts w:asciiTheme="minorHAnsi" w:eastAsiaTheme="minorEastAsia" w:hAnsiTheme="minorHAnsi" w:cstheme="minorBidi"/>
              <w:noProof/>
              <w:sz w:val="22"/>
              <w:szCs w:val="22"/>
              <w:lang w:eastAsia="en-US"/>
            </w:rPr>
          </w:pPr>
          <w:r>
            <w:rPr>
              <w:noProof/>
            </w:rPr>
            <w:t>Maintenance</w:t>
          </w:r>
          <w:r>
            <w:rPr>
              <w:noProof/>
            </w:rPr>
            <w:tab/>
          </w:r>
          <w:r>
            <w:rPr>
              <w:noProof/>
            </w:rPr>
            <w:fldChar w:fldCharType="begin"/>
          </w:r>
          <w:r>
            <w:rPr>
              <w:noProof/>
            </w:rPr>
            <w:instrText xml:space="preserve"> PAGEREF _Toc150854002 \h </w:instrText>
          </w:r>
          <w:r>
            <w:rPr>
              <w:noProof/>
            </w:rPr>
          </w:r>
          <w:r>
            <w:rPr>
              <w:noProof/>
            </w:rPr>
            <w:fldChar w:fldCharType="separate"/>
          </w:r>
          <w:r w:rsidR="00E61C6D">
            <w:rPr>
              <w:noProof/>
            </w:rPr>
            <w:t>4</w:t>
          </w:r>
          <w:r>
            <w:rPr>
              <w:noProof/>
            </w:rPr>
            <w:fldChar w:fldCharType="end"/>
          </w:r>
        </w:p>
        <w:p w14:paraId="7CCD9781" w14:textId="0F12E876" w:rsidR="0082561C" w:rsidRPr="0082561C" w:rsidRDefault="0082561C">
          <w:pPr>
            <w:pStyle w:val="TOC1"/>
            <w:rPr>
              <w:rFonts w:asciiTheme="minorHAnsi" w:eastAsiaTheme="minorEastAsia" w:hAnsiTheme="minorHAnsi" w:cstheme="minorBidi"/>
              <w:noProof/>
              <w:sz w:val="22"/>
              <w:szCs w:val="22"/>
              <w:lang w:eastAsia="en-US"/>
            </w:rPr>
          </w:pPr>
          <w:r>
            <w:rPr>
              <w:noProof/>
            </w:rPr>
            <w:t>Publication et échange de données</w:t>
          </w:r>
          <w:r>
            <w:rPr>
              <w:noProof/>
            </w:rPr>
            <w:tab/>
          </w:r>
          <w:r>
            <w:rPr>
              <w:noProof/>
            </w:rPr>
            <w:fldChar w:fldCharType="begin"/>
          </w:r>
          <w:r>
            <w:rPr>
              <w:noProof/>
            </w:rPr>
            <w:instrText xml:space="preserve"> PAGEREF _Toc150854003 \h </w:instrText>
          </w:r>
          <w:r>
            <w:rPr>
              <w:noProof/>
            </w:rPr>
          </w:r>
          <w:r>
            <w:rPr>
              <w:noProof/>
            </w:rPr>
            <w:fldChar w:fldCharType="separate"/>
          </w:r>
          <w:r w:rsidR="00E61C6D">
            <w:rPr>
              <w:noProof/>
            </w:rPr>
            <w:t>4</w:t>
          </w:r>
          <w:r>
            <w:rPr>
              <w:noProof/>
            </w:rPr>
            <w:fldChar w:fldCharType="end"/>
          </w:r>
        </w:p>
        <w:p w14:paraId="763A2067" w14:textId="5BE3B739" w:rsidR="0082561C" w:rsidRPr="0082561C" w:rsidRDefault="0082561C">
          <w:pPr>
            <w:pStyle w:val="TOC1"/>
            <w:rPr>
              <w:rFonts w:asciiTheme="minorHAnsi" w:eastAsiaTheme="minorEastAsia" w:hAnsiTheme="minorHAnsi" w:cstheme="minorBidi"/>
              <w:noProof/>
              <w:sz w:val="22"/>
              <w:szCs w:val="22"/>
              <w:lang w:eastAsia="en-US"/>
            </w:rPr>
          </w:pPr>
          <w:r>
            <w:rPr>
              <w:noProof/>
            </w:rPr>
            <w:t>Utilisation à des fins statistiques</w:t>
          </w:r>
          <w:r>
            <w:rPr>
              <w:noProof/>
            </w:rPr>
            <w:tab/>
          </w:r>
          <w:r>
            <w:rPr>
              <w:noProof/>
            </w:rPr>
            <w:fldChar w:fldCharType="begin"/>
          </w:r>
          <w:r>
            <w:rPr>
              <w:noProof/>
            </w:rPr>
            <w:instrText xml:space="preserve"> PAGEREF _Toc150854004 \h </w:instrText>
          </w:r>
          <w:r>
            <w:rPr>
              <w:noProof/>
            </w:rPr>
          </w:r>
          <w:r>
            <w:rPr>
              <w:noProof/>
            </w:rPr>
            <w:fldChar w:fldCharType="separate"/>
          </w:r>
          <w:r w:rsidR="00E61C6D">
            <w:rPr>
              <w:noProof/>
            </w:rPr>
            <w:t>4</w:t>
          </w:r>
          <w:r>
            <w:rPr>
              <w:noProof/>
            </w:rPr>
            <w:fldChar w:fldCharType="end"/>
          </w:r>
        </w:p>
        <w:p w14:paraId="2EFA0907" w14:textId="6F8762C8" w:rsidR="0082561C" w:rsidRPr="0082561C" w:rsidRDefault="0082561C">
          <w:pPr>
            <w:pStyle w:val="TOC1"/>
            <w:rPr>
              <w:rFonts w:asciiTheme="minorHAnsi" w:eastAsiaTheme="minorEastAsia" w:hAnsiTheme="minorHAnsi" w:cstheme="minorBidi"/>
              <w:noProof/>
              <w:sz w:val="22"/>
              <w:szCs w:val="22"/>
              <w:lang w:eastAsia="en-US"/>
            </w:rPr>
          </w:pPr>
          <w:r>
            <w:rPr>
              <w:noProof/>
            </w:rPr>
            <w:t>Références</w:t>
          </w:r>
          <w:r>
            <w:rPr>
              <w:noProof/>
            </w:rPr>
            <w:tab/>
          </w:r>
          <w:r>
            <w:rPr>
              <w:noProof/>
            </w:rPr>
            <w:fldChar w:fldCharType="begin"/>
          </w:r>
          <w:r>
            <w:rPr>
              <w:noProof/>
            </w:rPr>
            <w:instrText xml:space="preserve"> PAGEREF _Toc150854005 \h </w:instrText>
          </w:r>
          <w:r>
            <w:rPr>
              <w:noProof/>
            </w:rPr>
          </w:r>
          <w:r>
            <w:rPr>
              <w:noProof/>
            </w:rPr>
            <w:fldChar w:fldCharType="separate"/>
          </w:r>
          <w:r w:rsidR="00E61C6D">
            <w:rPr>
              <w:noProof/>
            </w:rPr>
            <w:t>4</w:t>
          </w:r>
          <w:r>
            <w:rPr>
              <w:noProof/>
            </w:rPr>
            <w:fldChar w:fldCharType="end"/>
          </w:r>
        </w:p>
        <w:p w14:paraId="493923E4" w14:textId="7C375F90" w:rsidR="0082561C" w:rsidRPr="0082561C" w:rsidRDefault="0082561C">
          <w:pPr>
            <w:pStyle w:val="TOC1"/>
            <w:rPr>
              <w:rFonts w:asciiTheme="minorHAnsi" w:eastAsiaTheme="minorEastAsia" w:hAnsiTheme="minorHAnsi" w:cstheme="minorBidi"/>
              <w:noProof/>
              <w:sz w:val="22"/>
              <w:szCs w:val="22"/>
              <w:lang w:eastAsia="en-US"/>
            </w:rPr>
          </w:pPr>
          <w:r>
            <w:rPr>
              <w:noProof/>
            </w:rPr>
            <w:t>Annexe</w:t>
          </w:r>
          <w:r>
            <w:rPr>
              <w:noProof/>
            </w:rPr>
            <w:tab/>
          </w:r>
          <w:r>
            <w:rPr>
              <w:noProof/>
            </w:rPr>
            <w:fldChar w:fldCharType="begin"/>
          </w:r>
          <w:r>
            <w:rPr>
              <w:noProof/>
            </w:rPr>
            <w:instrText xml:space="preserve"> PAGEREF _Toc150854006 \h </w:instrText>
          </w:r>
          <w:r>
            <w:rPr>
              <w:noProof/>
            </w:rPr>
          </w:r>
          <w:r>
            <w:rPr>
              <w:noProof/>
            </w:rPr>
            <w:fldChar w:fldCharType="separate"/>
          </w:r>
          <w:r w:rsidR="00E61C6D">
            <w:rPr>
              <w:noProof/>
            </w:rPr>
            <w:t>5</w:t>
          </w:r>
          <w:r>
            <w:rPr>
              <w:noProof/>
            </w:rPr>
            <w:fldChar w:fldCharType="end"/>
          </w:r>
        </w:p>
        <w:p w14:paraId="3022AD35" w14:textId="62929148" w:rsidR="0082561C" w:rsidRPr="0082561C" w:rsidRDefault="0082561C">
          <w:pPr>
            <w:pStyle w:val="TOC1"/>
            <w:rPr>
              <w:rFonts w:asciiTheme="minorHAnsi" w:eastAsiaTheme="minorEastAsia" w:hAnsiTheme="minorHAnsi" w:cstheme="minorBidi"/>
              <w:noProof/>
              <w:sz w:val="22"/>
              <w:szCs w:val="22"/>
              <w:lang w:eastAsia="en-US"/>
            </w:rPr>
          </w:pPr>
          <w:r>
            <w:rPr>
              <w:noProof/>
            </w:rPr>
            <w:t>Exemples de translittération</w:t>
          </w:r>
          <w:r>
            <w:rPr>
              <w:noProof/>
            </w:rPr>
            <w:tab/>
          </w:r>
          <w:r>
            <w:rPr>
              <w:noProof/>
            </w:rPr>
            <w:fldChar w:fldCharType="begin"/>
          </w:r>
          <w:r>
            <w:rPr>
              <w:noProof/>
            </w:rPr>
            <w:instrText xml:space="preserve"> PAGEREF _Toc150854007 \h </w:instrText>
          </w:r>
          <w:r>
            <w:rPr>
              <w:noProof/>
            </w:rPr>
          </w:r>
          <w:r>
            <w:rPr>
              <w:noProof/>
            </w:rPr>
            <w:fldChar w:fldCharType="separate"/>
          </w:r>
          <w:r w:rsidR="00E61C6D">
            <w:rPr>
              <w:noProof/>
            </w:rPr>
            <w:t>5</w:t>
          </w:r>
          <w:r>
            <w:rPr>
              <w:noProof/>
            </w:rPr>
            <w:fldChar w:fldCharType="end"/>
          </w:r>
        </w:p>
        <w:p w14:paraId="3D5B99C1" w14:textId="40B6FA4E" w:rsidR="0082561C" w:rsidRPr="0082561C" w:rsidRDefault="0082561C">
          <w:pPr>
            <w:pStyle w:val="TOC1"/>
            <w:rPr>
              <w:rFonts w:asciiTheme="minorHAnsi" w:eastAsiaTheme="minorEastAsia" w:hAnsiTheme="minorHAnsi" w:cstheme="minorBidi"/>
              <w:noProof/>
              <w:sz w:val="22"/>
              <w:szCs w:val="22"/>
              <w:lang w:eastAsia="en-US"/>
            </w:rPr>
          </w:pPr>
          <w:r>
            <w:rPr>
              <w:noProof/>
            </w:rPr>
            <w:t>Exemples de transcription</w:t>
          </w:r>
          <w:r>
            <w:rPr>
              <w:noProof/>
            </w:rPr>
            <w:tab/>
          </w:r>
          <w:r>
            <w:rPr>
              <w:noProof/>
            </w:rPr>
            <w:fldChar w:fldCharType="begin"/>
          </w:r>
          <w:r>
            <w:rPr>
              <w:noProof/>
            </w:rPr>
            <w:instrText xml:space="preserve"> PAGEREF _Toc150854008 \h </w:instrText>
          </w:r>
          <w:r>
            <w:rPr>
              <w:noProof/>
            </w:rPr>
          </w:r>
          <w:r>
            <w:rPr>
              <w:noProof/>
            </w:rPr>
            <w:fldChar w:fldCharType="separate"/>
          </w:r>
          <w:r w:rsidR="00E61C6D">
            <w:rPr>
              <w:noProof/>
            </w:rPr>
            <w:t>6</w:t>
          </w:r>
          <w:r>
            <w:rPr>
              <w:noProof/>
            </w:rPr>
            <w:fldChar w:fldCharType="end"/>
          </w:r>
        </w:p>
        <w:p w14:paraId="7E26503C" w14:textId="0417B7A0" w:rsidR="0082561C" w:rsidRPr="0082561C" w:rsidRDefault="0082561C">
          <w:pPr>
            <w:pStyle w:val="TOC1"/>
            <w:rPr>
              <w:rFonts w:asciiTheme="minorHAnsi" w:eastAsiaTheme="minorEastAsia" w:hAnsiTheme="minorHAnsi" w:cstheme="minorBidi"/>
              <w:noProof/>
              <w:sz w:val="22"/>
              <w:szCs w:val="22"/>
              <w:lang w:eastAsia="en-US"/>
            </w:rPr>
          </w:pPr>
          <w:r>
            <w:rPr>
              <w:noProof/>
            </w:rPr>
            <w:t>Exemples de traduction</w:t>
          </w:r>
          <w:r>
            <w:rPr>
              <w:noProof/>
            </w:rPr>
            <w:tab/>
          </w:r>
          <w:r>
            <w:rPr>
              <w:noProof/>
            </w:rPr>
            <w:fldChar w:fldCharType="begin"/>
          </w:r>
          <w:r>
            <w:rPr>
              <w:noProof/>
            </w:rPr>
            <w:instrText xml:space="preserve"> PAGEREF _Toc150854009 \h </w:instrText>
          </w:r>
          <w:r>
            <w:rPr>
              <w:noProof/>
            </w:rPr>
          </w:r>
          <w:r>
            <w:rPr>
              <w:noProof/>
            </w:rPr>
            <w:fldChar w:fldCharType="separate"/>
          </w:r>
          <w:r w:rsidR="00E61C6D">
            <w:rPr>
              <w:noProof/>
            </w:rPr>
            <w:t>6</w:t>
          </w:r>
          <w:r>
            <w:rPr>
              <w:noProof/>
            </w:rPr>
            <w:fldChar w:fldCharType="end"/>
          </w:r>
        </w:p>
        <w:p w14:paraId="755AE784" w14:textId="5B92B67B" w:rsidR="00AB125A" w:rsidRPr="000E176E" w:rsidRDefault="00CA6B8F" w:rsidP="00CA6B8F">
          <w:pPr>
            <w:pStyle w:val="TOC2"/>
          </w:pPr>
          <w:r>
            <w:rPr>
              <w:b/>
            </w:rPr>
            <w:fldChar w:fldCharType="end"/>
          </w:r>
        </w:p>
      </w:sdtContent>
    </w:sdt>
    <w:p w14:paraId="17F645D7" w14:textId="77777777" w:rsidR="0046779A" w:rsidRDefault="0046779A" w:rsidP="004E4CCA">
      <w:pPr>
        <w:spacing w:line="240" w:lineRule="auto"/>
        <w:jc w:val="center"/>
        <w:rPr>
          <w:sz w:val="17"/>
        </w:rPr>
      </w:pPr>
    </w:p>
    <w:p w14:paraId="2B8DF0F4" w14:textId="029DCAAE" w:rsidR="006634EC" w:rsidRPr="00765953" w:rsidRDefault="006634EC" w:rsidP="004E4CCA">
      <w:pPr>
        <w:spacing w:after="240" w:line="240" w:lineRule="auto"/>
        <w:rPr>
          <w:b/>
          <w:sz w:val="17"/>
          <w:szCs w:val="17"/>
        </w:rPr>
      </w:pPr>
      <w:bookmarkStart w:id="4" w:name="_Toc509215727"/>
    </w:p>
    <w:p w14:paraId="0EC65C71" w14:textId="455CF882" w:rsidR="008C30D1" w:rsidRPr="00765953" w:rsidRDefault="00AB125A" w:rsidP="004E4CCA">
      <w:pPr>
        <w:spacing w:line="240" w:lineRule="auto"/>
        <w:rPr>
          <w:b/>
          <w:sz w:val="17"/>
          <w:szCs w:val="17"/>
        </w:rPr>
      </w:pPr>
      <w:r>
        <w:br w:type="page"/>
      </w:r>
    </w:p>
    <w:p w14:paraId="0B5392CD" w14:textId="4924FF6A" w:rsidR="007907F5" w:rsidRPr="00765953" w:rsidRDefault="00914F0C" w:rsidP="004E4CCA">
      <w:pPr>
        <w:pStyle w:val="StandardTitle"/>
      </w:pPr>
      <w:r>
        <w:lastRenderedPageBreak/>
        <w:t>PRINCIPES DIRECTEURS CONCERNANT LE NETTOYAGE DES DONNÉES DES NOMS</w:t>
      </w:r>
    </w:p>
    <w:p w14:paraId="2746DAC4" w14:textId="51A2FEDD" w:rsidR="001C4A56" w:rsidRPr="00765953" w:rsidRDefault="00614FC5" w:rsidP="004E4CCA">
      <w:pPr>
        <w:tabs>
          <w:tab w:val="center" w:pos="4679"/>
          <w:tab w:val="left" w:pos="7365"/>
        </w:tabs>
        <w:spacing w:line="240" w:lineRule="auto"/>
        <w:rPr>
          <w:i/>
          <w:iCs/>
          <w:sz w:val="17"/>
          <w:szCs w:val="17"/>
        </w:rPr>
      </w:pPr>
      <w:r>
        <w:rPr>
          <w:i/>
          <w:sz w:val="17"/>
        </w:rPr>
        <w:tab/>
        <w:t>Proposition présentée au Comité des normes de l</w:t>
      </w:r>
      <w:r w:rsidR="0046779A">
        <w:rPr>
          <w:i/>
          <w:sz w:val="17"/>
        </w:rPr>
        <w:t>’</w:t>
      </w:r>
      <w:r w:rsidR="00C70717">
        <w:rPr>
          <w:i/>
          <w:sz w:val="17"/>
        </w:rPr>
        <w:t>OMPI (CWS) pour approbation</w:t>
      </w:r>
    </w:p>
    <w:p w14:paraId="644348DF" w14:textId="5FBB49A5" w:rsidR="001C4A56" w:rsidRPr="00765953" w:rsidRDefault="001C4A56" w:rsidP="004E4CCA">
      <w:pPr>
        <w:spacing w:line="240" w:lineRule="auto"/>
        <w:jc w:val="center"/>
        <w:rPr>
          <w:i/>
          <w:iCs/>
          <w:sz w:val="17"/>
          <w:szCs w:val="17"/>
        </w:rPr>
      </w:pPr>
      <w:proofErr w:type="gramStart"/>
      <w:r>
        <w:rPr>
          <w:i/>
          <w:sz w:val="17"/>
        </w:rPr>
        <w:t>à</w:t>
      </w:r>
      <w:proofErr w:type="gramEnd"/>
      <w:r>
        <w:rPr>
          <w:i/>
          <w:sz w:val="17"/>
        </w:rPr>
        <w:t xml:space="preserve"> sa onz</w:t>
      </w:r>
      <w:r w:rsidR="0046779A">
        <w:rPr>
          <w:i/>
          <w:sz w:val="17"/>
        </w:rPr>
        <w:t>ième session</w:t>
      </w:r>
    </w:p>
    <w:p w14:paraId="16256901" w14:textId="59D52FBD" w:rsidR="007907F5" w:rsidRPr="000E176E" w:rsidRDefault="007907F5" w:rsidP="004E4CCA">
      <w:pPr>
        <w:pStyle w:val="StyleHeading285pt"/>
        <w:spacing w:after="60" w:line="240" w:lineRule="auto"/>
        <w:rPr>
          <w:rFonts w:eastAsia="Times New Roman" w:cs="Times New Roman"/>
          <w:caps w:val="0"/>
          <w:sz w:val="17"/>
          <w:szCs w:val="17"/>
          <w:lang w:eastAsia="en-US"/>
        </w:rPr>
      </w:pPr>
    </w:p>
    <w:p w14:paraId="62955CCB" w14:textId="77777777" w:rsidR="001C4A56" w:rsidRPr="00765953" w:rsidRDefault="001C4A56" w:rsidP="004E4CCA">
      <w:pPr>
        <w:pStyle w:val="StyleHeading285pt"/>
        <w:spacing w:after="60" w:line="240" w:lineRule="auto"/>
        <w:rPr>
          <w:sz w:val="17"/>
          <w:szCs w:val="17"/>
        </w:rPr>
      </w:pPr>
    </w:p>
    <w:p w14:paraId="4F9A2767" w14:textId="64A9F7B9" w:rsidR="000A37EB" w:rsidRPr="000E176E" w:rsidRDefault="000E176E" w:rsidP="004E4CCA">
      <w:pPr>
        <w:pStyle w:val="Heading1"/>
        <w:rPr>
          <w:b/>
          <w:szCs w:val="17"/>
        </w:rPr>
      </w:pPr>
      <w:bookmarkStart w:id="5" w:name="_Toc150853997"/>
      <w:bookmarkEnd w:id="4"/>
      <w:r>
        <w:t>Introduction</w:t>
      </w:r>
      <w:bookmarkEnd w:id="5"/>
    </w:p>
    <w:p w14:paraId="63E4C042" w14:textId="2A560E25" w:rsidR="0046779A" w:rsidRDefault="009F5462" w:rsidP="0007429A">
      <w:pPr>
        <w:tabs>
          <w:tab w:val="left" w:pos="567"/>
        </w:tabs>
        <w:jc w:val="both"/>
        <w:rPr>
          <w:sz w:val="17"/>
        </w:rPr>
      </w:pPr>
      <w:r w:rsidRPr="00765953">
        <w:rPr>
          <w:caps/>
          <w:sz w:val="17"/>
        </w:rPr>
        <w:fldChar w:fldCharType="begin"/>
      </w:r>
      <w:r w:rsidRPr="000E176E">
        <w:rPr>
          <w:sz w:val="17"/>
        </w:rPr>
        <w:instrText xml:space="preserve"> AUTONUM  </w:instrText>
      </w:r>
      <w:r w:rsidRPr="00765953">
        <w:rPr>
          <w:caps/>
          <w:sz w:val="17"/>
        </w:rPr>
        <w:fldChar w:fldCharType="end"/>
      </w:r>
      <w:r>
        <w:rPr>
          <w:sz w:val="17"/>
        </w:rPr>
        <w:tab/>
        <w:t>La présente série de principes directeurs couvre les considérations d</w:t>
      </w:r>
      <w:r w:rsidR="0046779A">
        <w:rPr>
          <w:sz w:val="17"/>
        </w:rPr>
        <w:t>’</w:t>
      </w:r>
      <w:r>
        <w:rPr>
          <w:sz w:val="17"/>
        </w:rPr>
        <w:t>ordre général pour la collecte, le traitement, le nettoyage et la publication des données propres relatives aux no</w:t>
      </w:r>
      <w:r w:rsidR="00D83F7C">
        <w:rPr>
          <w:sz w:val="17"/>
        </w:rPr>
        <w:t>ms.  El</w:t>
      </w:r>
      <w:r>
        <w:rPr>
          <w:sz w:val="17"/>
        </w:rPr>
        <w:t>le ne traite pas des nombreuses questions complexes liées à des approches concernant le nettoyage des données, la localisation ou la transformation des noms, telle que la translittération, la transcription ou la traduction, ou des approches concernant la normalisation des noms, telles que la sélection des algorithmes, le lieu et le moment où les transformations sont appliquées, la fréquence ou les stratégies de fusi</w:t>
      </w:r>
      <w:r w:rsidR="00D83F7C">
        <w:rPr>
          <w:sz w:val="17"/>
        </w:rPr>
        <w:t>on.  Ce</w:t>
      </w:r>
      <w:r>
        <w:rPr>
          <w:sz w:val="17"/>
        </w:rPr>
        <w:t>s décisions varieront considérablement en fonction de la partie qui les applique, de l</w:t>
      </w:r>
      <w:r w:rsidR="0046779A">
        <w:rPr>
          <w:sz w:val="17"/>
        </w:rPr>
        <w:t>’</w:t>
      </w:r>
      <w:r>
        <w:rPr>
          <w:sz w:val="17"/>
        </w:rPr>
        <w:t>objectif des transformations et de la rapidité avec laquelle les algorithmes de correspondance évoluent.</w:t>
      </w:r>
    </w:p>
    <w:p w14:paraId="6701FC9E" w14:textId="0E44BA05" w:rsidR="0046779A" w:rsidRDefault="00765953" w:rsidP="0007429A">
      <w:pPr>
        <w:tabs>
          <w:tab w:val="left" w:pos="567"/>
        </w:tabs>
        <w:rPr>
          <w:sz w:val="17"/>
        </w:rPr>
      </w:pPr>
      <w:r>
        <w:rPr>
          <w:sz w:val="17"/>
        </w:rPr>
        <w:fldChar w:fldCharType="begin"/>
      </w:r>
      <w:r>
        <w:rPr>
          <w:sz w:val="17"/>
        </w:rPr>
        <w:instrText xml:space="preserve"> AUTONUM  </w:instrText>
      </w:r>
      <w:r>
        <w:rPr>
          <w:sz w:val="17"/>
        </w:rPr>
        <w:fldChar w:fldCharType="end"/>
      </w:r>
      <w:r>
        <w:tab/>
      </w:r>
      <w:r>
        <w:rPr>
          <w:sz w:val="17"/>
        </w:rPr>
        <w:t>Il convient de noter que la norme ST.20 de l</w:t>
      </w:r>
      <w:r w:rsidR="0046779A">
        <w:rPr>
          <w:sz w:val="17"/>
        </w:rPr>
        <w:t>’</w:t>
      </w:r>
      <w:r>
        <w:rPr>
          <w:sz w:val="17"/>
        </w:rPr>
        <w:t>OMPI fournit des recommandations concernant l</w:t>
      </w:r>
      <w:r w:rsidR="0046779A">
        <w:rPr>
          <w:sz w:val="17"/>
        </w:rPr>
        <w:t>’</w:t>
      </w:r>
      <w:r>
        <w:rPr>
          <w:sz w:val="17"/>
        </w:rPr>
        <w:t>établissement d</w:t>
      </w:r>
      <w:r w:rsidR="0046779A">
        <w:rPr>
          <w:sz w:val="17"/>
        </w:rPr>
        <w:t>’</w:t>
      </w:r>
      <w:r>
        <w:rPr>
          <w:sz w:val="17"/>
        </w:rPr>
        <w:t>index des documents de brevet donnant le nom des déposants et d</w:t>
      </w:r>
      <w:r w:rsidR="0046779A">
        <w:rPr>
          <w:sz w:val="17"/>
        </w:rPr>
        <w:t>’</w:t>
      </w:r>
      <w:r>
        <w:rPr>
          <w:sz w:val="17"/>
        </w:rPr>
        <w:t>autres clients, et vise à unifier la présentation et la méthode de classement des noms dans ces index.</w:t>
      </w:r>
    </w:p>
    <w:p w14:paraId="27F6F4A0" w14:textId="2E876623" w:rsidR="00BC2BF8" w:rsidRPr="000E176E" w:rsidRDefault="00BC2BF8" w:rsidP="004E4CCA">
      <w:pPr>
        <w:pStyle w:val="Heading1"/>
        <w:rPr>
          <w:b/>
          <w:szCs w:val="17"/>
        </w:rPr>
      </w:pPr>
      <w:bookmarkStart w:id="6" w:name="_Toc150853998"/>
      <w:r>
        <w:t>D</w:t>
      </w:r>
      <w:r w:rsidR="0007429A">
        <w:t>éfinitions</w:t>
      </w:r>
      <w:bookmarkEnd w:id="6"/>
    </w:p>
    <w:p w14:paraId="5E2461A9" w14:textId="135F64F0" w:rsidR="00BC2BF8" w:rsidRPr="00765953" w:rsidRDefault="007F45C1" w:rsidP="0007429A">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Dans le présent document, on entend par</w:t>
      </w:r>
      <w:r w:rsidR="0046779A">
        <w:rPr>
          <w:sz w:val="17"/>
        </w:rPr>
        <w:t> :</w:t>
      </w:r>
    </w:p>
    <w:p w14:paraId="23DA026D" w14:textId="434F3B43" w:rsidR="0046779A" w:rsidRDefault="002101A9" w:rsidP="0007429A">
      <w:pPr>
        <w:pStyle w:val="ListParagraph"/>
        <w:numPr>
          <w:ilvl w:val="0"/>
          <w:numId w:val="40"/>
        </w:numPr>
        <w:spacing w:after="200" w:line="240" w:lineRule="auto"/>
        <w:ind w:left="1134" w:hanging="567"/>
        <w:contextualSpacing w:val="0"/>
        <w:jc w:val="both"/>
        <w:rPr>
          <w:sz w:val="17"/>
        </w:rPr>
      </w:pPr>
      <w:r>
        <w:rPr>
          <w:sz w:val="17"/>
        </w:rPr>
        <w:t>“office de propriété intellectuelle”, l</w:t>
      </w:r>
      <w:r w:rsidR="0046779A">
        <w:rPr>
          <w:sz w:val="17"/>
        </w:rPr>
        <w:t>’</w:t>
      </w:r>
      <w:r>
        <w:rPr>
          <w:sz w:val="17"/>
        </w:rPr>
        <w:t>office de propriété intellectuelle chargé de la gestion des procédures de dépôt et d</w:t>
      </w:r>
      <w:r w:rsidR="0046779A">
        <w:rPr>
          <w:sz w:val="17"/>
        </w:rPr>
        <w:t>’</w:t>
      </w:r>
      <w:r>
        <w:rPr>
          <w:sz w:val="17"/>
        </w:rPr>
        <w:t xml:space="preserve">enregistrement relatives aux droits de propriété </w:t>
      </w:r>
      <w:proofErr w:type="gramStart"/>
      <w:r>
        <w:rPr>
          <w:sz w:val="17"/>
        </w:rPr>
        <w:t>intellectuelle;</w:t>
      </w:r>
      <w:proofErr w:type="gramEnd"/>
    </w:p>
    <w:p w14:paraId="34C36CC8" w14:textId="5B5BE592" w:rsidR="00BC2BF8" w:rsidRPr="00765953" w:rsidRDefault="0032477B" w:rsidP="0007429A">
      <w:pPr>
        <w:pStyle w:val="ListParagraph"/>
        <w:numPr>
          <w:ilvl w:val="0"/>
          <w:numId w:val="40"/>
        </w:numPr>
        <w:spacing w:after="200" w:line="240" w:lineRule="auto"/>
        <w:ind w:left="1134" w:hanging="567"/>
        <w:contextualSpacing w:val="0"/>
        <w:jc w:val="both"/>
        <w:rPr>
          <w:sz w:val="17"/>
          <w:szCs w:val="17"/>
        </w:rPr>
      </w:pPr>
      <w:r>
        <w:rPr>
          <w:sz w:val="17"/>
        </w:rPr>
        <w:t>“données clients”, les données sur les déposants, les titulaires d</w:t>
      </w:r>
      <w:r w:rsidR="0046779A">
        <w:rPr>
          <w:sz w:val="17"/>
        </w:rPr>
        <w:t>’</w:t>
      </w:r>
      <w:r>
        <w:rPr>
          <w:sz w:val="17"/>
        </w:rPr>
        <w:t>enregistrements, les propriétaires, les représentants légaux ou d</w:t>
      </w:r>
      <w:r w:rsidR="0046779A">
        <w:rPr>
          <w:sz w:val="17"/>
        </w:rPr>
        <w:t>’</w:t>
      </w:r>
      <w:r>
        <w:rPr>
          <w:sz w:val="17"/>
        </w:rPr>
        <w:t>autres parties, détenues par un office de propriété intellectuelle en rapport avec un droit de propriété intellectuelle, une demande, un enregistrement ou tout autre instrume</w:t>
      </w:r>
      <w:r w:rsidR="00D83F7C">
        <w:rPr>
          <w:sz w:val="17"/>
        </w:rPr>
        <w:t>nt.  Ce</w:t>
      </w:r>
      <w:r>
        <w:rPr>
          <w:sz w:val="17"/>
        </w:rPr>
        <w:t>tte norme concerne principalement les données relatives aux noms des clients</w:t>
      </w:r>
      <w:r w:rsidR="0046779A">
        <w:rPr>
          <w:sz w:val="17"/>
        </w:rPr>
        <w:t> :</w:t>
      </w:r>
      <w:r>
        <w:rPr>
          <w:sz w:val="17"/>
        </w:rPr>
        <w:t xml:space="preserve"> les noms de personnes, les noms d</w:t>
      </w:r>
      <w:r w:rsidR="0046779A">
        <w:rPr>
          <w:sz w:val="17"/>
        </w:rPr>
        <w:t>’</w:t>
      </w:r>
      <w:r>
        <w:rPr>
          <w:sz w:val="17"/>
        </w:rPr>
        <w:t>entreprises et les informations connexes telles que la ville, l</w:t>
      </w:r>
      <w:r w:rsidR="0046779A">
        <w:rPr>
          <w:sz w:val="17"/>
        </w:rPr>
        <w:t>’</w:t>
      </w:r>
      <w:r>
        <w:rPr>
          <w:sz w:val="17"/>
        </w:rPr>
        <w:t>adresse ou l</w:t>
      </w:r>
      <w:r w:rsidR="0046779A">
        <w:rPr>
          <w:sz w:val="17"/>
        </w:rPr>
        <w:t>’</w:t>
      </w:r>
      <w:r>
        <w:rPr>
          <w:sz w:val="17"/>
        </w:rPr>
        <w:t>adresse électronique qui peuvent être utilisées pour lever toute ambiguïté sur d</w:t>
      </w:r>
      <w:r w:rsidR="0046779A">
        <w:rPr>
          <w:sz w:val="17"/>
        </w:rPr>
        <w:t>’</w:t>
      </w:r>
      <w:r>
        <w:rPr>
          <w:sz w:val="17"/>
        </w:rPr>
        <w:t xml:space="preserve">éventuelles correspondances de </w:t>
      </w:r>
      <w:proofErr w:type="gramStart"/>
      <w:r>
        <w:rPr>
          <w:sz w:val="17"/>
        </w:rPr>
        <w:t>noms;</w:t>
      </w:r>
      <w:proofErr w:type="gramEnd"/>
    </w:p>
    <w:p w14:paraId="252EA114" w14:textId="3463C761" w:rsidR="007F45C1" w:rsidRPr="00765953" w:rsidRDefault="0032477B" w:rsidP="0007429A">
      <w:pPr>
        <w:pStyle w:val="ListParagraph"/>
        <w:numPr>
          <w:ilvl w:val="0"/>
          <w:numId w:val="40"/>
        </w:numPr>
        <w:spacing w:after="200" w:line="240" w:lineRule="auto"/>
        <w:ind w:left="1134" w:hanging="567"/>
        <w:contextualSpacing w:val="0"/>
        <w:jc w:val="both"/>
        <w:rPr>
          <w:sz w:val="17"/>
          <w:szCs w:val="17"/>
        </w:rPr>
      </w:pPr>
      <w:r>
        <w:rPr>
          <w:sz w:val="17"/>
        </w:rPr>
        <w:t>“données propres”, des données précises, cohérentes et fiables, exemptes d</w:t>
      </w:r>
      <w:r w:rsidR="0046779A">
        <w:rPr>
          <w:sz w:val="17"/>
        </w:rPr>
        <w:t>’</w:t>
      </w:r>
      <w:r>
        <w:rPr>
          <w:sz w:val="17"/>
        </w:rPr>
        <w:t>erreurs et de doublo</w:t>
      </w:r>
      <w:r w:rsidR="00D83F7C">
        <w:rPr>
          <w:sz w:val="17"/>
        </w:rPr>
        <w:t>ns.  Co</w:t>
      </w:r>
      <w:r>
        <w:rPr>
          <w:sz w:val="17"/>
        </w:rPr>
        <w:t>mme il est difficile de mesurer le degré de propreté d</w:t>
      </w:r>
      <w:r w:rsidR="0046779A">
        <w:rPr>
          <w:sz w:val="17"/>
        </w:rPr>
        <w:t>’</w:t>
      </w:r>
      <w:r>
        <w:rPr>
          <w:sz w:val="17"/>
        </w:rPr>
        <w:t xml:space="preserve">un vaste ensemble de données complexes, diverses mesures peuvent être utilisées comme substituts de la propreté ou de propriétés connexes, telles que leur </w:t>
      </w:r>
      <w:proofErr w:type="gramStart"/>
      <w:r>
        <w:rPr>
          <w:sz w:val="17"/>
        </w:rPr>
        <w:t>utilité;</w:t>
      </w:r>
      <w:proofErr w:type="gramEnd"/>
    </w:p>
    <w:p w14:paraId="60AAC71E" w14:textId="2735C796" w:rsidR="0046779A" w:rsidRDefault="0032477B" w:rsidP="0007429A">
      <w:pPr>
        <w:pStyle w:val="ListParagraph"/>
        <w:numPr>
          <w:ilvl w:val="0"/>
          <w:numId w:val="40"/>
        </w:numPr>
        <w:spacing w:after="200" w:line="240" w:lineRule="auto"/>
        <w:ind w:left="1134" w:hanging="567"/>
        <w:contextualSpacing w:val="0"/>
        <w:jc w:val="both"/>
        <w:rPr>
          <w:sz w:val="17"/>
        </w:rPr>
      </w:pPr>
      <w:r>
        <w:rPr>
          <w:sz w:val="17"/>
        </w:rPr>
        <w:t>“translittération”, la mise en correspondance d</w:t>
      </w:r>
      <w:r w:rsidR="0046779A">
        <w:rPr>
          <w:sz w:val="17"/>
        </w:rPr>
        <w:t>’</w:t>
      </w:r>
      <w:r>
        <w:rPr>
          <w:sz w:val="17"/>
        </w:rPr>
        <w:t xml:space="preserve">un ou plusieurs caractères de la langue source avec un ou plusieurs caractères (phonétiques) de la langue </w:t>
      </w:r>
      <w:proofErr w:type="gramStart"/>
      <w:r>
        <w:rPr>
          <w:sz w:val="17"/>
        </w:rPr>
        <w:t>cible;</w:t>
      </w:r>
      <w:proofErr w:type="gramEnd"/>
    </w:p>
    <w:p w14:paraId="3580A258" w14:textId="07C1EC37" w:rsidR="007F45C1" w:rsidRPr="00765953" w:rsidRDefault="0032477B" w:rsidP="0007429A">
      <w:pPr>
        <w:pStyle w:val="ListParagraph"/>
        <w:numPr>
          <w:ilvl w:val="0"/>
          <w:numId w:val="40"/>
        </w:numPr>
        <w:spacing w:after="200" w:line="240" w:lineRule="auto"/>
        <w:ind w:left="1134" w:hanging="567"/>
        <w:contextualSpacing w:val="0"/>
        <w:jc w:val="both"/>
        <w:rPr>
          <w:sz w:val="17"/>
          <w:szCs w:val="17"/>
        </w:rPr>
      </w:pPr>
      <w:r>
        <w:rPr>
          <w:sz w:val="17"/>
        </w:rPr>
        <w:t>“transcription”, la mise en correspondance d</w:t>
      </w:r>
      <w:r w:rsidR="0046779A">
        <w:rPr>
          <w:sz w:val="17"/>
        </w:rPr>
        <w:t>’</w:t>
      </w:r>
      <w:r>
        <w:rPr>
          <w:sz w:val="17"/>
        </w:rPr>
        <w:t>un caractère, d</w:t>
      </w:r>
      <w:r w:rsidR="0046779A">
        <w:rPr>
          <w:sz w:val="17"/>
        </w:rPr>
        <w:t>’</w:t>
      </w:r>
      <w:r>
        <w:rPr>
          <w:sz w:val="17"/>
        </w:rPr>
        <w:t>un logogramme, d</w:t>
      </w:r>
      <w:r w:rsidR="0046779A">
        <w:rPr>
          <w:sz w:val="17"/>
        </w:rPr>
        <w:t>’</w:t>
      </w:r>
      <w:r>
        <w:rPr>
          <w:sz w:val="17"/>
        </w:rPr>
        <w:t>une syllabe ou d</w:t>
      </w:r>
      <w:r w:rsidR="0046779A">
        <w:rPr>
          <w:sz w:val="17"/>
        </w:rPr>
        <w:t>’</w:t>
      </w:r>
      <w:r>
        <w:rPr>
          <w:sz w:val="17"/>
        </w:rPr>
        <w:t xml:space="preserve">un phonème de la langue source avec quelque chose qui correspond au son dans le système correspondant de la langue </w:t>
      </w:r>
      <w:proofErr w:type="gramStart"/>
      <w:r>
        <w:rPr>
          <w:sz w:val="17"/>
        </w:rPr>
        <w:t>cible;</w:t>
      </w:r>
      <w:proofErr w:type="gramEnd"/>
    </w:p>
    <w:p w14:paraId="07CD08C3" w14:textId="58C4F2AA" w:rsidR="007F45C1" w:rsidRPr="00765953" w:rsidRDefault="0032477B" w:rsidP="0007429A">
      <w:pPr>
        <w:pStyle w:val="ListParagraph"/>
        <w:numPr>
          <w:ilvl w:val="0"/>
          <w:numId w:val="40"/>
        </w:numPr>
        <w:spacing w:after="200" w:line="240" w:lineRule="auto"/>
        <w:ind w:left="1134" w:hanging="567"/>
        <w:contextualSpacing w:val="0"/>
        <w:jc w:val="both"/>
        <w:rPr>
          <w:sz w:val="17"/>
          <w:szCs w:val="17"/>
        </w:rPr>
      </w:pPr>
      <w:r>
        <w:rPr>
          <w:sz w:val="17"/>
        </w:rPr>
        <w:t>“traduction”, la représentation du sens d</w:t>
      </w:r>
      <w:r w:rsidR="0046779A">
        <w:rPr>
          <w:sz w:val="17"/>
        </w:rPr>
        <w:t>’</w:t>
      </w:r>
      <w:r>
        <w:rPr>
          <w:sz w:val="17"/>
        </w:rPr>
        <w:t>un mot ou d</w:t>
      </w:r>
      <w:r w:rsidR="0046779A">
        <w:rPr>
          <w:sz w:val="17"/>
        </w:rPr>
        <w:t>’</w:t>
      </w:r>
      <w:r>
        <w:rPr>
          <w:sz w:val="17"/>
        </w:rPr>
        <w:t>une notion dans la langue source par quelque chose qui correspond au sens dans la langue cible.</w:t>
      </w:r>
    </w:p>
    <w:p w14:paraId="5FC3AA78" w14:textId="5B08F701" w:rsidR="00BC2BF8" w:rsidRPr="000E176E" w:rsidRDefault="00BC2BF8" w:rsidP="004E4CCA">
      <w:pPr>
        <w:pStyle w:val="Heading1"/>
        <w:rPr>
          <w:b/>
          <w:szCs w:val="17"/>
        </w:rPr>
      </w:pPr>
      <w:bookmarkStart w:id="7" w:name="_Toc150853999"/>
      <w:r>
        <w:t>C</w:t>
      </w:r>
      <w:r w:rsidR="0007429A">
        <w:t>ollecte</w:t>
      </w:r>
      <w:bookmarkEnd w:id="7"/>
    </w:p>
    <w:p w14:paraId="3BAFF606" w14:textId="6DAAEBEF" w:rsidR="00BC2BF8" w:rsidRPr="00765953" w:rsidRDefault="00103B70" w:rsidP="0007429A">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peuvent donner aux clients la possibilité de créer et de gérer des dossiers clients électroniques contenant des informations nominatives publiées</w:t>
      </w:r>
      <w:r w:rsidR="0046779A">
        <w:rPr>
          <w:sz w:val="17"/>
        </w:rPr>
        <w:t> :</w:t>
      </w:r>
      <w:r>
        <w:rPr>
          <w:sz w:val="17"/>
        </w:rPr>
        <w:t xml:space="preserve"> noms de personnes, noms d</w:t>
      </w:r>
      <w:r w:rsidR="0046779A">
        <w:rPr>
          <w:sz w:val="17"/>
        </w:rPr>
        <w:t>’</w:t>
      </w:r>
      <w:r>
        <w:rPr>
          <w:sz w:val="17"/>
        </w:rPr>
        <w:t>entreprises, noms de représentants légaux, et informations connexes telles que la ville, l</w:t>
      </w:r>
      <w:r w:rsidR="0046779A">
        <w:rPr>
          <w:sz w:val="17"/>
        </w:rPr>
        <w:t>’</w:t>
      </w:r>
      <w:r>
        <w:rPr>
          <w:sz w:val="17"/>
        </w:rPr>
        <w:t>adresse ou l</w:t>
      </w:r>
      <w:r w:rsidR="0046779A">
        <w:rPr>
          <w:sz w:val="17"/>
        </w:rPr>
        <w:t>’</w:t>
      </w:r>
      <w:r>
        <w:rPr>
          <w:sz w:val="17"/>
        </w:rPr>
        <w:t>adresse électronique.</w:t>
      </w:r>
    </w:p>
    <w:p w14:paraId="687E1267" w14:textId="03BB3DF4" w:rsidR="00BC2BF8" w:rsidRPr="00765953" w:rsidRDefault="00103B70" w:rsidP="0007429A">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devraient permettre d</w:t>
      </w:r>
      <w:r w:rsidR="0046779A">
        <w:rPr>
          <w:sz w:val="17"/>
        </w:rPr>
        <w:t>’</w:t>
      </w:r>
      <w:r>
        <w:rPr>
          <w:sz w:val="17"/>
        </w:rPr>
        <w:t>associer le dossier d</w:t>
      </w:r>
      <w:r w:rsidR="0046779A">
        <w:rPr>
          <w:sz w:val="17"/>
        </w:rPr>
        <w:t>’</w:t>
      </w:r>
      <w:r>
        <w:rPr>
          <w:sz w:val="17"/>
        </w:rPr>
        <w:t>un client à plusieurs demandes ou enregistrements de droits de propriété intellectuelle, afin que les clients puissent réutiliser les mêmes informations nominatives pour plusieurs demandes ou enregistrements et mettre à jour leurs informations nominatives à un seul et même endroit.</w:t>
      </w:r>
    </w:p>
    <w:p w14:paraId="7A0B3E5C" w14:textId="2D4258D7" w:rsidR="0046779A" w:rsidRDefault="00103B70" w:rsidP="0007429A">
      <w:pPr>
        <w:pStyle w:val="ListParagraph"/>
        <w:tabs>
          <w:tab w:val="left" w:pos="567"/>
        </w:tabs>
        <w:spacing w:after="200" w:line="240" w:lineRule="auto"/>
        <w:ind w:left="0"/>
        <w:contextualSpacing w:val="0"/>
        <w:jc w:val="both"/>
        <w:rPr>
          <w:sz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peuvent proposer un ou plusieurs formulaires que les clients peuvent utiliser pour demander aux offices de propriété intellectuelle de créer ou de modifier leur nom ou des informations connex</w:t>
      </w:r>
      <w:r w:rsidR="00D83F7C">
        <w:rPr>
          <w:sz w:val="17"/>
        </w:rPr>
        <w:t>es.  Le</w:t>
      </w:r>
      <w:r>
        <w:rPr>
          <w:sz w:val="17"/>
        </w:rPr>
        <w:t>s offices de propriété intellectuelle peuvent également permettre aux clients de saisir et de mettre à jour eux</w:t>
      </w:r>
      <w:r w:rsidR="005919EB">
        <w:rPr>
          <w:sz w:val="17"/>
        </w:rPr>
        <w:noBreakHyphen/>
      </w:r>
      <w:r>
        <w:rPr>
          <w:sz w:val="17"/>
        </w:rPr>
        <w:t>mêmes les informations nominatives ou connexes, ou peuvent exiger qu</w:t>
      </w:r>
      <w:r w:rsidR="0046779A">
        <w:rPr>
          <w:sz w:val="17"/>
        </w:rPr>
        <w:t>’</w:t>
      </w:r>
      <w:r>
        <w:rPr>
          <w:sz w:val="17"/>
        </w:rPr>
        <w:t>une partie désignée, telle que des employés, des sous</w:t>
      </w:r>
      <w:r w:rsidR="005919EB">
        <w:rPr>
          <w:sz w:val="17"/>
        </w:rPr>
        <w:noBreakHyphen/>
      </w:r>
      <w:r>
        <w:rPr>
          <w:sz w:val="17"/>
        </w:rPr>
        <w:t>traitants ou un service externe, saisisse et mette à jour les dossiers des clients à la demande de ces derniers.</w:t>
      </w:r>
    </w:p>
    <w:p w14:paraId="4DEA6567" w14:textId="532BC49D" w:rsidR="00BC2BF8" w:rsidRPr="00765953" w:rsidRDefault="00103B70" w:rsidP="0007429A">
      <w:pPr>
        <w:pStyle w:val="ListParagraph"/>
        <w:tabs>
          <w:tab w:val="left" w:pos="567"/>
        </w:tabs>
        <w:spacing w:after="200" w:line="240" w:lineRule="auto"/>
        <w:ind w:left="0"/>
        <w:contextualSpacing w:val="0"/>
        <w:jc w:val="both"/>
        <w:rPr>
          <w:sz w:val="17"/>
          <w:szCs w:val="17"/>
        </w:rPr>
      </w:pPr>
      <w:r w:rsidRPr="00765953">
        <w:rPr>
          <w:sz w:val="17"/>
        </w:rPr>
        <w:lastRenderedPageBreak/>
        <w:fldChar w:fldCharType="begin"/>
      </w:r>
      <w:r w:rsidRPr="00765953">
        <w:rPr>
          <w:sz w:val="17"/>
        </w:rPr>
        <w:instrText xml:space="preserve"> AUTONUM  </w:instrText>
      </w:r>
      <w:r w:rsidRPr="00765953">
        <w:rPr>
          <w:sz w:val="17"/>
        </w:rPr>
        <w:fldChar w:fldCharType="end"/>
      </w:r>
      <w:r>
        <w:rPr>
          <w:sz w:val="17"/>
        </w:rPr>
        <w:tab/>
        <w:t>Plusieurs dossiers pour un même client peuvent être créés et gérés par différentes entités, comme des représentants légaux différen</w:t>
      </w:r>
      <w:r w:rsidR="00D83F7C">
        <w:rPr>
          <w:sz w:val="17"/>
        </w:rPr>
        <w:t>ts.  Le</w:t>
      </w:r>
      <w:r>
        <w:rPr>
          <w:sz w:val="17"/>
        </w:rPr>
        <w:t>s offices de propriété intellectuelle devraient en tenir compte lors de la conception de leurs systèmes de dossiers clients, car il se pourrait que plusieurs dossiers concernant un même client contiennent des données légèrement différentes ou soient mis à jour à des moments différents par des représentants différents.</w:t>
      </w:r>
    </w:p>
    <w:p w14:paraId="3440F4B7" w14:textId="54651A45" w:rsidR="00BC2BF8" w:rsidRDefault="00103B70" w:rsidP="0007429A">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peuvent permettre la saisie du nom du client dans les caractères propres à la langue du client, en plus du nom du client dans la ou les langues de travail de l</w:t>
      </w:r>
      <w:r w:rsidR="0046779A">
        <w:rPr>
          <w:sz w:val="17"/>
        </w:rPr>
        <w:t>’</w:t>
      </w:r>
      <w:r>
        <w:rPr>
          <w:sz w:val="17"/>
        </w:rPr>
        <w:t>office de propriété intellectuelle, qui doit être stocké en utilisant le codage UTF</w:t>
      </w:r>
      <w:r w:rsidR="005919EB">
        <w:rPr>
          <w:sz w:val="17"/>
        </w:rPr>
        <w:noBreakHyphen/>
      </w:r>
      <w:r>
        <w:rPr>
          <w:sz w:val="17"/>
        </w:rPr>
        <w:t>8</w:t>
      </w:r>
      <w:r w:rsidR="00A92AD7">
        <w:rPr>
          <w:rStyle w:val="FootnoteReference"/>
          <w:sz w:val="17"/>
          <w:szCs w:val="17"/>
        </w:rPr>
        <w:footnoteReference w:id="2"/>
      </w:r>
      <w:r>
        <w:rPr>
          <w:sz w:val="17"/>
        </w:rPr>
        <w:t>.  Par exemple, un office de propriété intellectuelle qui travaille en anglais pourrait prévoir des champs distincts pour le nom du déposant en anglais et le nom original du déposant en coréen.</w:t>
      </w:r>
    </w:p>
    <w:p w14:paraId="3AF8D138" w14:textId="7DBDB8C8" w:rsidR="00BC2BF8" w:rsidRPr="00765953" w:rsidRDefault="00103B70" w:rsidP="0007429A">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peuvent en outre utiliser des numéros d</w:t>
      </w:r>
      <w:r w:rsidR="0046779A">
        <w:rPr>
          <w:sz w:val="17"/>
        </w:rPr>
        <w:t>’</w:t>
      </w:r>
      <w:r>
        <w:rPr>
          <w:sz w:val="17"/>
        </w:rPr>
        <w:t>identification pour identifier les clien</w:t>
      </w:r>
      <w:r w:rsidR="00D83F7C">
        <w:rPr>
          <w:sz w:val="17"/>
        </w:rPr>
        <w:t>ts.  Le</w:t>
      </w:r>
      <w:r>
        <w:rPr>
          <w:sz w:val="17"/>
        </w:rPr>
        <w:t>s numéros d</w:t>
      </w:r>
      <w:r w:rsidR="0046779A">
        <w:rPr>
          <w:sz w:val="17"/>
        </w:rPr>
        <w:t>’</w:t>
      </w:r>
      <w:r>
        <w:rPr>
          <w:sz w:val="17"/>
        </w:rPr>
        <w:t>identification peuvent être créés par l</w:t>
      </w:r>
      <w:r w:rsidR="0046779A">
        <w:rPr>
          <w:sz w:val="17"/>
        </w:rPr>
        <w:t>’</w:t>
      </w:r>
      <w:r>
        <w:rPr>
          <w:sz w:val="17"/>
        </w:rPr>
        <w:t>office de propriété intellectuelle ou tirés d</w:t>
      </w:r>
      <w:r w:rsidR="0046779A">
        <w:rPr>
          <w:sz w:val="17"/>
        </w:rPr>
        <w:t>’</w:t>
      </w:r>
      <w:r>
        <w:rPr>
          <w:sz w:val="17"/>
        </w:rPr>
        <w:t>une source externe, comme un numéro d</w:t>
      </w:r>
      <w:r w:rsidR="0046779A">
        <w:rPr>
          <w:sz w:val="17"/>
        </w:rPr>
        <w:t>’</w:t>
      </w:r>
      <w:r>
        <w:rPr>
          <w:sz w:val="17"/>
        </w:rPr>
        <w:t>entreprise enregistré ou un numéro de passepo</w:t>
      </w:r>
      <w:r w:rsidR="00D83F7C">
        <w:rPr>
          <w:sz w:val="17"/>
        </w:rPr>
        <w:t>rt.  Le</w:t>
      </w:r>
      <w:r>
        <w:rPr>
          <w:sz w:val="17"/>
        </w:rPr>
        <w:t>s numéros d</w:t>
      </w:r>
      <w:r w:rsidR="0046779A">
        <w:rPr>
          <w:sz w:val="17"/>
        </w:rPr>
        <w:t>’</w:t>
      </w:r>
      <w:r>
        <w:rPr>
          <w:sz w:val="17"/>
        </w:rPr>
        <w:t>identification ne permettent pas à eux seuls de résoudre de nombreux problèmes liés à la propreté des données clients, tels que les doublons, les changements de nom et les informations obsolètes ou incorrect</w:t>
      </w:r>
      <w:r w:rsidR="00D83F7C">
        <w:rPr>
          <w:sz w:val="17"/>
        </w:rPr>
        <w:t>es.  Le</w:t>
      </w:r>
      <w:r>
        <w:rPr>
          <w:sz w:val="17"/>
        </w:rPr>
        <w:t>s offices de propriété intellectuelle qui utilisent des numéros d</w:t>
      </w:r>
      <w:r w:rsidR="0046779A">
        <w:rPr>
          <w:sz w:val="17"/>
        </w:rPr>
        <w:t>’</w:t>
      </w:r>
      <w:r>
        <w:rPr>
          <w:sz w:val="17"/>
        </w:rPr>
        <w:t>identification devraient continuer à prêter attention et à tenir compte des considérations figurant dans les autres parties des présents principes directeurs.</w:t>
      </w:r>
    </w:p>
    <w:p w14:paraId="748655B4" w14:textId="22CC35A3" w:rsidR="008D2089" w:rsidRPr="000E176E" w:rsidRDefault="001E598E" w:rsidP="004E4CCA">
      <w:pPr>
        <w:pStyle w:val="Heading1"/>
        <w:rPr>
          <w:b/>
          <w:szCs w:val="17"/>
        </w:rPr>
      </w:pPr>
      <w:bookmarkStart w:id="8" w:name="_Hlk145928917"/>
      <w:bookmarkStart w:id="9" w:name="_Toc150854000"/>
      <w:r>
        <w:t>T</w:t>
      </w:r>
      <w:r w:rsidR="0007429A">
        <w:t>ransformation des noms</w:t>
      </w:r>
      <w:bookmarkEnd w:id="8"/>
      <w:bookmarkEnd w:id="9"/>
    </w:p>
    <w:p w14:paraId="3FC633E9" w14:textId="1DAD9AB7" w:rsidR="0046779A" w:rsidRDefault="00103B70" w:rsidP="0007429A">
      <w:pPr>
        <w:pStyle w:val="ListParagraph"/>
        <w:tabs>
          <w:tab w:val="left" w:pos="567"/>
        </w:tabs>
        <w:spacing w:after="200" w:line="240" w:lineRule="auto"/>
        <w:ind w:left="0"/>
        <w:contextualSpacing w:val="0"/>
        <w:jc w:val="both"/>
        <w:rPr>
          <w:sz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Pour l</w:t>
      </w:r>
      <w:r w:rsidR="0046779A">
        <w:rPr>
          <w:sz w:val="17"/>
        </w:rPr>
        <w:t>’</w:t>
      </w:r>
      <w:r>
        <w:rPr>
          <w:sz w:val="17"/>
        </w:rPr>
        <w:t xml:space="preserve">échange et le traitement des données, </w:t>
      </w:r>
      <w:r w:rsidR="0046779A">
        <w:rPr>
          <w:sz w:val="17"/>
        </w:rPr>
        <w:t>y compris</w:t>
      </w:r>
      <w:r>
        <w:rPr>
          <w:sz w:val="17"/>
        </w:rPr>
        <w:t xml:space="preserve"> la réception de demandes internationales ou d</w:t>
      </w:r>
      <w:r w:rsidR="0046779A">
        <w:rPr>
          <w:sz w:val="17"/>
        </w:rPr>
        <w:t>’</w:t>
      </w:r>
      <w:r>
        <w:rPr>
          <w:sz w:val="17"/>
        </w:rPr>
        <w:t>enregistrements internationaux, les offices de propriété intellectuelle peuvent envisager la possibilité de transformer les noms (voir l</w:t>
      </w:r>
      <w:r w:rsidR="0046779A">
        <w:rPr>
          <w:sz w:val="17"/>
        </w:rPr>
        <w:t>’</w:t>
      </w:r>
      <w:r>
        <w:rPr>
          <w:sz w:val="17"/>
        </w:rPr>
        <w:t>annexe du présent docume</w:t>
      </w:r>
      <w:r w:rsidR="00D83F7C">
        <w:rPr>
          <w:sz w:val="17"/>
        </w:rPr>
        <w:t>nt).  Il</w:t>
      </w:r>
      <w:r>
        <w:rPr>
          <w:sz w:val="17"/>
        </w:rPr>
        <w:t xml:space="preserve"> est recommandé que les offices de propriété intellectuelle envoient et reçoivent les données relatives aux noms en utilisant le jeu de caractères UTF</w:t>
      </w:r>
      <w:r w:rsidR="005919EB">
        <w:rPr>
          <w:sz w:val="17"/>
        </w:rPr>
        <w:noBreakHyphen/>
      </w:r>
      <w:r>
        <w:rPr>
          <w:sz w:val="17"/>
        </w:rPr>
        <w:t>8.</w:t>
      </w:r>
    </w:p>
    <w:p w14:paraId="0366E1C9" w14:textId="660C4663" w:rsidR="0046779A" w:rsidRDefault="00103B70" w:rsidP="0007429A">
      <w:pPr>
        <w:pStyle w:val="ListParagraph"/>
        <w:tabs>
          <w:tab w:val="left" w:pos="567"/>
        </w:tabs>
        <w:spacing w:after="200" w:line="240" w:lineRule="auto"/>
        <w:ind w:left="0"/>
        <w:contextualSpacing w:val="0"/>
        <w:jc w:val="both"/>
        <w:rPr>
          <w:sz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Il convient de noter que la localisation ou la conversion des noms de clients est fortement sujette à erreur, car il n</w:t>
      </w:r>
      <w:r w:rsidR="0046779A">
        <w:rPr>
          <w:sz w:val="17"/>
        </w:rPr>
        <w:t>’</w:t>
      </w:r>
      <w:r>
        <w:rPr>
          <w:sz w:val="17"/>
        </w:rPr>
        <w:t>existe pas de normes généralement acceptées ou uniform</w:t>
      </w:r>
      <w:r w:rsidR="00D83F7C">
        <w:rPr>
          <w:sz w:val="17"/>
        </w:rPr>
        <w:t>es.  Po</w:t>
      </w:r>
      <w:r>
        <w:rPr>
          <w:sz w:val="17"/>
        </w:rPr>
        <w:t>ur la localisation ou la conversion des noms, il existe trois</w:t>
      </w:r>
      <w:r w:rsidR="00651010">
        <w:rPr>
          <w:sz w:val="17"/>
        </w:rPr>
        <w:t> </w:t>
      </w:r>
      <w:r>
        <w:rPr>
          <w:sz w:val="17"/>
        </w:rPr>
        <w:t>méthodes mentionnées dans les présents principes directeurs</w:t>
      </w:r>
      <w:r w:rsidR="0046779A">
        <w:rPr>
          <w:sz w:val="17"/>
        </w:rPr>
        <w:t> :</w:t>
      </w:r>
      <w:r>
        <w:rPr>
          <w:sz w:val="17"/>
        </w:rPr>
        <w:t xml:space="preserve"> la translittération, la transcription et la traducti</w:t>
      </w:r>
      <w:r w:rsidR="00D83F7C">
        <w:rPr>
          <w:sz w:val="17"/>
        </w:rPr>
        <w:t>on.  Si</w:t>
      </w:r>
      <w:r>
        <w:rPr>
          <w:sz w:val="17"/>
        </w:rPr>
        <w:t xml:space="preserve"> les offices de propriété intellectuelle procèdent à la translittération, à la transcription ou à la traduction de caractères d</w:t>
      </w:r>
      <w:r w:rsidR="0046779A">
        <w:rPr>
          <w:sz w:val="17"/>
        </w:rPr>
        <w:t>’</w:t>
      </w:r>
      <w:r>
        <w:rPr>
          <w:sz w:val="17"/>
        </w:rPr>
        <w:t>une langue (comme le grec) à une autre (comme l</w:t>
      </w:r>
      <w:r w:rsidR="0046779A">
        <w:rPr>
          <w:sz w:val="17"/>
        </w:rPr>
        <w:t>’</w:t>
      </w:r>
      <w:r>
        <w:rPr>
          <w:sz w:val="17"/>
        </w:rPr>
        <w:t>anglais), ils devraient publier leur schéma de translittération, de transcription ou de traducti</w:t>
      </w:r>
      <w:r w:rsidR="00D83F7C">
        <w:rPr>
          <w:sz w:val="17"/>
        </w:rPr>
        <w:t>on.  Le</w:t>
      </w:r>
      <w:r>
        <w:rPr>
          <w:sz w:val="17"/>
        </w:rPr>
        <w:t xml:space="preserve"> document produit par la translittération, la transcription ou la traduction, ou des parties de ce document, doivent être mis à la disposition du client pour examen et ce dernier doit avoir la possibilité de soumettre des corrections si la translittération, la transcription ou la traduction est entachée d</w:t>
      </w:r>
      <w:r w:rsidR="0046779A">
        <w:rPr>
          <w:sz w:val="17"/>
        </w:rPr>
        <w:t>’</w:t>
      </w:r>
      <w:r>
        <w:rPr>
          <w:sz w:val="17"/>
        </w:rPr>
        <w:t>erreurs.</w:t>
      </w:r>
    </w:p>
    <w:p w14:paraId="3D8E0EC9" w14:textId="610EC5FF" w:rsidR="008D2089" w:rsidRPr="000E176E" w:rsidRDefault="00103B70" w:rsidP="0007429A">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 xml:space="preserve">La translittération inversée doit être évitée si </w:t>
      </w:r>
      <w:proofErr w:type="gramStart"/>
      <w:r>
        <w:rPr>
          <w:sz w:val="17"/>
        </w:rPr>
        <w:t xml:space="preserve">possible; </w:t>
      </w:r>
      <w:r w:rsidR="00651010">
        <w:rPr>
          <w:sz w:val="17"/>
        </w:rPr>
        <w:t xml:space="preserve"> </w:t>
      </w:r>
      <w:r>
        <w:rPr>
          <w:sz w:val="17"/>
        </w:rPr>
        <w:t>il</w:t>
      </w:r>
      <w:proofErr w:type="gramEnd"/>
      <w:r>
        <w:rPr>
          <w:sz w:val="17"/>
        </w:rPr>
        <w:t xml:space="preserve"> est recommandé d</w:t>
      </w:r>
      <w:r w:rsidR="0046779A">
        <w:rPr>
          <w:sz w:val="17"/>
        </w:rPr>
        <w:t>’</w:t>
      </w:r>
      <w:r>
        <w:rPr>
          <w:sz w:val="17"/>
        </w:rPr>
        <w:t>utiliser plutôt le nom origin</w:t>
      </w:r>
      <w:r w:rsidR="00D83F7C">
        <w:rPr>
          <w:sz w:val="17"/>
        </w:rPr>
        <w:t>al.  Pa</w:t>
      </w:r>
      <w:r>
        <w:rPr>
          <w:sz w:val="17"/>
        </w:rPr>
        <w:t>r exemple, pour une demande déposée par “</w:t>
      </w:r>
      <w:proofErr w:type="spellStart"/>
      <w:r>
        <w:rPr>
          <w:sz w:val="17"/>
        </w:rPr>
        <w:t>Phony</w:t>
      </w:r>
      <w:proofErr w:type="spellEnd"/>
      <w:r>
        <w:rPr>
          <w:sz w:val="17"/>
        </w:rPr>
        <w:t xml:space="preserve"> Corp”, une translittération en caractères grecs donnerait “</w:t>
      </w:r>
      <w:proofErr w:type="spellStart"/>
      <w:r>
        <w:rPr>
          <w:sz w:val="17"/>
        </w:rPr>
        <w:t>Φονι</w:t>
      </w:r>
      <w:proofErr w:type="spellEnd"/>
      <w:r>
        <w:rPr>
          <w:sz w:val="17"/>
        </w:rPr>
        <w:t xml:space="preserve"> </w:t>
      </w:r>
      <w:proofErr w:type="spellStart"/>
      <w:r>
        <w:rPr>
          <w:sz w:val="17"/>
        </w:rPr>
        <w:t>Κορ</w:t>
      </w:r>
      <w:proofErr w:type="spellEnd"/>
      <w:r>
        <w:rPr>
          <w:sz w:val="17"/>
        </w:rPr>
        <w:t>π” dans le système d</w:t>
      </w:r>
      <w:r w:rsidR="0046779A">
        <w:rPr>
          <w:sz w:val="17"/>
        </w:rPr>
        <w:t>’</w:t>
      </w:r>
      <w:r>
        <w:rPr>
          <w:sz w:val="17"/>
        </w:rPr>
        <w:t>un office de propriété intellectuelle et, lors de la publication et d</w:t>
      </w:r>
      <w:r w:rsidR="0046779A">
        <w:rPr>
          <w:sz w:val="17"/>
        </w:rPr>
        <w:t>’</w:t>
      </w:r>
      <w:r>
        <w:rPr>
          <w:sz w:val="17"/>
        </w:rPr>
        <w:t>une translittération inverse en caractères latins, donnerait “</w:t>
      </w:r>
      <w:proofErr w:type="spellStart"/>
      <w:r>
        <w:rPr>
          <w:sz w:val="17"/>
        </w:rPr>
        <w:t>Foni</w:t>
      </w:r>
      <w:proofErr w:type="spellEnd"/>
      <w:r>
        <w:rPr>
          <w:sz w:val="17"/>
        </w:rPr>
        <w:t xml:space="preserve"> Corp”, ce qui entraînerait des incohérenc</w:t>
      </w:r>
      <w:r w:rsidR="00D83F7C">
        <w:rPr>
          <w:sz w:val="17"/>
        </w:rPr>
        <w:t>es.  De</w:t>
      </w:r>
      <w:r>
        <w:rPr>
          <w:sz w:val="17"/>
        </w:rPr>
        <w:t xml:space="preserve">s exemples de problèmes courants liés à </w:t>
      </w:r>
      <w:r w:rsidR="00B87635">
        <w:rPr>
          <w:sz w:val="17"/>
        </w:rPr>
        <w:t xml:space="preserve">la </w:t>
      </w:r>
      <w:r>
        <w:rPr>
          <w:sz w:val="17"/>
        </w:rPr>
        <w:t>translittération, à la transcription ou à la traducti</w:t>
      </w:r>
      <w:r w:rsidR="00710E57">
        <w:rPr>
          <w:sz w:val="17"/>
        </w:rPr>
        <w:t xml:space="preserve">on inverse, ou à la </w:t>
      </w:r>
      <w:proofErr w:type="spellStart"/>
      <w:r w:rsidR="00710E57">
        <w:rPr>
          <w:sz w:val="17"/>
        </w:rPr>
        <w:t>retranslittération</w:t>
      </w:r>
      <w:proofErr w:type="spellEnd"/>
      <w:r>
        <w:rPr>
          <w:sz w:val="17"/>
        </w:rPr>
        <w:t>, à la retranscription ou à la retraduction, figurent dans l</w:t>
      </w:r>
      <w:r w:rsidR="0046779A">
        <w:rPr>
          <w:sz w:val="17"/>
        </w:rPr>
        <w:t>’</w:t>
      </w:r>
      <w:r>
        <w:rPr>
          <w:sz w:val="17"/>
        </w:rPr>
        <w:t>annexe de ces principes directeurs.</w:t>
      </w:r>
    </w:p>
    <w:p w14:paraId="645547A5" w14:textId="0938D559" w:rsidR="008D2089" w:rsidRPr="000E176E" w:rsidRDefault="008D2089" w:rsidP="004E4CCA">
      <w:pPr>
        <w:pStyle w:val="Heading1"/>
        <w:rPr>
          <w:b/>
          <w:szCs w:val="17"/>
        </w:rPr>
      </w:pPr>
      <w:bookmarkStart w:id="10" w:name="_Toc150854001"/>
      <w:r>
        <w:t>V</w:t>
      </w:r>
      <w:r w:rsidR="0007429A">
        <w:t>alidation et levée des ambiguïtés</w:t>
      </w:r>
      <w:bookmarkEnd w:id="10"/>
    </w:p>
    <w:p w14:paraId="3DCA7463" w14:textId="1B99C935" w:rsidR="00DB72C8" w:rsidRPr="00765953" w:rsidRDefault="00103B70" w:rsidP="0007429A">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méthodes de validation et de levée des ambiguïtés doivent être conçues pour répondre à des objectifs spécifiques, administratifs ou statistiques, et les méthodes appropriées doivent être appliquées en fonction de ces objecti</w:t>
      </w:r>
      <w:r w:rsidR="00D83F7C">
        <w:rPr>
          <w:sz w:val="17"/>
        </w:rPr>
        <w:t>fs.  Le</w:t>
      </w:r>
      <w:r>
        <w:rPr>
          <w:sz w:val="17"/>
        </w:rPr>
        <w:t>s méthodes de mise en correspondance et de levée des ambiguïtés concernant les des noms doivent être correctement définies et les risques doivent être évalués en fonction de leur objectif de conception, afin de garantir des niveaux appropriés de levée des ambiguïtés pour le cas d</w:t>
      </w:r>
      <w:r w:rsidR="0046779A">
        <w:rPr>
          <w:sz w:val="17"/>
        </w:rPr>
        <w:t>’</w:t>
      </w:r>
      <w:r>
        <w:rPr>
          <w:sz w:val="17"/>
        </w:rPr>
        <w:t>utilisation considéré.</w:t>
      </w:r>
    </w:p>
    <w:p w14:paraId="52BAEAA5" w14:textId="4E4A140D" w:rsidR="008D2089" w:rsidRPr="00765953" w:rsidRDefault="008D2089" w:rsidP="0007429A">
      <w:pPr>
        <w:pStyle w:val="ListParagraph"/>
        <w:tabs>
          <w:tab w:val="left" w:pos="567"/>
        </w:tabs>
        <w:spacing w:after="200" w:line="240" w:lineRule="auto"/>
        <w:ind w:left="0"/>
        <w:contextualSpacing w:val="0"/>
        <w:jc w:val="both"/>
        <w:rPr>
          <w:sz w:val="17"/>
          <w:szCs w:val="17"/>
        </w:rPr>
      </w:pPr>
      <w:r>
        <w:rPr>
          <w:sz w:val="17"/>
        </w:rPr>
        <w:t>14.</w:t>
      </w:r>
      <w:r>
        <w:rPr>
          <w:sz w:val="17"/>
        </w:rPr>
        <w:tab/>
        <w:t xml:space="preserve">Les offices de propriété intellectuelle peuvent choisir de procéder à la validation des informations soumises concernant les clients, </w:t>
      </w:r>
      <w:r w:rsidR="0046779A">
        <w:rPr>
          <w:sz w:val="17"/>
        </w:rPr>
        <w:t>y compris</w:t>
      </w:r>
      <w:r>
        <w:rPr>
          <w:sz w:val="17"/>
        </w:rPr>
        <w:t xml:space="preserve"> à des contrôles automatis</w:t>
      </w:r>
      <w:r w:rsidR="00D83F7C">
        <w:rPr>
          <w:sz w:val="17"/>
        </w:rPr>
        <w:t>és.  Le</w:t>
      </w:r>
      <w:r>
        <w:rPr>
          <w:sz w:val="17"/>
        </w:rPr>
        <w:t>s résultats de validation devraient être mis à la disposition du client, et les corrections acceptées par le client selon que de besoin, de même qu</w:t>
      </w:r>
      <w:r w:rsidR="0046779A">
        <w:rPr>
          <w:sz w:val="17"/>
        </w:rPr>
        <w:t>’</w:t>
      </w:r>
      <w:r>
        <w:rPr>
          <w:sz w:val="17"/>
        </w:rPr>
        <w:t>il faudrait disposer de moyens permettant de contourner les mécanismes de validation automatisée si celui</w:t>
      </w:r>
      <w:r w:rsidR="005919EB">
        <w:rPr>
          <w:sz w:val="17"/>
        </w:rPr>
        <w:noBreakHyphen/>
      </w:r>
      <w:r>
        <w:rPr>
          <w:sz w:val="17"/>
        </w:rPr>
        <w:t>ci fournit des résultats incorrects ou incomplets.</w:t>
      </w:r>
    </w:p>
    <w:p w14:paraId="67C890FC" w14:textId="636F747E" w:rsidR="008D2089" w:rsidRPr="00765953" w:rsidRDefault="008D2089" w:rsidP="0007429A">
      <w:pPr>
        <w:pStyle w:val="ListParagraph"/>
        <w:tabs>
          <w:tab w:val="left" w:pos="567"/>
        </w:tabs>
        <w:spacing w:after="200" w:line="240" w:lineRule="auto"/>
        <w:ind w:left="0"/>
        <w:contextualSpacing w:val="0"/>
        <w:jc w:val="both"/>
        <w:rPr>
          <w:sz w:val="17"/>
          <w:szCs w:val="17"/>
        </w:rPr>
      </w:pPr>
      <w:r>
        <w:rPr>
          <w:sz w:val="17"/>
        </w:rPr>
        <w:t>15.</w:t>
      </w:r>
      <w:r>
        <w:rPr>
          <w:sz w:val="17"/>
        </w:rPr>
        <w:tab/>
        <w:t>Les offices de propriété intellectuelle qui tentent de lever des ambiguïtés dans les dossiers nominatifs (c</w:t>
      </w:r>
      <w:r w:rsidR="0046779A">
        <w:rPr>
          <w:sz w:val="17"/>
        </w:rPr>
        <w:t>’</w:t>
      </w:r>
      <w:r>
        <w:rPr>
          <w:sz w:val="17"/>
        </w:rPr>
        <w:t>est</w:t>
      </w:r>
      <w:r w:rsidR="005919EB">
        <w:rPr>
          <w:sz w:val="17"/>
        </w:rPr>
        <w:noBreakHyphen/>
      </w:r>
      <w:r>
        <w:rPr>
          <w:sz w:val="17"/>
        </w:rPr>
        <w:t>à</w:t>
      </w:r>
      <w:r w:rsidR="005919EB">
        <w:rPr>
          <w:sz w:val="17"/>
        </w:rPr>
        <w:noBreakHyphen/>
      </w:r>
      <w:r>
        <w:rPr>
          <w:sz w:val="17"/>
        </w:rPr>
        <w:t>dire de trouver des doublons) pourraient vouloir tenir compte d</w:t>
      </w:r>
      <w:r w:rsidR="0046779A">
        <w:rPr>
          <w:sz w:val="17"/>
        </w:rPr>
        <w:t>’</w:t>
      </w:r>
      <w:r>
        <w:rPr>
          <w:sz w:val="17"/>
        </w:rPr>
        <w:t>autres éléments que les seuls noms des clien</w:t>
      </w:r>
      <w:r w:rsidR="00D83F7C">
        <w:rPr>
          <w:sz w:val="17"/>
        </w:rPr>
        <w:t>ts.  Le</w:t>
      </w:r>
      <w:r>
        <w:rPr>
          <w:sz w:val="17"/>
        </w:rPr>
        <w:t>s noms ne sont pas uniques par définiti</w:t>
      </w:r>
      <w:r w:rsidR="00D83F7C">
        <w:rPr>
          <w:sz w:val="17"/>
        </w:rPr>
        <w:t>on.  Pa</w:t>
      </w:r>
      <w:r>
        <w:rPr>
          <w:sz w:val="17"/>
        </w:rPr>
        <w:t>r exemple, il existe plusieurs personnes nommées “John Smith” ou plusieurs entreprises nommées “Data Corp”.  Si l</w:t>
      </w:r>
      <w:r w:rsidR="0046779A">
        <w:rPr>
          <w:sz w:val="17"/>
        </w:rPr>
        <w:t>’</w:t>
      </w:r>
      <w:r>
        <w:rPr>
          <w:sz w:val="17"/>
        </w:rPr>
        <w:t>on compare des éléments de données connexes, tels que la ville, le code postal, la date de naissance ou d</w:t>
      </w:r>
      <w:r w:rsidR="0046779A">
        <w:rPr>
          <w:sz w:val="17"/>
        </w:rPr>
        <w:t>’</w:t>
      </w:r>
      <w:r>
        <w:rPr>
          <w:sz w:val="17"/>
        </w:rPr>
        <w:t>autres informations, lorsqu</w:t>
      </w:r>
      <w:r w:rsidR="0046779A">
        <w:rPr>
          <w:sz w:val="17"/>
        </w:rPr>
        <w:t>’</w:t>
      </w:r>
      <w:r>
        <w:rPr>
          <w:sz w:val="17"/>
        </w:rPr>
        <w:t>elles sont disponibles, on peut augmenter la probabilité d</w:t>
      </w:r>
      <w:r w:rsidR="0046779A">
        <w:rPr>
          <w:sz w:val="17"/>
        </w:rPr>
        <w:t>’</w:t>
      </w:r>
      <w:r>
        <w:rPr>
          <w:sz w:val="17"/>
        </w:rPr>
        <w:t>obtenir des correspondances.</w:t>
      </w:r>
    </w:p>
    <w:p w14:paraId="146EF39C" w14:textId="305023D8" w:rsidR="008D2089" w:rsidRPr="00765953" w:rsidRDefault="008D2089" w:rsidP="0007429A">
      <w:pPr>
        <w:pStyle w:val="ListParagraph"/>
        <w:tabs>
          <w:tab w:val="left" w:pos="567"/>
        </w:tabs>
        <w:spacing w:after="200" w:line="240" w:lineRule="auto"/>
        <w:ind w:left="0"/>
        <w:contextualSpacing w:val="0"/>
        <w:jc w:val="both"/>
        <w:rPr>
          <w:sz w:val="17"/>
          <w:szCs w:val="17"/>
        </w:rPr>
      </w:pPr>
      <w:r>
        <w:rPr>
          <w:sz w:val="17"/>
        </w:rPr>
        <w:t>16.</w:t>
      </w:r>
      <w:r>
        <w:rPr>
          <w:sz w:val="17"/>
        </w:rPr>
        <w:tab/>
        <w:t xml:space="preserve">Tout processus de validation ou de levée </w:t>
      </w:r>
      <w:proofErr w:type="gramStart"/>
      <w:r>
        <w:rPr>
          <w:sz w:val="17"/>
        </w:rPr>
        <w:t>des ambiguïtés lancé</w:t>
      </w:r>
      <w:proofErr w:type="gramEnd"/>
      <w:r>
        <w:rPr>
          <w:sz w:val="17"/>
        </w:rPr>
        <w:t xml:space="preserve"> par l</w:t>
      </w:r>
      <w:r w:rsidR="0046779A">
        <w:rPr>
          <w:sz w:val="17"/>
        </w:rPr>
        <w:t>’</w:t>
      </w:r>
      <w:r>
        <w:rPr>
          <w:sz w:val="17"/>
        </w:rPr>
        <w:t>office de propriété intellectuelle et susceptible d</w:t>
      </w:r>
      <w:r w:rsidR="0046779A">
        <w:rPr>
          <w:sz w:val="17"/>
        </w:rPr>
        <w:t>’</w:t>
      </w:r>
      <w:r>
        <w:rPr>
          <w:sz w:val="17"/>
        </w:rPr>
        <w:t>avoir des conséquences juridiques, comme la correction ou la normalisation du nom du propriétaire enregistré d</w:t>
      </w:r>
      <w:r w:rsidR="0046779A">
        <w:rPr>
          <w:sz w:val="17"/>
        </w:rPr>
        <w:t>’</w:t>
      </w:r>
      <w:r>
        <w:rPr>
          <w:sz w:val="17"/>
        </w:rPr>
        <w:t>un droit de propriété intellectuelle, doit être validé par le client avant que le changement ne soit effectué dans le système de l</w:t>
      </w:r>
      <w:r w:rsidR="0046779A">
        <w:rPr>
          <w:sz w:val="17"/>
        </w:rPr>
        <w:t>’</w:t>
      </w:r>
      <w:r>
        <w:rPr>
          <w:sz w:val="17"/>
        </w:rPr>
        <w:t>office de propriété intellectuelle.</w:t>
      </w:r>
    </w:p>
    <w:p w14:paraId="28EF10AE" w14:textId="600C2921" w:rsidR="008D2089" w:rsidRPr="000E176E" w:rsidRDefault="008D2089" w:rsidP="004E4CCA">
      <w:pPr>
        <w:pStyle w:val="Heading1"/>
        <w:rPr>
          <w:b/>
          <w:szCs w:val="17"/>
        </w:rPr>
      </w:pPr>
      <w:bookmarkStart w:id="11" w:name="_Toc150854002"/>
      <w:r>
        <w:lastRenderedPageBreak/>
        <w:t>M</w:t>
      </w:r>
      <w:r w:rsidR="0007429A">
        <w:t>aintenance</w:t>
      </w:r>
      <w:bookmarkEnd w:id="11"/>
    </w:p>
    <w:p w14:paraId="4EE243C9" w14:textId="78943CE9" w:rsidR="0046779A" w:rsidRDefault="008D2089" w:rsidP="0007429A">
      <w:pPr>
        <w:pStyle w:val="ListParagraph"/>
        <w:tabs>
          <w:tab w:val="left" w:pos="567"/>
        </w:tabs>
        <w:spacing w:after="200" w:line="240" w:lineRule="auto"/>
        <w:ind w:left="0"/>
        <w:contextualSpacing w:val="0"/>
        <w:jc w:val="both"/>
        <w:rPr>
          <w:sz w:val="17"/>
        </w:rPr>
      </w:pPr>
      <w:r>
        <w:rPr>
          <w:sz w:val="17"/>
        </w:rPr>
        <w:t>17.</w:t>
      </w:r>
      <w:r>
        <w:rPr>
          <w:sz w:val="17"/>
        </w:rPr>
        <w:tab/>
        <w:t>Les offices de propriété intellectuelle devraient élaborer une stratégie de nettoyage périodique des données dans les bases de données des noms des clients, comprenant la recherche et la résolution des doublons, c</w:t>
      </w:r>
      <w:r w:rsidR="0046779A">
        <w:rPr>
          <w:sz w:val="17"/>
        </w:rPr>
        <w:t>’</w:t>
      </w:r>
      <w:r>
        <w:rPr>
          <w:sz w:val="17"/>
        </w:rPr>
        <w:t>est</w:t>
      </w:r>
      <w:r w:rsidR="005919EB">
        <w:rPr>
          <w:sz w:val="17"/>
        </w:rPr>
        <w:noBreakHyphen/>
      </w:r>
      <w:r>
        <w:rPr>
          <w:sz w:val="17"/>
        </w:rPr>
        <w:t>à</w:t>
      </w:r>
      <w:r w:rsidR="005919EB">
        <w:rPr>
          <w:sz w:val="17"/>
        </w:rPr>
        <w:noBreakHyphen/>
      </w:r>
      <w:r>
        <w:rPr>
          <w:sz w:val="17"/>
        </w:rPr>
        <w:t>dire les enregistrements multiples pour la même enti</w:t>
      </w:r>
      <w:r w:rsidR="00D83F7C">
        <w:rPr>
          <w:sz w:val="17"/>
        </w:rPr>
        <w:t>té.  Da</w:t>
      </w:r>
      <w:r>
        <w:rPr>
          <w:sz w:val="17"/>
        </w:rPr>
        <w:t>ns certains cas, les doublons pourront être fusionnés ou combinés, comme dans le cas d</w:t>
      </w:r>
      <w:r w:rsidR="0046779A">
        <w:rPr>
          <w:sz w:val="17"/>
        </w:rPr>
        <w:t>’</w:t>
      </w:r>
      <w:r>
        <w:rPr>
          <w:sz w:val="17"/>
        </w:rPr>
        <w:t>enregistrements présentant de légères différences d</w:t>
      </w:r>
      <w:r w:rsidR="0046779A">
        <w:rPr>
          <w:sz w:val="17"/>
        </w:rPr>
        <w:t>’</w:t>
      </w:r>
      <w:r>
        <w:rPr>
          <w:sz w:val="17"/>
        </w:rPr>
        <w:t>orthographe involontaires, tels que “ABC Corp” et “ABC Corp.”.  Dans d</w:t>
      </w:r>
      <w:r w:rsidR="0046779A">
        <w:rPr>
          <w:sz w:val="17"/>
        </w:rPr>
        <w:t>’</w:t>
      </w:r>
      <w:r>
        <w:rPr>
          <w:sz w:val="17"/>
        </w:rPr>
        <w:t>autres cas, il peut être préférable de tenir des dossiers sépar</w:t>
      </w:r>
      <w:r w:rsidR="00D83F7C">
        <w:rPr>
          <w:sz w:val="17"/>
        </w:rPr>
        <w:t>és.  Ch</w:t>
      </w:r>
      <w:r>
        <w:rPr>
          <w:sz w:val="17"/>
        </w:rPr>
        <w:t>aque office de propriété intellectuelle devrait décider de l</w:t>
      </w:r>
      <w:r w:rsidR="0046779A">
        <w:rPr>
          <w:sz w:val="17"/>
        </w:rPr>
        <w:t>’</w:t>
      </w:r>
      <w:r>
        <w:rPr>
          <w:sz w:val="17"/>
        </w:rPr>
        <w:t>approche qui convient le mieux à son propre système de gestion des dossiers clien</w:t>
      </w:r>
      <w:r w:rsidR="00D83F7C">
        <w:rPr>
          <w:sz w:val="17"/>
        </w:rPr>
        <w:t>ts.  La</w:t>
      </w:r>
      <w:r>
        <w:rPr>
          <w:sz w:val="17"/>
        </w:rPr>
        <w:t xml:space="preserve"> stratégie peut faire intervenir les clients concernés par les dossiers dans le processus de nettoyage des données et la responsabilité des données nettoyées.</w:t>
      </w:r>
    </w:p>
    <w:p w14:paraId="356F5DA1" w14:textId="49B638BF" w:rsidR="008D2089" w:rsidRPr="00765953" w:rsidRDefault="008D2089" w:rsidP="0007429A">
      <w:pPr>
        <w:pStyle w:val="ListParagraph"/>
        <w:tabs>
          <w:tab w:val="left" w:pos="567"/>
        </w:tabs>
        <w:spacing w:after="200" w:line="240" w:lineRule="auto"/>
        <w:ind w:left="0"/>
        <w:contextualSpacing w:val="0"/>
        <w:jc w:val="both"/>
        <w:rPr>
          <w:sz w:val="17"/>
          <w:szCs w:val="17"/>
        </w:rPr>
      </w:pPr>
      <w:r>
        <w:rPr>
          <w:sz w:val="17"/>
        </w:rPr>
        <w:t>18.</w:t>
      </w:r>
      <w:r>
        <w:rPr>
          <w:sz w:val="17"/>
        </w:rPr>
        <w:tab/>
        <w:t>Les offices de propriété intellectuelle devraient proposer aux clients un mécanisme qui leur permette de mettre à jour les informations nominatives sur plusieurs demandes ou droits de propriété intellectuelle en saisissant ces informations une seule fo</w:t>
      </w:r>
      <w:r w:rsidR="00D83F7C">
        <w:rPr>
          <w:sz w:val="17"/>
        </w:rPr>
        <w:t>is.  Po</w:t>
      </w:r>
      <w:r>
        <w:rPr>
          <w:sz w:val="17"/>
        </w:rPr>
        <w:t>ur ce faire, on pourrait, par exemple, associer chaque demande ou droit de propriété intellectuelle à un seul dossier client contenant des informations sur le nom, ou permettre aux clients de sélectionner plusieurs demandes ou droits de propriété intellectuelle et de soumettre une seule fois des informations actualisées sur le nom à utiliser pour toutes ces demandes ou droits.</w:t>
      </w:r>
    </w:p>
    <w:p w14:paraId="0C67AE0D" w14:textId="3A601ADA" w:rsidR="008D2089" w:rsidRPr="00765953" w:rsidRDefault="008D2089" w:rsidP="0007429A">
      <w:pPr>
        <w:pStyle w:val="ListParagraph"/>
        <w:tabs>
          <w:tab w:val="left" w:pos="567"/>
        </w:tabs>
        <w:spacing w:after="200" w:line="240" w:lineRule="auto"/>
        <w:ind w:left="0"/>
        <w:contextualSpacing w:val="0"/>
        <w:jc w:val="both"/>
        <w:rPr>
          <w:sz w:val="17"/>
          <w:szCs w:val="17"/>
        </w:rPr>
      </w:pPr>
      <w:r>
        <w:rPr>
          <w:sz w:val="17"/>
        </w:rPr>
        <w:t>19.</w:t>
      </w:r>
      <w:r>
        <w:rPr>
          <w:sz w:val="17"/>
        </w:rPr>
        <w:tab/>
        <w:t>Les offices de propriété intellectuelle peuvent désigner une personne chargée de traiter les questions relatives à la propreté des données, notamment d</w:t>
      </w:r>
      <w:r w:rsidR="0046779A">
        <w:rPr>
          <w:sz w:val="17"/>
        </w:rPr>
        <w:t>’</w:t>
      </w:r>
      <w:r>
        <w:rPr>
          <w:sz w:val="17"/>
        </w:rPr>
        <w:t>élaborer des critères pour déterminer la propreté des données, d</w:t>
      </w:r>
      <w:r w:rsidR="0046779A">
        <w:rPr>
          <w:sz w:val="17"/>
        </w:rPr>
        <w:t>’</w:t>
      </w:r>
      <w:r>
        <w:rPr>
          <w:sz w:val="17"/>
        </w:rPr>
        <w:t>assurer un suivi et d</w:t>
      </w:r>
      <w:r w:rsidR="0046779A">
        <w:rPr>
          <w:sz w:val="17"/>
        </w:rPr>
        <w:t>’</w:t>
      </w:r>
      <w:r>
        <w:rPr>
          <w:sz w:val="17"/>
        </w:rPr>
        <w:t>établir des rapports réguliers sur ces critères, et de prendre des mesures pour améliorer la qualité des données clients selon que de besoin.</w:t>
      </w:r>
    </w:p>
    <w:p w14:paraId="65F2EB09" w14:textId="02E05547" w:rsidR="008D2089" w:rsidRPr="000E176E" w:rsidRDefault="008D2089" w:rsidP="004E4CCA">
      <w:pPr>
        <w:pStyle w:val="Heading1"/>
        <w:rPr>
          <w:b/>
          <w:szCs w:val="17"/>
        </w:rPr>
      </w:pPr>
      <w:bookmarkStart w:id="12" w:name="_Toc150854003"/>
      <w:r>
        <w:t>P</w:t>
      </w:r>
      <w:r w:rsidR="0007429A">
        <w:t>ublication et échange de données</w:t>
      </w:r>
      <w:bookmarkEnd w:id="12"/>
    </w:p>
    <w:p w14:paraId="332F9730" w14:textId="7EBC62E8" w:rsidR="008D2089" w:rsidRPr="00765953" w:rsidRDefault="008D2089" w:rsidP="0007429A">
      <w:pPr>
        <w:pStyle w:val="ListParagraph"/>
        <w:tabs>
          <w:tab w:val="left" w:pos="567"/>
        </w:tabs>
        <w:spacing w:after="200" w:line="240" w:lineRule="auto"/>
        <w:ind w:left="0"/>
        <w:contextualSpacing w:val="0"/>
        <w:jc w:val="both"/>
        <w:rPr>
          <w:sz w:val="17"/>
          <w:szCs w:val="17"/>
        </w:rPr>
      </w:pPr>
      <w:r>
        <w:rPr>
          <w:sz w:val="17"/>
        </w:rPr>
        <w:t>20.</w:t>
      </w:r>
      <w:r>
        <w:rPr>
          <w:sz w:val="17"/>
        </w:rPr>
        <w:tab/>
        <w:t>Les offices de propriété intellectuelle devraient mettre à disposition les mises à jour des informations nominatives qui sont effectuées après la publication d</w:t>
      </w:r>
      <w:r w:rsidR="0046779A">
        <w:rPr>
          <w:sz w:val="17"/>
        </w:rPr>
        <w:t>’</w:t>
      </w:r>
      <w:r>
        <w:rPr>
          <w:sz w:val="17"/>
        </w:rPr>
        <w:t>un droit de propriété intellectuel</w:t>
      </w:r>
      <w:r w:rsidR="00D83F7C">
        <w:rPr>
          <w:sz w:val="17"/>
        </w:rPr>
        <w:t>le.  Pa</w:t>
      </w:r>
      <w:r>
        <w:rPr>
          <w:sz w:val="17"/>
        </w:rPr>
        <w:t>r exemple, si “ABC Corp” remplace son nom par “XYZ Corp” dans le dossier client, le nom “XYZ Corp” devrait être associé au droit de propriété intellectuelle dans les publications en lig</w:t>
      </w:r>
      <w:r w:rsidR="00D83F7C">
        <w:rPr>
          <w:sz w:val="17"/>
        </w:rPr>
        <w:t>ne.  Le</w:t>
      </w:r>
      <w:r>
        <w:rPr>
          <w:sz w:val="17"/>
        </w:rPr>
        <w:t xml:space="preserve"> nom original peut également apparaître sur le droit de propriété intellectuelle publié, selon les exigences légales de l</w:t>
      </w:r>
      <w:r w:rsidR="0046779A">
        <w:rPr>
          <w:sz w:val="17"/>
        </w:rPr>
        <w:t>’</w:t>
      </w:r>
      <w:r>
        <w:rPr>
          <w:sz w:val="17"/>
        </w:rPr>
        <w:t>office de propriété intellectuelle.</w:t>
      </w:r>
    </w:p>
    <w:p w14:paraId="43C7CD1A" w14:textId="751DE153" w:rsidR="008D2089" w:rsidRPr="00765953" w:rsidRDefault="008D2089" w:rsidP="0007429A">
      <w:pPr>
        <w:pStyle w:val="ListParagraph"/>
        <w:tabs>
          <w:tab w:val="left" w:pos="567"/>
        </w:tabs>
        <w:spacing w:after="200" w:line="240" w:lineRule="auto"/>
        <w:ind w:left="0"/>
        <w:contextualSpacing w:val="0"/>
        <w:jc w:val="both"/>
        <w:rPr>
          <w:sz w:val="17"/>
          <w:szCs w:val="17"/>
        </w:rPr>
      </w:pPr>
      <w:r>
        <w:rPr>
          <w:sz w:val="17"/>
        </w:rPr>
        <w:t>21.</w:t>
      </w:r>
      <w:r>
        <w:rPr>
          <w:sz w:val="17"/>
        </w:rPr>
        <w:tab/>
        <w:t>Si un office de propriété intellectuelle a d</w:t>
      </w:r>
      <w:r w:rsidR="0046779A">
        <w:rPr>
          <w:sz w:val="17"/>
        </w:rPr>
        <w:t>’</w:t>
      </w:r>
      <w:r>
        <w:rPr>
          <w:sz w:val="17"/>
        </w:rPr>
        <w:t>autres formes de noms de clients, comme le nom original exprimé à l</w:t>
      </w:r>
      <w:r w:rsidR="0046779A">
        <w:rPr>
          <w:sz w:val="17"/>
        </w:rPr>
        <w:t>’</w:t>
      </w:r>
      <w:r>
        <w:rPr>
          <w:sz w:val="17"/>
        </w:rPr>
        <w:t>aide de caractères propres à la langue du client, celles</w:t>
      </w:r>
      <w:r w:rsidR="005919EB">
        <w:rPr>
          <w:sz w:val="17"/>
        </w:rPr>
        <w:noBreakHyphen/>
      </w:r>
      <w:r>
        <w:rPr>
          <w:sz w:val="17"/>
        </w:rPr>
        <w:t>ci doivent être incluses dans les données publiées et les données échangées avec les autres offices de propriété intellectuelle.</w:t>
      </w:r>
    </w:p>
    <w:p w14:paraId="63142EEB" w14:textId="7B68DDBA" w:rsidR="008D2089" w:rsidRPr="00765953" w:rsidRDefault="008D2089" w:rsidP="0007429A">
      <w:pPr>
        <w:pStyle w:val="ListParagraph"/>
        <w:tabs>
          <w:tab w:val="left" w:pos="567"/>
        </w:tabs>
        <w:spacing w:after="200" w:line="240" w:lineRule="auto"/>
        <w:ind w:left="0"/>
        <w:contextualSpacing w:val="0"/>
        <w:jc w:val="both"/>
        <w:rPr>
          <w:sz w:val="17"/>
          <w:szCs w:val="17"/>
        </w:rPr>
      </w:pPr>
      <w:r>
        <w:rPr>
          <w:sz w:val="17"/>
        </w:rPr>
        <w:t>22.</w:t>
      </w:r>
      <w:r>
        <w:rPr>
          <w:sz w:val="17"/>
        </w:rPr>
        <w:tab/>
        <w:t>Si un office de propriété intellectuelle utilise des numéros d</w:t>
      </w:r>
      <w:r w:rsidR="0046779A">
        <w:rPr>
          <w:sz w:val="17"/>
        </w:rPr>
        <w:t>’</w:t>
      </w:r>
      <w:r>
        <w:rPr>
          <w:sz w:val="17"/>
        </w:rPr>
        <w:t>identification pour identifier les entités, ces numéros doivent figurer dans les données publiées et les données échangées avec les autres offices de propriété intellectuel</w:t>
      </w:r>
      <w:r w:rsidR="00D83F7C">
        <w:rPr>
          <w:sz w:val="17"/>
        </w:rPr>
        <w:t>le.  Si</w:t>
      </w:r>
      <w:r>
        <w:rPr>
          <w:sz w:val="17"/>
        </w:rPr>
        <w:t xml:space="preserve"> les numéros d</w:t>
      </w:r>
      <w:r w:rsidR="0046779A">
        <w:rPr>
          <w:sz w:val="17"/>
        </w:rPr>
        <w:t>’</w:t>
      </w:r>
      <w:r>
        <w:rPr>
          <w:sz w:val="17"/>
        </w:rPr>
        <w:t>identification sont confidentiels et ne peuvent être partagés, l</w:t>
      </w:r>
      <w:r w:rsidR="0046779A">
        <w:rPr>
          <w:sz w:val="17"/>
        </w:rPr>
        <w:t>’</w:t>
      </w:r>
      <w:r>
        <w:rPr>
          <w:sz w:val="17"/>
        </w:rPr>
        <w:t>office de propriété intellectuelle doit indiquer quelles données clients utilisent ces numéros d</w:t>
      </w:r>
      <w:r w:rsidR="0046779A">
        <w:rPr>
          <w:sz w:val="17"/>
        </w:rPr>
        <w:t>’</w:t>
      </w:r>
      <w:r>
        <w:rPr>
          <w:sz w:val="17"/>
        </w:rPr>
        <w:t>identification, par exemple en remplaçant les numéros confidentiels par des numéros uniques générés pour la publication.</w:t>
      </w:r>
    </w:p>
    <w:p w14:paraId="45A0B397" w14:textId="2375E378" w:rsidR="008D2089" w:rsidRPr="000E176E" w:rsidRDefault="008D2089" w:rsidP="004E4CCA">
      <w:pPr>
        <w:pStyle w:val="Heading1"/>
        <w:rPr>
          <w:b/>
          <w:szCs w:val="17"/>
        </w:rPr>
      </w:pPr>
      <w:bookmarkStart w:id="13" w:name="_Toc150854004"/>
      <w:r>
        <w:t>U</w:t>
      </w:r>
      <w:r w:rsidR="0007429A">
        <w:t>tilisation à des fins statistiques</w:t>
      </w:r>
      <w:bookmarkEnd w:id="13"/>
    </w:p>
    <w:p w14:paraId="74F95191" w14:textId="00B374CE" w:rsidR="008D2089" w:rsidRPr="00765953" w:rsidRDefault="0007429A" w:rsidP="0007429A">
      <w:pPr>
        <w:pStyle w:val="ListParagraph"/>
        <w:tabs>
          <w:tab w:val="left" w:pos="567"/>
        </w:tabs>
        <w:spacing w:after="200" w:line="240" w:lineRule="auto"/>
        <w:ind w:left="0"/>
        <w:contextualSpacing w:val="0"/>
        <w:jc w:val="both"/>
        <w:rPr>
          <w:sz w:val="17"/>
          <w:szCs w:val="17"/>
        </w:rPr>
      </w:pPr>
      <w:r>
        <w:rPr>
          <w:sz w:val="17"/>
        </w:rPr>
        <w:t>23.</w:t>
      </w:r>
      <w:r>
        <w:rPr>
          <w:sz w:val="17"/>
        </w:rPr>
        <w:tab/>
      </w:r>
      <w:r w:rsidR="008D2089">
        <w:rPr>
          <w:sz w:val="17"/>
        </w:rPr>
        <w:t>À des fins statistiques, les offices de propriété intellectuelle peuvent tenter de rapprocher les données clients et des variations des noms des clients, ou d</w:t>
      </w:r>
      <w:r w:rsidR="0046779A">
        <w:rPr>
          <w:sz w:val="17"/>
        </w:rPr>
        <w:t>’</w:t>
      </w:r>
      <w:r w:rsidR="008D2089">
        <w:rPr>
          <w:sz w:val="17"/>
        </w:rPr>
        <w:t>autres champs, afin d</w:t>
      </w:r>
      <w:r w:rsidR="0046779A">
        <w:rPr>
          <w:sz w:val="17"/>
        </w:rPr>
        <w:t>’</w:t>
      </w:r>
      <w:r w:rsidR="008D2089">
        <w:rPr>
          <w:sz w:val="17"/>
        </w:rPr>
        <w:t>obtenir des chiffres plus préc</w:t>
      </w:r>
      <w:r w:rsidR="00D83F7C">
        <w:rPr>
          <w:sz w:val="17"/>
        </w:rPr>
        <w:t>is.  Da</w:t>
      </w:r>
      <w:r w:rsidR="008D2089">
        <w:rPr>
          <w:sz w:val="17"/>
        </w:rPr>
        <w:t>ns ce cas, les offices de propriété intellectuelle devraient publier leur stratégie ou leur algorithme de correspondance ainsi que leurs résultats statistiques afin que les autres puissent comprendre la méthodologie employée.</w:t>
      </w:r>
    </w:p>
    <w:p w14:paraId="0F1DD89E" w14:textId="25B5FA94" w:rsidR="00A143FD" w:rsidRPr="000E176E" w:rsidRDefault="00765953" w:rsidP="0082561C">
      <w:pPr>
        <w:pStyle w:val="Heading1"/>
        <w:rPr>
          <w:szCs w:val="17"/>
        </w:rPr>
      </w:pPr>
      <w:bookmarkStart w:id="14" w:name="_Toc150854005"/>
      <w:r>
        <w:t>R</w:t>
      </w:r>
      <w:r w:rsidR="0007429A">
        <w:t>éférences</w:t>
      </w:r>
      <w:bookmarkEnd w:id="14"/>
    </w:p>
    <w:p w14:paraId="6456D4C3" w14:textId="29CEB78A" w:rsidR="00765953" w:rsidRDefault="00B957DA" w:rsidP="0007429A">
      <w:pPr>
        <w:tabs>
          <w:tab w:val="left" w:pos="567"/>
        </w:tabs>
        <w:rPr>
          <w:sz w:val="17"/>
          <w:szCs w:val="17"/>
        </w:rPr>
      </w:pPr>
      <w:r>
        <w:rPr>
          <w:sz w:val="17"/>
        </w:rPr>
        <w:t>24.</w:t>
      </w:r>
      <w:r>
        <w:rPr>
          <w:sz w:val="17"/>
        </w:rPr>
        <w:tab/>
        <w:t>Aux fins de la présente série de principes directeurs, il est utile de se reporter aux normes suivantes</w:t>
      </w:r>
      <w:r w:rsidR="0046779A">
        <w:rPr>
          <w:sz w:val="17"/>
        </w:rPr>
        <w:t> :</w:t>
      </w:r>
    </w:p>
    <w:p w14:paraId="5CADA9CE" w14:textId="094EA387" w:rsidR="00765953" w:rsidRPr="000E176E" w:rsidRDefault="00765953" w:rsidP="004E4CCA">
      <w:pPr>
        <w:rPr>
          <w:sz w:val="17"/>
          <w:szCs w:val="17"/>
        </w:rPr>
      </w:pPr>
      <w:r>
        <w:rPr>
          <w:sz w:val="17"/>
        </w:rPr>
        <w:t>Norme</w:t>
      </w:r>
      <w:r w:rsidRPr="00910AC8">
        <w:rPr>
          <w:color w:val="0D0D0D" w:themeColor="text1" w:themeTint="F2"/>
          <w:sz w:val="17"/>
        </w:rPr>
        <w:t> </w:t>
      </w:r>
      <w:hyperlink r:id="rId10" w:history="1">
        <w:r w:rsidRPr="00910AC8">
          <w:rPr>
            <w:rStyle w:val="Hyperlink"/>
            <w:color w:val="0D0D0D" w:themeColor="text1" w:themeTint="F2"/>
            <w:sz w:val="17"/>
          </w:rPr>
          <w:t>ST.20</w:t>
        </w:r>
      </w:hyperlink>
      <w:r>
        <w:rPr>
          <w:sz w:val="17"/>
        </w:rPr>
        <w:t xml:space="preserve"> de l</w:t>
      </w:r>
      <w:r w:rsidR="0046779A">
        <w:rPr>
          <w:sz w:val="17"/>
        </w:rPr>
        <w:t>’</w:t>
      </w:r>
      <w:r w:rsidR="0007429A">
        <w:rPr>
          <w:sz w:val="17"/>
        </w:rPr>
        <w:t>OMPI</w:t>
      </w:r>
      <w:r w:rsidR="0007429A">
        <w:rPr>
          <w:sz w:val="17"/>
        </w:rPr>
        <w:tab/>
      </w:r>
      <w:r>
        <w:rPr>
          <w:sz w:val="17"/>
        </w:rPr>
        <w:t>Établissement d</w:t>
      </w:r>
      <w:r w:rsidR="0046779A">
        <w:rPr>
          <w:sz w:val="17"/>
        </w:rPr>
        <w:t>’</w:t>
      </w:r>
      <w:r>
        <w:rPr>
          <w:sz w:val="17"/>
        </w:rPr>
        <w:t>index des noms propres apparaissant sur les documents de brevet</w:t>
      </w:r>
    </w:p>
    <w:p w14:paraId="098896DD" w14:textId="6EBFA30D" w:rsidR="006F3935" w:rsidRPr="00765953" w:rsidRDefault="000A37EB" w:rsidP="0007429A">
      <w:pPr>
        <w:spacing w:before="720"/>
        <w:ind w:left="5533"/>
        <w:jc w:val="right"/>
        <w:rPr>
          <w:sz w:val="17"/>
          <w:szCs w:val="17"/>
        </w:rPr>
        <w:sectPr w:rsidR="006F3935" w:rsidRPr="00765953" w:rsidSect="004E4CCA">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cols w:space="720"/>
          <w:titlePg/>
          <w:docGrid w:linePitch="326"/>
        </w:sectPr>
      </w:pPr>
      <w:r>
        <w:rPr>
          <w:sz w:val="17"/>
        </w:rPr>
        <w:t>[L</w:t>
      </w:r>
      <w:r w:rsidR="0046779A">
        <w:rPr>
          <w:sz w:val="17"/>
        </w:rPr>
        <w:t>’</w:t>
      </w:r>
      <w:r>
        <w:rPr>
          <w:sz w:val="17"/>
        </w:rPr>
        <w:t>annexe suit]</w:t>
      </w:r>
    </w:p>
    <w:p w14:paraId="519753FA" w14:textId="0E33A223" w:rsidR="00E27864" w:rsidRPr="00765953" w:rsidRDefault="00E27864" w:rsidP="004E4CCA">
      <w:pPr>
        <w:rPr>
          <w:sz w:val="17"/>
          <w:szCs w:val="17"/>
        </w:rPr>
      </w:pPr>
    </w:p>
    <w:p w14:paraId="3EDECDCC" w14:textId="7F4C1D20" w:rsidR="00462B59" w:rsidRPr="000E176E" w:rsidRDefault="00462B59" w:rsidP="004E4CCA">
      <w:pPr>
        <w:pStyle w:val="Heading1"/>
        <w:jc w:val="center"/>
        <w:rPr>
          <w:b/>
          <w:szCs w:val="17"/>
        </w:rPr>
      </w:pPr>
      <w:bookmarkStart w:id="15" w:name="_ANNEX_I"/>
      <w:bookmarkStart w:id="16" w:name="_Toc58494566"/>
      <w:bookmarkStart w:id="17" w:name="_Toc150854006"/>
      <w:bookmarkEnd w:id="15"/>
      <w:r>
        <w:t>A</w:t>
      </w:r>
      <w:r w:rsidR="00CA6B8F">
        <w:t>nnexe</w:t>
      </w:r>
      <w:bookmarkEnd w:id="16"/>
      <w:bookmarkEnd w:id="17"/>
    </w:p>
    <w:p w14:paraId="542A4BE9" w14:textId="77777777" w:rsidR="0046779A" w:rsidRDefault="007F45C1" w:rsidP="004E4CCA">
      <w:pPr>
        <w:spacing w:line="240" w:lineRule="auto"/>
        <w:jc w:val="center"/>
        <w:rPr>
          <w:caps/>
          <w:sz w:val="17"/>
        </w:rPr>
      </w:pPr>
      <w:r>
        <w:rPr>
          <w:caps/>
          <w:sz w:val="17"/>
        </w:rPr>
        <w:t>Différents moyens de transformation des noms</w:t>
      </w:r>
    </w:p>
    <w:p w14:paraId="5E491678" w14:textId="594F5986" w:rsidR="002A5D77" w:rsidRPr="00765953" w:rsidRDefault="002A5D77" w:rsidP="004E4CCA">
      <w:pPr>
        <w:spacing w:line="240" w:lineRule="auto"/>
        <w:jc w:val="center"/>
        <w:rPr>
          <w:caps/>
          <w:sz w:val="17"/>
          <w:szCs w:val="17"/>
        </w:rPr>
      </w:pPr>
    </w:p>
    <w:p w14:paraId="22F1AD8F" w14:textId="30DD22F0" w:rsidR="001C4A56" w:rsidRPr="00765953" w:rsidRDefault="005D15D2" w:rsidP="004E4CCA">
      <w:pPr>
        <w:spacing w:line="240" w:lineRule="auto"/>
        <w:jc w:val="center"/>
        <w:rPr>
          <w:i/>
          <w:iCs/>
          <w:sz w:val="17"/>
          <w:szCs w:val="17"/>
        </w:rPr>
      </w:pPr>
      <w:r>
        <w:rPr>
          <w:i/>
          <w:sz w:val="17"/>
        </w:rPr>
        <w:t>Proposition présentée au Comité des normes de l</w:t>
      </w:r>
      <w:r w:rsidR="0046779A">
        <w:rPr>
          <w:i/>
          <w:sz w:val="17"/>
        </w:rPr>
        <w:t>’</w:t>
      </w:r>
      <w:r>
        <w:rPr>
          <w:i/>
          <w:sz w:val="17"/>
        </w:rPr>
        <w:t>OMPI (CWS) pour approbation</w:t>
      </w:r>
    </w:p>
    <w:p w14:paraId="2C9C18C6" w14:textId="55AD1625" w:rsidR="001C4A56" w:rsidRPr="00765953" w:rsidRDefault="001C4A56" w:rsidP="004E4CCA">
      <w:pPr>
        <w:spacing w:line="240" w:lineRule="auto"/>
        <w:jc w:val="center"/>
        <w:rPr>
          <w:i/>
          <w:iCs/>
          <w:sz w:val="17"/>
          <w:szCs w:val="17"/>
        </w:rPr>
      </w:pPr>
      <w:proofErr w:type="gramStart"/>
      <w:r>
        <w:rPr>
          <w:i/>
          <w:sz w:val="17"/>
        </w:rPr>
        <w:t>à</w:t>
      </w:r>
      <w:proofErr w:type="gramEnd"/>
      <w:r>
        <w:rPr>
          <w:i/>
          <w:sz w:val="17"/>
        </w:rPr>
        <w:t xml:space="preserve"> sa onz</w:t>
      </w:r>
      <w:r w:rsidR="0046779A">
        <w:rPr>
          <w:i/>
          <w:sz w:val="17"/>
        </w:rPr>
        <w:t>ième session</w:t>
      </w:r>
    </w:p>
    <w:p w14:paraId="4BF7DE6D" w14:textId="1A28043B" w:rsidR="008C30D1" w:rsidRPr="00765953" w:rsidRDefault="008C30D1" w:rsidP="004E4CCA">
      <w:pPr>
        <w:kinsoku w:val="0"/>
        <w:spacing w:after="340"/>
        <w:ind w:right="11"/>
        <w:rPr>
          <w:caps/>
          <w:sz w:val="17"/>
          <w:szCs w:val="17"/>
        </w:rPr>
      </w:pPr>
    </w:p>
    <w:p w14:paraId="18651873" w14:textId="21BCA8AA" w:rsidR="008C30D1" w:rsidRPr="00765953" w:rsidRDefault="008C30D1" w:rsidP="004E4CCA">
      <w:pPr>
        <w:pStyle w:val="ListParagraph"/>
        <w:spacing w:after="200" w:line="240" w:lineRule="auto"/>
        <w:ind w:left="0"/>
        <w:contextualSpacing w:val="0"/>
        <w:rPr>
          <w:sz w:val="17"/>
          <w:szCs w:val="17"/>
        </w:rPr>
      </w:pPr>
      <w:r>
        <w:rPr>
          <w:sz w:val="17"/>
        </w:rPr>
        <w:t>Bien que la translittération et la transcription soient des notions distinctes d</w:t>
      </w:r>
      <w:r w:rsidR="0046779A">
        <w:rPr>
          <w:sz w:val="17"/>
        </w:rPr>
        <w:t>’</w:t>
      </w:r>
      <w:r>
        <w:rPr>
          <w:sz w:val="17"/>
        </w:rPr>
        <w:t>un point de vue linguistique, le résultat est généralement très similaire pour les systèmes d</w:t>
      </w:r>
      <w:r w:rsidR="0046779A">
        <w:rPr>
          <w:sz w:val="17"/>
        </w:rPr>
        <w:t>’</w:t>
      </w:r>
      <w:r>
        <w:rPr>
          <w:sz w:val="17"/>
        </w:rPr>
        <w:t>écriture basés sur des caractèr</w:t>
      </w:r>
      <w:r w:rsidR="00D83F7C">
        <w:rPr>
          <w:sz w:val="17"/>
        </w:rPr>
        <w:t>es.  Ce</w:t>
      </w:r>
      <w:r>
        <w:rPr>
          <w:sz w:val="17"/>
        </w:rPr>
        <w:t>pendant, la transcription offre un résultat plus pratique, car seuls les caractères standard de la langue cible sont nécessaires pour la conversion.</w:t>
      </w:r>
    </w:p>
    <w:p w14:paraId="7967AF0B" w14:textId="01BA0E77" w:rsidR="008C30D1" w:rsidRPr="00765953" w:rsidRDefault="008C30D1" w:rsidP="004E4CCA">
      <w:pPr>
        <w:pStyle w:val="ListParagraph"/>
        <w:spacing w:after="200" w:line="240" w:lineRule="auto"/>
        <w:ind w:left="0"/>
        <w:contextualSpacing w:val="0"/>
        <w:rPr>
          <w:sz w:val="17"/>
          <w:szCs w:val="17"/>
        </w:rPr>
      </w:pPr>
      <w:r>
        <w:rPr>
          <w:sz w:val="17"/>
        </w:rPr>
        <w:t>L</w:t>
      </w:r>
      <w:r w:rsidR="0046779A">
        <w:rPr>
          <w:sz w:val="17"/>
        </w:rPr>
        <w:t>’</w:t>
      </w:r>
      <w:r>
        <w:rPr>
          <w:sz w:val="17"/>
        </w:rPr>
        <w:t>anglais étant la lingua franca de l</w:t>
      </w:r>
      <w:r w:rsidR="0046779A">
        <w:rPr>
          <w:sz w:val="17"/>
        </w:rPr>
        <w:t>’</w:t>
      </w:r>
      <w:r>
        <w:rPr>
          <w:sz w:val="17"/>
        </w:rPr>
        <w:t>économie mondialisée, on oublie généralement que la transcription est rarement normalisée entre deux</w:t>
      </w:r>
      <w:r w:rsidR="00651010">
        <w:rPr>
          <w:sz w:val="17"/>
        </w:rPr>
        <w:t> </w:t>
      </w:r>
      <w:r>
        <w:rPr>
          <w:sz w:val="17"/>
        </w:rPr>
        <w:t>langu</w:t>
      </w:r>
      <w:r w:rsidR="00D83F7C">
        <w:rPr>
          <w:sz w:val="17"/>
        </w:rPr>
        <w:t>es.  Da</w:t>
      </w:r>
      <w:r>
        <w:rPr>
          <w:sz w:val="17"/>
        </w:rPr>
        <w:t xml:space="preserve">ns le meilleur des cas on trouve des définitions officielles pour [xx] </w:t>
      </w:r>
      <w:r w:rsidR="005919EB">
        <w:rPr>
          <w:sz w:val="17"/>
        </w:rPr>
        <w:noBreakHyphen/>
      </w:r>
      <w:r>
        <w:rPr>
          <w:sz w:val="17"/>
        </w:rPr>
        <w:t xml:space="preserve">&gt; [en], ce qui permet de supposer que [xx] </w:t>
      </w:r>
      <w:r w:rsidR="005919EB">
        <w:rPr>
          <w:sz w:val="17"/>
        </w:rPr>
        <w:noBreakHyphen/>
      </w:r>
      <w:r>
        <w:rPr>
          <w:sz w:val="17"/>
        </w:rPr>
        <w:t xml:space="preserve">&gt; [en] </w:t>
      </w:r>
      <w:r w:rsidR="005919EB">
        <w:rPr>
          <w:sz w:val="17"/>
        </w:rPr>
        <w:noBreakHyphen/>
      </w:r>
      <w:r>
        <w:rPr>
          <w:sz w:val="17"/>
        </w:rPr>
        <w:t>&gt; [</w:t>
      </w:r>
      <w:proofErr w:type="spellStart"/>
      <w:r>
        <w:rPr>
          <w:sz w:val="17"/>
        </w:rPr>
        <w:t>yy</w:t>
      </w:r>
      <w:proofErr w:type="spellEnd"/>
      <w:r>
        <w:rPr>
          <w:sz w:val="17"/>
        </w:rPr>
        <w:t xml:space="preserve">] est égal à [xx] </w:t>
      </w:r>
      <w:r w:rsidR="005919EB">
        <w:rPr>
          <w:sz w:val="17"/>
        </w:rPr>
        <w:noBreakHyphen/>
      </w:r>
      <w:r>
        <w:rPr>
          <w:sz w:val="17"/>
        </w:rPr>
        <w:t>&gt; [</w:t>
      </w:r>
      <w:proofErr w:type="spellStart"/>
      <w:r>
        <w:rPr>
          <w:sz w:val="17"/>
        </w:rPr>
        <w:t>yy</w:t>
      </w:r>
      <w:proofErr w:type="spellEnd"/>
      <w:r>
        <w:rPr>
          <w:sz w:val="17"/>
        </w:rPr>
        <w:t>], ce qui n</w:t>
      </w:r>
      <w:r w:rsidR="0046779A">
        <w:rPr>
          <w:sz w:val="17"/>
        </w:rPr>
        <w:t>’</w:t>
      </w:r>
      <w:r>
        <w:rPr>
          <w:sz w:val="17"/>
        </w:rPr>
        <w:t>est généralement pas correct.</w:t>
      </w:r>
    </w:p>
    <w:p w14:paraId="5C4C798C" w14:textId="46792037" w:rsidR="008C30D1" w:rsidRPr="00765953" w:rsidRDefault="008C30D1" w:rsidP="004E4CCA">
      <w:pPr>
        <w:pStyle w:val="Heading1"/>
      </w:pPr>
      <w:bookmarkStart w:id="18" w:name="_Toc150854007"/>
      <w:r>
        <w:t>Exemples de translittération</w:t>
      </w:r>
      <w:r w:rsidR="00BE355A" w:rsidRPr="00765953">
        <w:rPr>
          <w:rStyle w:val="FootnoteReference"/>
          <w:szCs w:val="17"/>
        </w:rPr>
        <w:footnoteReference w:id="3"/>
      </w:r>
      <w:bookmarkEnd w:id="18"/>
    </w:p>
    <w:p w14:paraId="135DAB70" w14:textId="77195063" w:rsidR="009F181F" w:rsidRPr="00765953" w:rsidRDefault="009F181F" w:rsidP="004E4CCA">
      <w:pPr>
        <w:rPr>
          <w:sz w:val="17"/>
          <w:szCs w:val="17"/>
        </w:rPr>
      </w:pPr>
      <w:r>
        <w:rPr>
          <w:sz w:val="17"/>
        </w:rPr>
        <w:t xml:space="preserve">La </w:t>
      </w:r>
      <w:r w:rsidRPr="00765953">
        <w:rPr>
          <w:sz w:val="17"/>
        </w:rPr>
        <w:fldChar w:fldCharType="begin"/>
      </w:r>
      <w:r w:rsidRPr="00765953">
        <w:rPr>
          <w:sz w:val="17"/>
        </w:rPr>
        <w:instrText xml:space="preserve"> REF _Ref148630193 \h </w:instrText>
      </w:r>
      <w:r w:rsidR="00765953">
        <w:rPr>
          <w:sz w:val="17"/>
        </w:rPr>
        <w:instrText xml:space="preserve"> \* MERGEFORMAT </w:instrText>
      </w:r>
      <w:r w:rsidRPr="00765953">
        <w:rPr>
          <w:sz w:val="17"/>
        </w:rPr>
      </w:r>
      <w:r w:rsidRPr="00765953">
        <w:rPr>
          <w:sz w:val="17"/>
        </w:rPr>
        <w:fldChar w:fldCharType="separate"/>
      </w:r>
      <w:r w:rsidR="00E61C6D">
        <w:rPr>
          <w:sz w:val="17"/>
        </w:rPr>
        <w:t>Figure </w:t>
      </w:r>
      <w:r w:rsidR="00E61C6D" w:rsidRPr="00E61C6D">
        <w:rPr>
          <w:sz w:val="17"/>
        </w:rPr>
        <w:t>1</w:t>
      </w:r>
      <w:r w:rsidRPr="00765953">
        <w:rPr>
          <w:sz w:val="17"/>
        </w:rPr>
        <w:fldChar w:fldCharType="end"/>
      </w:r>
      <w:r>
        <w:rPr>
          <w:sz w:val="17"/>
        </w:rPr>
        <w:t xml:space="preserve"> présente ci</w:t>
      </w:r>
      <w:r w:rsidR="005919EB">
        <w:rPr>
          <w:sz w:val="17"/>
        </w:rPr>
        <w:noBreakHyphen/>
      </w:r>
      <w:r>
        <w:rPr>
          <w:sz w:val="17"/>
        </w:rPr>
        <w:t>dessous un exemple de courrier et des remarques concernant cette translittération.</w:t>
      </w:r>
    </w:p>
    <w:p w14:paraId="7CDFC8B9" w14:textId="3AAF68E1" w:rsidR="008C30D1" w:rsidRPr="00765953" w:rsidRDefault="00B07FB1" w:rsidP="004E4CCA">
      <w:pPr>
        <w:pStyle w:val="ListParagraph"/>
        <w:spacing w:after="200" w:line="240" w:lineRule="auto"/>
        <w:ind w:left="0"/>
        <w:contextualSpacing w:val="0"/>
        <w:rPr>
          <w:sz w:val="17"/>
          <w:szCs w:val="17"/>
        </w:rPr>
      </w:pPr>
      <w:r>
        <w:rPr>
          <w:noProof/>
          <w:sz w:val="17"/>
          <w:lang w:val="en-US" w:eastAsia="en-US"/>
        </w:rPr>
        <w:drawing>
          <wp:inline distT="0" distB="0" distL="0" distR="0" wp14:anchorId="7E1FA2EE" wp14:editId="6D40C5D1">
            <wp:extent cx="4228571" cy="2561905"/>
            <wp:effectExtent l="0" t="0" r="635" b="0"/>
            <wp:docPr id="1" name="Picture 1" descr="Gros plan d’u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1A4149D3" w14:textId="4FDF53D8" w:rsidR="009F181F" w:rsidRPr="000E176E" w:rsidRDefault="009F181F" w:rsidP="004E4CCA">
      <w:pPr>
        <w:pStyle w:val="Caption"/>
        <w:rPr>
          <w:b w:val="0"/>
          <w:bCs w:val="0"/>
          <w:sz w:val="17"/>
          <w:szCs w:val="17"/>
        </w:rPr>
      </w:pPr>
      <w:bookmarkStart w:id="19" w:name="_Ref148630193"/>
      <w:r>
        <w:rPr>
          <w:b w:val="0"/>
          <w:sz w:val="17"/>
        </w:rPr>
        <w:t>Figure </w:t>
      </w:r>
      <w:r w:rsidRPr="000E176E">
        <w:rPr>
          <w:b w:val="0"/>
          <w:sz w:val="17"/>
        </w:rPr>
        <w:fldChar w:fldCharType="begin"/>
      </w:r>
      <w:r w:rsidRPr="000E176E">
        <w:rPr>
          <w:b w:val="0"/>
          <w:sz w:val="17"/>
        </w:rPr>
        <w:instrText xml:space="preserve"> SEQ Figure \* ARABIC </w:instrText>
      </w:r>
      <w:r w:rsidRPr="000E176E">
        <w:rPr>
          <w:b w:val="0"/>
          <w:sz w:val="17"/>
        </w:rPr>
        <w:fldChar w:fldCharType="separate"/>
      </w:r>
      <w:r w:rsidR="00E61C6D">
        <w:rPr>
          <w:b w:val="0"/>
          <w:noProof/>
          <w:sz w:val="17"/>
        </w:rPr>
        <w:t>1</w:t>
      </w:r>
      <w:r w:rsidRPr="000E176E">
        <w:rPr>
          <w:b w:val="0"/>
          <w:sz w:val="17"/>
        </w:rPr>
        <w:fldChar w:fldCharType="end"/>
      </w:r>
      <w:bookmarkEnd w:id="19"/>
      <w:r w:rsidR="0046779A">
        <w:rPr>
          <w:b w:val="0"/>
          <w:sz w:val="17"/>
        </w:rPr>
        <w:t> :</w:t>
      </w:r>
      <w:r>
        <w:rPr>
          <w:b w:val="0"/>
          <w:sz w:val="17"/>
        </w:rPr>
        <w:t xml:space="preserve"> Exemple de translittération</w:t>
      </w:r>
    </w:p>
    <w:p w14:paraId="4D6AECAB" w14:textId="77777777" w:rsidR="000E176E" w:rsidRDefault="000E176E" w:rsidP="004E4CCA">
      <w:pPr>
        <w:spacing w:line="240" w:lineRule="auto"/>
        <w:rPr>
          <w:bCs/>
          <w:caps/>
          <w:kern w:val="32"/>
          <w:sz w:val="17"/>
          <w:szCs w:val="17"/>
        </w:rPr>
      </w:pPr>
      <w:r>
        <w:br w:type="page"/>
      </w:r>
    </w:p>
    <w:p w14:paraId="03E7CC03" w14:textId="6B8D3263" w:rsidR="009F181F" w:rsidRPr="00765953" w:rsidRDefault="008C30D1" w:rsidP="004E4CCA">
      <w:pPr>
        <w:pStyle w:val="Heading1"/>
      </w:pPr>
      <w:bookmarkStart w:id="20" w:name="_Toc150854008"/>
      <w:r>
        <w:lastRenderedPageBreak/>
        <w:t>Exemples de transcription</w:t>
      </w:r>
      <w:bookmarkEnd w:id="20"/>
    </w:p>
    <w:p w14:paraId="6A0CFE22" w14:textId="2DE32D90" w:rsidR="00027BF3" w:rsidRPr="00765953" w:rsidRDefault="00027BF3" w:rsidP="004E4CCA">
      <w:pPr>
        <w:rPr>
          <w:sz w:val="17"/>
          <w:szCs w:val="17"/>
        </w:rPr>
      </w:pPr>
      <w:r>
        <w:rPr>
          <w:sz w:val="17"/>
        </w:rPr>
        <w:t>Voici des exemples où la transcription peut entraîner des inexactitudes</w:t>
      </w:r>
      <w:r w:rsidR="0046779A">
        <w:rPr>
          <w:sz w:val="17"/>
        </w:rPr>
        <w:t> :</w:t>
      </w:r>
    </w:p>
    <w:p w14:paraId="13CBD155" w14:textId="33EECE3A" w:rsidR="008C30D1" w:rsidRPr="00765953" w:rsidRDefault="008C30D1" w:rsidP="004E4CCA">
      <w:pPr>
        <w:pStyle w:val="ListParagraph"/>
        <w:spacing w:after="200" w:line="240" w:lineRule="auto"/>
        <w:ind w:left="0"/>
        <w:contextualSpacing w:val="0"/>
        <w:jc w:val="both"/>
        <w:rPr>
          <w:sz w:val="17"/>
          <w:szCs w:val="17"/>
        </w:rPr>
      </w:pPr>
      <w:r>
        <w:rPr>
          <w:sz w:val="17"/>
        </w:rPr>
        <w:t>[</w:t>
      </w:r>
      <w:proofErr w:type="gramStart"/>
      <w:r>
        <w:rPr>
          <w:sz w:val="17"/>
        </w:rPr>
        <w:t>ru</w:t>
      </w:r>
      <w:proofErr w:type="gramEnd"/>
      <w:r>
        <w:rPr>
          <w:sz w:val="17"/>
        </w:rPr>
        <w:t>]</w:t>
      </w:r>
      <w:r w:rsidR="0046779A">
        <w:rPr>
          <w:sz w:val="17"/>
        </w:rPr>
        <w:t> :</w:t>
      </w:r>
      <w:r>
        <w:rPr>
          <w:sz w:val="17"/>
        </w:rPr>
        <w:t xml:space="preserve"> Ш → [de]</w:t>
      </w:r>
      <w:r w:rsidR="000E1101">
        <w:rPr>
          <w:sz w:val="17"/>
        </w:rPr>
        <w:t> </w:t>
      </w:r>
      <w:r>
        <w:rPr>
          <w:sz w:val="17"/>
        </w:rPr>
        <w:t xml:space="preserve">: </w:t>
      </w:r>
      <w:proofErr w:type="spellStart"/>
      <w:r>
        <w:rPr>
          <w:sz w:val="17"/>
        </w:rPr>
        <w:t>sch</w:t>
      </w:r>
      <w:proofErr w:type="spellEnd"/>
      <w:r w:rsidR="00F1455E" w:rsidRPr="00765953">
        <w:rPr>
          <w:rStyle w:val="FootnoteReference"/>
          <w:sz w:val="17"/>
          <w:szCs w:val="17"/>
        </w:rPr>
        <w:footnoteReference w:id="4"/>
      </w:r>
    </w:p>
    <w:p w14:paraId="0D2A78EF" w14:textId="706F735F" w:rsidR="008C30D1" w:rsidRPr="00765953" w:rsidRDefault="008C30D1" w:rsidP="004E4CCA">
      <w:pPr>
        <w:pStyle w:val="ListParagraph"/>
        <w:spacing w:after="200" w:line="240" w:lineRule="auto"/>
        <w:ind w:left="0"/>
        <w:contextualSpacing w:val="0"/>
        <w:jc w:val="both"/>
        <w:rPr>
          <w:sz w:val="17"/>
          <w:szCs w:val="17"/>
        </w:rPr>
      </w:pPr>
      <w:r>
        <w:rPr>
          <w:sz w:val="17"/>
        </w:rPr>
        <w:t>[</w:t>
      </w:r>
      <w:proofErr w:type="gramStart"/>
      <w:r>
        <w:rPr>
          <w:sz w:val="17"/>
        </w:rPr>
        <w:t>ru</w:t>
      </w:r>
      <w:proofErr w:type="gramEnd"/>
      <w:r>
        <w:rPr>
          <w:sz w:val="17"/>
        </w:rPr>
        <w:t>]</w:t>
      </w:r>
      <w:r w:rsidR="000E1101">
        <w:rPr>
          <w:sz w:val="17"/>
        </w:rPr>
        <w:t> </w:t>
      </w:r>
      <w:r>
        <w:rPr>
          <w:sz w:val="17"/>
        </w:rPr>
        <w:t>: Ш → [en]</w:t>
      </w:r>
      <w:r w:rsidR="000E1101">
        <w:rPr>
          <w:sz w:val="17"/>
        </w:rPr>
        <w:t> </w:t>
      </w:r>
      <w:r>
        <w:rPr>
          <w:sz w:val="17"/>
        </w:rPr>
        <w:t>: sh</w:t>
      </w:r>
    </w:p>
    <w:p w14:paraId="56E6150E" w14:textId="443C5B47" w:rsidR="0046779A" w:rsidRPr="00C70717" w:rsidRDefault="008C30D1" w:rsidP="004E4CCA">
      <w:pPr>
        <w:pStyle w:val="ListParagraph"/>
        <w:spacing w:after="200" w:line="240" w:lineRule="auto"/>
        <w:ind w:left="0"/>
        <w:contextualSpacing w:val="0"/>
        <w:jc w:val="both"/>
        <w:rPr>
          <w:sz w:val="17"/>
        </w:rPr>
      </w:pPr>
      <w:r w:rsidRPr="00C70717">
        <w:rPr>
          <w:sz w:val="17"/>
        </w:rPr>
        <w:t>[</w:t>
      </w:r>
      <w:proofErr w:type="gramStart"/>
      <w:r w:rsidRPr="00C70717">
        <w:rPr>
          <w:sz w:val="17"/>
        </w:rPr>
        <w:t>ko</w:t>
      </w:r>
      <w:proofErr w:type="gramEnd"/>
      <w:r w:rsidRPr="00C70717">
        <w:rPr>
          <w:sz w:val="17"/>
        </w:rPr>
        <w:t>]</w:t>
      </w:r>
      <w:r w:rsidR="0046779A" w:rsidRPr="00C70717">
        <w:rPr>
          <w:sz w:val="17"/>
        </w:rPr>
        <w:t> :</w:t>
      </w:r>
      <w:r w:rsidRPr="00C70717">
        <w:rPr>
          <w:sz w:val="17"/>
        </w:rPr>
        <w:t xml:space="preserve"> </w:t>
      </w:r>
      <w:r>
        <w:rPr>
          <w:sz w:val="17"/>
        </w:rPr>
        <w:t>ㅑ</w:t>
      </w:r>
      <w:r w:rsidRPr="00C70717">
        <w:rPr>
          <w:sz w:val="17"/>
        </w:rPr>
        <w:t>→ [de]</w:t>
      </w:r>
      <w:r w:rsidR="0046779A" w:rsidRPr="00C70717">
        <w:rPr>
          <w:sz w:val="17"/>
        </w:rPr>
        <w:t> :</w:t>
      </w:r>
      <w:r w:rsidRPr="00C70717">
        <w:rPr>
          <w:sz w:val="17"/>
        </w:rPr>
        <w:t xml:space="preserve"> </w:t>
      </w:r>
      <w:proofErr w:type="spellStart"/>
      <w:r w:rsidRPr="00C70717">
        <w:rPr>
          <w:sz w:val="17"/>
        </w:rPr>
        <w:t>ja</w:t>
      </w:r>
      <w:proofErr w:type="spellEnd"/>
      <w:r w:rsidR="00F1455E" w:rsidRPr="00765953">
        <w:rPr>
          <w:rStyle w:val="FootnoteReference"/>
          <w:sz w:val="17"/>
          <w:szCs w:val="17"/>
        </w:rPr>
        <w:footnoteReference w:id="5"/>
      </w:r>
    </w:p>
    <w:p w14:paraId="66214016" w14:textId="5B027434" w:rsidR="008C30D1" w:rsidRPr="0046779A" w:rsidRDefault="008C30D1" w:rsidP="004E4CCA">
      <w:pPr>
        <w:pStyle w:val="ListParagraph"/>
        <w:spacing w:after="200" w:line="240" w:lineRule="auto"/>
        <w:ind w:left="0"/>
        <w:contextualSpacing w:val="0"/>
        <w:jc w:val="both"/>
        <w:rPr>
          <w:sz w:val="17"/>
          <w:szCs w:val="17"/>
          <w:lang w:val="es-ES"/>
        </w:rPr>
      </w:pPr>
      <w:r w:rsidRPr="0046779A">
        <w:rPr>
          <w:sz w:val="17"/>
          <w:lang w:val="es-ES"/>
        </w:rPr>
        <w:t>[</w:t>
      </w:r>
      <w:proofErr w:type="spellStart"/>
      <w:r w:rsidRPr="0046779A">
        <w:rPr>
          <w:sz w:val="17"/>
          <w:lang w:val="es-ES"/>
        </w:rPr>
        <w:t>ko</w:t>
      </w:r>
      <w:proofErr w:type="spellEnd"/>
      <w:proofErr w:type="gramStart"/>
      <w:r w:rsidRPr="0046779A">
        <w:rPr>
          <w:sz w:val="17"/>
          <w:lang w:val="es-ES"/>
        </w:rPr>
        <w:t>]</w:t>
      </w:r>
      <w:r w:rsidR="0046779A">
        <w:rPr>
          <w:sz w:val="17"/>
          <w:lang w:val="es-ES"/>
        </w:rPr>
        <w:t> :</w:t>
      </w:r>
      <w:proofErr w:type="gramEnd"/>
      <w:r w:rsidRPr="0046779A">
        <w:rPr>
          <w:sz w:val="17"/>
          <w:lang w:val="es-ES"/>
        </w:rPr>
        <w:t xml:space="preserve"> </w:t>
      </w:r>
      <w:r>
        <w:rPr>
          <w:sz w:val="17"/>
        </w:rPr>
        <w:t>ㅑ</w:t>
      </w:r>
      <w:r w:rsidRPr="0046779A">
        <w:rPr>
          <w:sz w:val="17"/>
          <w:lang w:val="es-ES"/>
        </w:rPr>
        <w:t>→ [en]</w:t>
      </w:r>
      <w:r w:rsidR="0046779A">
        <w:rPr>
          <w:sz w:val="17"/>
          <w:lang w:val="es-ES"/>
        </w:rPr>
        <w:t> :</w:t>
      </w:r>
      <w:r w:rsidRPr="0046779A">
        <w:rPr>
          <w:sz w:val="17"/>
          <w:lang w:val="es-ES"/>
        </w:rPr>
        <w:t xml:space="preserve"> ya</w:t>
      </w:r>
    </w:p>
    <w:p w14:paraId="24A470FF" w14:textId="667E5860" w:rsidR="008C30D1" w:rsidRPr="0046779A" w:rsidRDefault="008C30D1" w:rsidP="004E4CCA">
      <w:pPr>
        <w:pStyle w:val="ListParagraph"/>
        <w:spacing w:after="200" w:line="240" w:lineRule="auto"/>
        <w:ind w:left="0"/>
        <w:contextualSpacing w:val="0"/>
        <w:jc w:val="both"/>
        <w:rPr>
          <w:sz w:val="17"/>
          <w:szCs w:val="17"/>
          <w:lang w:val="es-ES"/>
        </w:rPr>
      </w:pPr>
      <w:r w:rsidRPr="0046779A">
        <w:rPr>
          <w:sz w:val="17"/>
          <w:lang w:val="es-ES"/>
        </w:rPr>
        <w:t>[gr</w:t>
      </w:r>
      <w:proofErr w:type="gramStart"/>
      <w:r w:rsidRPr="0046779A">
        <w:rPr>
          <w:sz w:val="17"/>
          <w:lang w:val="es-ES"/>
        </w:rPr>
        <w:t>]</w:t>
      </w:r>
      <w:r w:rsidR="0046779A">
        <w:rPr>
          <w:sz w:val="17"/>
          <w:lang w:val="es-ES"/>
        </w:rPr>
        <w:t> :</w:t>
      </w:r>
      <w:proofErr w:type="gramEnd"/>
      <w:r w:rsidRPr="0046779A">
        <w:rPr>
          <w:sz w:val="17"/>
          <w:lang w:val="es-ES"/>
        </w:rPr>
        <w:t xml:space="preserve"> Ω → </w:t>
      </w:r>
      <w:proofErr w:type="spellStart"/>
      <w:r w:rsidRPr="0046779A">
        <w:rPr>
          <w:sz w:val="17"/>
          <w:lang w:val="es-ES"/>
        </w:rPr>
        <w:t>latin</w:t>
      </w:r>
      <w:proofErr w:type="spellEnd"/>
      <w:r w:rsidR="0046779A">
        <w:rPr>
          <w:sz w:val="17"/>
          <w:lang w:val="es-ES"/>
        </w:rPr>
        <w:t> :</w:t>
      </w:r>
      <w:r w:rsidRPr="0046779A">
        <w:rPr>
          <w:sz w:val="17"/>
          <w:lang w:val="es-ES"/>
        </w:rPr>
        <w:t xml:space="preserve"> O</w:t>
      </w:r>
      <w:r w:rsidR="00F1455E" w:rsidRPr="00765953">
        <w:rPr>
          <w:rStyle w:val="FootnoteReference"/>
          <w:sz w:val="17"/>
          <w:szCs w:val="17"/>
        </w:rPr>
        <w:footnoteReference w:id="6"/>
      </w:r>
    </w:p>
    <w:p w14:paraId="538FBAC8" w14:textId="45BA66F0" w:rsidR="008C30D1" w:rsidRPr="00C70717" w:rsidRDefault="008C30D1" w:rsidP="004E4CCA">
      <w:pPr>
        <w:pStyle w:val="ListParagraph"/>
        <w:spacing w:after="200" w:line="240" w:lineRule="auto"/>
        <w:ind w:left="0"/>
        <w:contextualSpacing w:val="0"/>
        <w:jc w:val="both"/>
        <w:rPr>
          <w:sz w:val="17"/>
          <w:szCs w:val="17"/>
        </w:rPr>
      </w:pPr>
      <w:r w:rsidRPr="00C70717">
        <w:rPr>
          <w:sz w:val="17"/>
        </w:rPr>
        <w:t>[</w:t>
      </w:r>
      <w:proofErr w:type="gramStart"/>
      <w:r w:rsidRPr="00C70717">
        <w:rPr>
          <w:sz w:val="17"/>
        </w:rPr>
        <w:t>da</w:t>
      </w:r>
      <w:proofErr w:type="gramEnd"/>
      <w:r w:rsidRPr="00C70717">
        <w:rPr>
          <w:sz w:val="17"/>
        </w:rPr>
        <w:t>]</w:t>
      </w:r>
      <w:r w:rsidR="0046779A" w:rsidRPr="00C70717">
        <w:rPr>
          <w:sz w:val="17"/>
        </w:rPr>
        <w:t> :</w:t>
      </w:r>
      <w:r w:rsidRPr="00C70717">
        <w:rPr>
          <w:sz w:val="17"/>
        </w:rPr>
        <w:t xml:space="preserve"> Æ → [de]</w:t>
      </w:r>
      <w:r w:rsidR="0046779A" w:rsidRPr="00C70717">
        <w:rPr>
          <w:sz w:val="17"/>
        </w:rPr>
        <w:t> :</w:t>
      </w:r>
      <w:r w:rsidRPr="00C70717">
        <w:rPr>
          <w:sz w:val="17"/>
        </w:rPr>
        <w:t xml:space="preserve"> Ä ou AE, [en]</w:t>
      </w:r>
      <w:r w:rsidR="000E1101">
        <w:rPr>
          <w:sz w:val="17"/>
        </w:rPr>
        <w:t> </w:t>
      </w:r>
      <w:r w:rsidRPr="00C70717">
        <w:rPr>
          <w:sz w:val="17"/>
        </w:rPr>
        <w:t>: AE</w:t>
      </w:r>
      <w:r w:rsidR="00F1455E" w:rsidRPr="00765953">
        <w:rPr>
          <w:rStyle w:val="FootnoteReference"/>
          <w:sz w:val="17"/>
          <w:szCs w:val="17"/>
        </w:rPr>
        <w:footnoteReference w:id="7"/>
      </w:r>
    </w:p>
    <w:p w14:paraId="4BFD63D2" w14:textId="77777777" w:rsidR="008C30D1" w:rsidRPr="00C70717" w:rsidRDefault="008C30D1" w:rsidP="004E4CCA">
      <w:pPr>
        <w:pStyle w:val="ListParagraph"/>
        <w:spacing w:after="200" w:line="240" w:lineRule="auto"/>
        <w:ind w:left="0"/>
        <w:contextualSpacing w:val="0"/>
        <w:jc w:val="both"/>
        <w:rPr>
          <w:sz w:val="17"/>
          <w:szCs w:val="17"/>
        </w:rPr>
      </w:pPr>
    </w:p>
    <w:p w14:paraId="52EB4EF9" w14:textId="5830DC99" w:rsidR="008C30D1" w:rsidRPr="00765953" w:rsidRDefault="008C30D1" w:rsidP="004E4CCA">
      <w:pPr>
        <w:pStyle w:val="Heading1"/>
        <w:rPr>
          <w:b/>
        </w:rPr>
      </w:pPr>
      <w:bookmarkStart w:id="21" w:name="_Toc150854009"/>
      <w:r>
        <w:t>Exemples de traduction</w:t>
      </w:r>
      <w:bookmarkEnd w:id="21"/>
    </w:p>
    <w:p w14:paraId="54D99314" w14:textId="27DD7287" w:rsidR="00540F9C" w:rsidRPr="00765953" w:rsidRDefault="00540F9C" w:rsidP="004E4CCA">
      <w:pPr>
        <w:rPr>
          <w:sz w:val="17"/>
          <w:szCs w:val="17"/>
        </w:rPr>
      </w:pPr>
      <w:r>
        <w:rPr>
          <w:sz w:val="17"/>
        </w:rPr>
        <w:t>Dans le premier exemple, il est clair que la traduction directe peut poser des problèmes</w:t>
      </w:r>
      <w:r w:rsidR="0046779A">
        <w:rPr>
          <w:sz w:val="17"/>
        </w:rPr>
        <w:t> :</w:t>
      </w:r>
    </w:p>
    <w:p w14:paraId="28417E93" w14:textId="67E8C174" w:rsidR="008C30D1" w:rsidRPr="0046779A" w:rsidRDefault="008C30D1" w:rsidP="004E4CCA">
      <w:pPr>
        <w:pStyle w:val="ListParagraph"/>
        <w:spacing w:after="200" w:line="240" w:lineRule="auto"/>
        <w:ind w:left="0"/>
        <w:contextualSpacing w:val="0"/>
        <w:jc w:val="both"/>
        <w:rPr>
          <w:sz w:val="17"/>
          <w:szCs w:val="17"/>
          <w:lang w:val="en-US"/>
        </w:rPr>
      </w:pPr>
      <w:r w:rsidRPr="0046779A">
        <w:rPr>
          <w:sz w:val="17"/>
          <w:lang w:val="en-US"/>
        </w:rPr>
        <w:t>[de</w:t>
      </w:r>
      <w:proofErr w:type="gramStart"/>
      <w:r w:rsidRPr="0046779A">
        <w:rPr>
          <w:sz w:val="17"/>
          <w:lang w:val="en-US"/>
        </w:rPr>
        <w:t>]</w:t>
      </w:r>
      <w:r w:rsidR="0046779A">
        <w:rPr>
          <w:sz w:val="17"/>
          <w:lang w:val="en-US"/>
        </w:rPr>
        <w:t> :</w:t>
      </w:r>
      <w:proofErr w:type="gramEnd"/>
      <w:r w:rsidRPr="0046779A">
        <w:rPr>
          <w:sz w:val="17"/>
          <w:lang w:val="en-US"/>
        </w:rPr>
        <w:t xml:space="preserve"> </w:t>
      </w:r>
      <w:proofErr w:type="spellStart"/>
      <w:r w:rsidRPr="0046779A">
        <w:rPr>
          <w:sz w:val="17"/>
          <w:lang w:val="en-US"/>
        </w:rPr>
        <w:t>Aktiengesellschaft</w:t>
      </w:r>
      <w:proofErr w:type="spellEnd"/>
      <w:r w:rsidRPr="0046779A">
        <w:rPr>
          <w:sz w:val="17"/>
          <w:lang w:val="en-US"/>
        </w:rPr>
        <w:t xml:space="preserve"> → [</w:t>
      </w:r>
      <w:proofErr w:type="spellStart"/>
      <w:r w:rsidRPr="0046779A">
        <w:rPr>
          <w:sz w:val="17"/>
          <w:lang w:val="en-US"/>
        </w:rPr>
        <w:t>en</w:t>
      </w:r>
      <w:proofErr w:type="spellEnd"/>
      <w:r w:rsidRPr="0046779A">
        <w:rPr>
          <w:sz w:val="17"/>
          <w:lang w:val="en-US"/>
        </w:rPr>
        <w:t>]</w:t>
      </w:r>
      <w:r w:rsidR="000E1101">
        <w:rPr>
          <w:sz w:val="17"/>
          <w:lang w:val="en-US"/>
        </w:rPr>
        <w:t> </w:t>
      </w:r>
      <w:r w:rsidRPr="0046779A">
        <w:rPr>
          <w:sz w:val="17"/>
          <w:lang w:val="en-US"/>
        </w:rPr>
        <w:t>: corporation, stock co, …</w:t>
      </w:r>
    </w:p>
    <w:p w14:paraId="73A19841" w14:textId="530B8B0C" w:rsidR="008C30D1" w:rsidRPr="0046779A" w:rsidRDefault="008C30D1" w:rsidP="004E4CCA">
      <w:pPr>
        <w:pStyle w:val="ListParagraph"/>
        <w:spacing w:after="200" w:line="240" w:lineRule="auto"/>
        <w:ind w:left="0"/>
        <w:contextualSpacing w:val="0"/>
        <w:jc w:val="both"/>
        <w:rPr>
          <w:sz w:val="17"/>
          <w:szCs w:val="17"/>
          <w:lang w:val="en-US"/>
        </w:rPr>
      </w:pPr>
      <w:r w:rsidRPr="0046779A">
        <w:rPr>
          <w:sz w:val="17"/>
          <w:lang w:val="en-US"/>
        </w:rPr>
        <w:t>[</w:t>
      </w:r>
      <w:proofErr w:type="spellStart"/>
      <w:r w:rsidRPr="0046779A">
        <w:rPr>
          <w:sz w:val="17"/>
          <w:lang w:val="en-US"/>
        </w:rPr>
        <w:t>ru</w:t>
      </w:r>
      <w:proofErr w:type="spellEnd"/>
      <w:proofErr w:type="gramStart"/>
      <w:r w:rsidRPr="0046779A">
        <w:rPr>
          <w:sz w:val="17"/>
          <w:lang w:val="en-US"/>
        </w:rPr>
        <w:t>]</w:t>
      </w:r>
      <w:r w:rsidR="0046779A">
        <w:rPr>
          <w:sz w:val="17"/>
          <w:lang w:val="en-US"/>
        </w:rPr>
        <w:t> :</w:t>
      </w:r>
      <w:proofErr w:type="gramEnd"/>
      <w:r w:rsidRPr="0046779A">
        <w:rPr>
          <w:sz w:val="17"/>
          <w:lang w:val="en-US"/>
        </w:rPr>
        <w:t xml:space="preserve"> </w:t>
      </w:r>
      <w:r>
        <w:rPr>
          <w:sz w:val="17"/>
        </w:rPr>
        <w:t>ОАО</w:t>
      </w:r>
      <w:r w:rsidRPr="0046779A">
        <w:rPr>
          <w:sz w:val="17"/>
          <w:lang w:val="en-US"/>
        </w:rPr>
        <w:t xml:space="preserve"> </w:t>
      </w:r>
      <w:proofErr w:type="spellStart"/>
      <w:r>
        <w:rPr>
          <w:sz w:val="17"/>
        </w:rPr>
        <w:t>Силовы</w:t>
      </w:r>
      <w:proofErr w:type="spellEnd"/>
      <w:r w:rsidRPr="0046779A">
        <w:rPr>
          <w:sz w:val="17"/>
          <w:lang w:val="en-US"/>
        </w:rPr>
        <w:t>́</w:t>
      </w:r>
      <w:r>
        <w:rPr>
          <w:sz w:val="17"/>
        </w:rPr>
        <w:t>е</w:t>
      </w:r>
      <w:r w:rsidRPr="0046779A">
        <w:rPr>
          <w:sz w:val="17"/>
          <w:lang w:val="en-US"/>
        </w:rPr>
        <w:t xml:space="preserve"> </w:t>
      </w:r>
      <w:proofErr w:type="spellStart"/>
      <w:r>
        <w:rPr>
          <w:sz w:val="17"/>
        </w:rPr>
        <w:t>маши</w:t>
      </w:r>
      <w:proofErr w:type="spellEnd"/>
      <w:r w:rsidRPr="0046779A">
        <w:rPr>
          <w:sz w:val="17"/>
          <w:lang w:val="en-US"/>
        </w:rPr>
        <w:t>́</w:t>
      </w:r>
      <w:proofErr w:type="spellStart"/>
      <w:r>
        <w:rPr>
          <w:sz w:val="17"/>
        </w:rPr>
        <w:t>ны</w:t>
      </w:r>
      <w:proofErr w:type="spellEnd"/>
      <w:r w:rsidRPr="0046779A">
        <w:rPr>
          <w:sz w:val="17"/>
          <w:lang w:val="en-US"/>
        </w:rPr>
        <w:t xml:space="preserve"> → [</w:t>
      </w:r>
      <w:proofErr w:type="spellStart"/>
      <w:r w:rsidRPr="0046779A">
        <w:rPr>
          <w:sz w:val="17"/>
          <w:lang w:val="en-US"/>
        </w:rPr>
        <w:t>en</w:t>
      </w:r>
      <w:proofErr w:type="spellEnd"/>
      <w:r w:rsidRPr="0046779A">
        <w:rPr>
          <w:sz w:val="17"/>
          <w:lang w:val="en-US"/>
        </w:rPr>
        <w:t>]</w:t>
      </w:r>
      <w:r w:rsidR="0046779A">
        <w:rPr>
          <w:sz w:val="17"/>
          <w:lang w:val="en-US"/>
        </w:rPr>
        <w:t> :</w:t>
      </w:r>
      <w:r w:rsidRPr="0046779A">
        <w:rPr>
          <w:sz w:val="17"/>
          <w:lang w:val="en-US"/>
        </w:rPr>
        <w:t xml:space="preserve"> OJSC “Power Machines”</w:t>
      </w:r>
      <w:r w:rsidR="0046779A">
        <w:rPr>
          <w:sz w:val="17"/>
          <w:lang w:val="en-US"/>
        </w:rPr>
        <w:t xml:space="preserve"> – </w:t>
      </w:r>
      <w:r w:rsidRPr="0046779A">
        <w:rPr>
          <w:sz w:val="17"/>
          <w:lang w:val="en-US"/>
        </w:rPr>
        <w:t>OR</w:t>
      </w:r>
      <w:r w:rsidR="0046779A">
        <w:rPr>
          <w:sz w:val="17"/>
          <w:lang w:val="en-US"/>
        </w:rPr>
        <w:t xml:space="preserve"> – </w:t>
      </w:r>
      <w:r w:rsidRPr="0046779A">
        <w:rPr>
          <w:sz w:val="17"/>
          <w:lang w:val="en-US"/>
        </w:rPr>
        <w:t>[</w:t>
      </w:r>
      <w:proofErr w:type="spellStart"/>
      <w:r w:rsidRPr="0046779A">
        <w:rPr>
          <w:sz w:val="17"/>
          <w:lang w:val="en-US"/>
        </w:rPr>
        <w:t>en</w:t>
      </w:r>
      <w:proofErr w:type="spellEnd"/>
      <w:r w:rsidRPr="0046779A">
        <w:rPr>
          <w:sz w:val="17"/>
          <w:lang w:val="en-US"/>
        </w:rPr>
        <w:t>]</w:t>
      </w:r>
      <w:r w:rsidR="000E1101">
        <w:rPr>
          <w:sz w:val="17"/>
          <w:lang w:val="en-US"/>
        </w:rPr>
        <w:t> </w:t>
      </w:r>
      <w:r w:rsidRPr="0046779A">
        <w:rPr>
          <w:sz w:val="17"/>
          <w:lang w:val="en-US"/>
        </w:rPr>
        <w:t>: Open Joint</w:t>
      </w:r>
      <w:r w:rsidR="005919EB">
        <w:rPr>
          <w:sz w:val="17"/>
          <w:lang w:val="en-US"/>
        </w:rPr>
        <w:noBreakHyphen/>
      </w:r>
      <w:r w:rsidRPr="0046779A">
        <w:rPr>
          <w:sz w:val="17"/>
          <w:lang w:val="en-US"/>
        </w:rPr>
        <w:t>stock Company “Power Machines”</w:t>
      </w:r>
    </w:p>
    <w:p w14:paraId="0F7F0701" w14:textId="1BDBECB5" w:rsidR="008C30D1" w:rsidRPr="0046779A" w:rsidRDefault="008C30D1" w:rsidP="004E4CCA">
      <w:pPr>
        <w:pStyle w:val="ListParagraph"/>
        <w:spacing w:after="200" w:line="240" w:lineRule="auto"/>
        <w:ind w:left="0"/>
        <w:contextualSpacing w:val="0"/>
        <w:jc w:val="both"/>
        <w:rPr>
          <w:sz w:val="17"/>
          <w:szCs w:val="17"/>
          <w:lang w:val="en-US"/>
        </w:rPr>
      </w:pPr>
    </w:p>
    <w:p w14:paraId="69810A7A" w14:textId="0FB72B02" w:rsidR="0046779A" w:rsidRDefault="00540F9C" w:rsidP="004E4CCA">
      <w:pPr>
        <w:pStyle w:val="ListParagraph"/>
        <w:spacing w:after="200" w:line="240" w:lineRule="auto"/>
        <w:ind w:left="0"/>
        <w:contextualSpacing w:val="0"/>
        <w:jc w:val="both"/>
        <w:rPr>
          <w:sz w:val="17"/>
        </w:rPr>
      </w:pPr>
      <w:r>
        <w:rPr>
          <w:sz w:val="17"/>
        </w:rPr>
        <w:t>Voici un deuxième exemple, qui montre un cas limite typique de la romanisation d</w:t>
      </w:r>
      <w:r w:rsidR="0046779A">
        <w:rPr>
          <w:sz w:val="17"/>
        </w:rPr>
        <w:t>’</w:t>
      </w:r>
      <w:r>
        <w:rPr>
          <w:sz w:val="17"/>
        </w:rPr>
        <w:t>un nom d</w:t>
      </w:r>
      <w:r w:rsidR="0046779A">
        <w:rPr>
          <w:sz w:val="17"/>
        </w:rPr>
        <w:t>’</w:t>
      </w:r>
      <w:r>
        <w:rPr>
          <w:sz w:val="17"/>
        </w:rPr>
        <w:t xml:space="preserve">entreprise chinois figurant dans la </w:t>
      </w:r>
      <w:r w:rsidRPr="00765953">
        <w:rPr>
          <w:sz w:val="17"/>
        </w:rPr>
        <w:fldChar w:fldCharType="begin"/>
      </w:r>
      <w:r w:rsidRPr="00765953">
        <w:rPr>
          <w:sz w:val="17"/>
        </w:rPr>
        <w:instrText xml:space="preserve"> REF _Ref148630303 \h </w:instrText>
      </w:r>
      <w:r w:rsidR="00765953">
        <w:rPr>
          <w:sz w:val="17"/>
        </w:rPr>
        <w:instrText xml:space="preserve"> \* MERGEFORMAT </w:instrText>
      </w:r>
      <w:r w:rsidRPr="00765953">
        <w:rPr>
          <w:sz w:val="17"/>
        </w:rPr>
      </w:r>
      <w:r w:rsidRPr="00765953">
        <w:rPr>
          <w:sz w:val="17"/>
        </w:rPr>
        <w:fldChar w:fldCharType="separate"/>
      </w:r>
      <w:r w:rsidR="00E61C6D">
        <w:rPr>
          <w:sz w:val="17"/>
        </w:rPr>
        <w:t>Figure 2</w:t>
      </w:r>
      <w:r w:rsidRPr="00765953">
        <w:rPr>
          <w:sz w:val="17"/>
        </w:rPr>
        <w:fldChar w:fldCharType="end"/>
      </w:r>
      <w:r w:rsidR="0046779A">
        <w:rPr>
          <w:sz w:val="17"/>
        </w:rPr>
        <w:t> :</w:t>
      </w:r>
    </w:p>
    <w:p w14:paraId="01ADAC86" w14:textId="7FA71E57" w:rsidR="008C30D1" w:rsidRPr="00765953" w:rsidRDefault="008C30D1" w:rsidP="000E1101">
      <w:pPr>
        <w:pStyle w:val="ListParagraph"/>
        <w:numPr>
          <w:ilvl w:val="0"/>
          <w:numId w:val="41"/>
        </w:numPr>
        <w:spacing w:after="200" w:line="240" w:lineRule="auto"/>
        <w:ind w:left="1134" w:hanging="567"/>
        <w:contextualSpacing w:val="0"/>
        <w:jc w:val="both"/>
        <w:rPr>
          <w:sz w:val="17"/>
          <w:szCs w:val="17"/>
        </w:rPr>
      </w:pPr>
      <w:r>
        <w:rPr>
          <w:sz w:val="17"/>
        </w:rPr>
        <w:t>[</w:t>
      </w:r>
      <w:proofErr w:type="spellStart"/>
      <w:proofErr w:type="gramStart"/>
      <w:r>
        <w:rPr>
          <w:sz w:val="17"/>
        </w:rPr>
        <w:t>zh</w:t>
      </w:r>
      <w:proofErr w:type="spellEnd"/>
      <w:proofErr w:type="gramEnd"/>
      <w:r>
        <w:rPr>
          <w:sz w:val="17"/>
        </w:rPr>
        <w:t>]</w:t>
      </w:r>
      <w:r w:rsidR="0046779A">
        <w:rPr>
          <w:sz w:val="17"/>
        </w:rPr>
        <w:t> :</w:t>
      </w:r>
      <w:r>
        <w:rPr>
          <w:sz w:val="17"/>
        </w:rPr>
        <w:t xml:space="preserve"> </w:t>
      </w:r>
      <w:r>
        <w:rPr>
          <w:sz w:val="17"/>
        </w:rPr>
        <w:t>北京东土科技股份有限公司</w:t>
      </w:r>
      <w:r>
        <w:rPr>
          <w:sz w:val="17"/>
        </w:rPr>
        <w:t xml:space="preserve"> → [en] translittération (pinyin)</w:t>
      </w:r>
      <w:r w:rsidR="0046779A">
        <w:rPr>
          <w:sz w:val="17"/>
        </w:rPr>
        <w:t> :</w:t>
      </w:r>
      <w:r>
        <w:rPr>
          <w:sz w:val="17"/>
        </w:rPr>
        <w:t xml:space="preserve"> </w:t>
      </w:r>
      <w:proofErr w:type="spellStart"/>
      <w:r>
        <w:rPr>
          <w:sz w:val="17"/>
        </w:rPr>
        <w:t>běi</w:t>
      </w:r>
      <w:proofErr w:type="spellEnd"/>
      <w:r>
        <w:rPr>
          <w:sz w:val="17"/>
        </w:rPr>
        <w:t xml:space="preserve"> </w:t>
      </w:r>
      <w:proofErr w:type="spellStart"/>
      <w:r>
        <w:rPr>
          <w:sz w:val="17"/>
        </w:rPr>
        <w:t>jīng</w:t>
      </w:r>
      <w:proofErr w:type="spellEnd"/>
      <w:r>
        <w:rPr>
          <w:sz w:val="17"/>
        </w:rPr>
        <w:t xml:space="preserve"> </w:t>
      </w:r>
      <w:proofErr w:type="spellStart"/>
      <w:r>
        <w:rPr>
          <w:sz w:val="17"/>
        </w:rPr>
        <w:t>dōng</w:t>
      </w:r>
      <w:proofErr w:type="spellEnd"/>
      <w:r>
        <w:rPr>
          <w:sz w:val="17"/>
        </w:rPr>
        <w:t xml:space="preserve"> </w:t>
      </w:r>
      <w:proofErr w:type="spellStart"/>
      <w:r>
        <w:rPr>
          <w:sz w:val="17"/>
        </w:rPr>
        <w:t>tǔ</w:t>
      </w:r>
      <w:proofErr w:type="spellEnd"/>
      <w:r>
        <w:rPr>
          <w:sz w:val="17"/>
        </w:rPr>
        <w:t xml:space="preserve"> </w:t>
      </w:r>
      <w:proofErr w:type="spellStart"/>
      <w:r>
        <w:rPr>
          <w:sz w:val="17"/>
        </w:rPr>
        <w:t>kē</w:t>
      </w:r>
      <w:proofErr w:type="spellEnd"/>
      <w:r>
        <w:rPr>
          <w:sz w:val="17"/>
        </w:rPr>
        <w:t xml:space="preserve"> </w:t>
      </w:r>
      <w:proofErr w:type="spellStart"/>
      <w:r>
        <w:rPr>
          <w:sz w:val="17"/>
        </w:rPr>
        <w:t>jì</w:t>
      </w:r>
      <w:proofErr w:type="spellEnd"/>
      <w:r>
        <w:rPr>
          <w:sz w:val="17"/>
        </w:rPr>
        <w:t xml:space="preserve"> </w:t>
      </w:r>
      <w:proofErr w:type="spellStart"/>
      <w:r>
        <w:rPr>
          <w:sz w:val="17"/>
        </w:rPr>
        <w:t>gǔ</w:t>
      </w:r>
      <w:proofErr w:type="spellEnd"/>
      <w:r>
        <w:rPr>
          <w:sz w:val="17"/>
        </w:rPr>
        <w:t xml:space="preserve"> </w:t>
      </w:r>
      <w:proofErr w:type="spellStart"/>
      <w:r>
        <w:rPr>
          <w:sz w:val="17"/>
        </w:rPr>
        <w:t>fèn</w:t>
      </w:r>
      <w:proofErr w:type="spellEnd"/>
      <w:r>
        <w:rPr>
          <w:sz w:val="17"/>
        </w:rPr>
        <w:t xml:space="preserve"> </w:t>
      </w:r>
      <w:proofErr w:type="spellStart"/>
      <w:r>
        <w:rPr>
          <w:sz w:val="17"/>
        </w:rPr>
        <w:t>yǒu</w:t>
      </w:r>
      <w:proofErr w:type="spellEnd"/>
      <w:r>
        <w:rPr>
          <w:sz w:val="17"/>
        </w:rPr>
        <w:t xml:space="preserve"> </w:t>
      </w:r>
      <w:proofErr w:type="spellStart"/>
      <w:r>
        <w:rPr>
          <w:sz w:val="17"/>
        </w:rPr>
        <w:t>xiàn</w:t>
      </w:r>
      <w:proofErr w:type="spellEnd"/>
      <w:r>
        <w:rPr>
          <w:sz w:val="17"/>
        </w:rPr>
        <w:t xml:space="preserve"> </w:t>
      </w:r>
      <w:proofErr w:type="spellStart"/>
      <w:r>
        <w:rPr>
          <w:sz w:val="17"/>
        </w:rPr>
        <w:t>gōng</w:t>
      </w:r>
      <w:proofErr w:type="spellEnd"/>
      <w:r>
        <w:rPr>
          <w:sz w:val="17"/>
        </w:rPr>
        <w:t xml:space="preserve"> </w:t>
      </w:r>
      <w:proofErr w:type="spellStart"/>
      <w:r>
        <w:rPr>
          <w:sz w:val="17"/>
        </w:rPr>
        <w:t>sī</w:t>
      </w:r>
      <w:proofErr w:type="spellEnd"/>
      <w:r>
        <w:rPr>
          <w:sz w:val="17"/>
        </w:rPr>
        <w:t>;</w:t>
      </w:r>
    </w:p>
    <w:p w14:paraId="7EC04D25" w14:textId="3E28BB82" w:rsidR="008C30D1" w:rsidRPr="00765953" w:rsidRDefault="008C30D1" w:rsidP="000E1101">
      <w:pPr>
        <w:pStyle w:val="ListParagraph"/>
        <w:numPr>
          <w:ilvl w:val="0"/>
          <w:numId w:val="41"/>
        </w:numPr>
        <w:spacing w:after="200" w:line="240" w:lineRule="auto"/>
        <w:ind w:left="1134" w:hanging="567"/>
        <w:contextualSpacing w:val="0"/>
        <w:jc w:val="both"/>
        <w:rPr>
          <w:sz w:val="17"/>
          <w:szCs w:val="17"/>
        </w:rPr>
      </w:pPr>
      <w:r>
        <w:rPr>
          <w:sz w:val="17"/>
        </w:rPr>
        <w:t>[</w:t>
      </w:r>
      <w:proofErr w:type="spellStart"/>
      <w:proofErr w:type="gramStart"/>
      <w:r>
        <w:rPr>
          <w:sz w:val="17"/>
        </w:rPr>
        <w:t>zh</w:t>
      </w:r>
      <w:proofErr w:type="spellEnd"/>
      <w:proofErr w:type="gramEnd"/>
      <w:r>
        <w:rPr>
          <w:sz w:val="17"/>
        </w:rPr>
        <w:t>]</w:t>
      </w:r>
      <w:r w:rsidR="0046779A">
        <w:rPr>
          <w:sz w:val="17"/>
        </w:rPr>
        <w:t> :</w:t>
      </w:r>
      <w:r>
        <w:rPr>
          <w:sz w:val="17"/>
        </w:rPr>
        <w:t xml:space="preserve"> </w:t>
      </w:r>
      <w:r>
        <w:rPr>
          <w:sz w:val="17"/>
        </w:rPr>
        <w:t>北京东土科技股份有限公司</w:t>
      </w:r>
      <w:r>
        <w:rPr>
          <w:sz w:val="17"/>
        </w:rPr>
        <w:t xml:space="preserve"> → [en] transcription (pinyin)</w:t>
      </w:r>
      <w:r w:rsidR="0046779A">
        <w:rPr>
          <w:sz w:val="17"/>
        </w:rPr>
        <w:t> :</w:t>
      </w:r>
      <w:r>
        <w:rPr>
          <w:sz w:val="17"/>
        </w:rPr>
        <w:t xml:space="preserve"> </w:t>
      </w:r>
      <w:proofErr w:type="spellStart"/>
      <w:r>
        <w:rPr>
          <w:sz w:val="17"/>
        </w:rPr>
        <w:t>beijing</w:t>
      </w:r>
      <w:proofErr w:type="spellEnd"/>
      <w:r>
        <w:rPr>
          <w:sz w:val="17"/>
        </w:rPr>
        <w:t xml:space="preserve"> </w:t>
      </w:r>
      <w:proofErr w:type="spellStart"/>
      <w:r>
        <w:rPr>
          <w:sz w:val="17"/>
        </w:rPr>
        <w:t>dongtu</w:t>
      </w:r>
      <w:proofErr w:type="spellEnd"/>
      <w:r>
        <w:rPr>
          <w:sz w:val="17"/>
        </w:rPr>
        <w:t xml:space="preserve"> </w:t>
      </w:r>
      <w:proofErr w:type="spellStart"/>
      <w:r>
        <w:rPr>
          <w:sz w:val="17"/>
        </w:rPr>
        <w:t>keji</w:t>
      </w:r>
      <w:proofErr w:type="spellEnd"/>
      <w:r>
        <w:rPr>
          <w:sz w:val="17"/>
        </w:rPr>
        <w:t xml:space="preserve"> </w:t>
      </w:r>
      <w:proofErr w:type="spellStart"/>
      <w:r>
        <w:rPr>
          <w:sz w:val="17"/>
        </w:rPr>
        <w:t>gufen</w:t>
      </w:r>
      <w:proofErr w:type="spellEnd"/>
      <w:r>
        <w:rPr>
          <w:sz w:val="17"/>
        </w:rPr>
        <w:t xml:space="preserve"> </w:t>
      </w:r>
      <w:proofErr w:type="spellStart"/>
      <w:r>
        <w:rPr>
          <w:sz w:val="17"/>
        </w:rPr>
        <w:t>youxian</w:t>
      </w:r>
      <w:proofErr w:type="spellEnd"/>
      <w:r>
        <w:rPr>
          <w:sz w:val="17"/>
        </w:rPr>
        <w:t xml:space="preserve"> </w:t>
      </w:r>
      <w:proofErr w:type="spellStart"/>
      <w:r>
        <w:rPr>
          <w:sz w:val="17"/>
        </w:rPr>
        <w:t>gongsi</w:t>
      </w:r>
      <w:proofErr w:type="spellEnd"/>
    </w:p>
    <w:p w14:paraId="325C74B0" w14:textId="0983752C" w:rsidR="008C30D1" w:rsidRPr="0046779A" w:rsidRDefault="008C30D1" w:rsidP="000E1101">
      <w:pPr>
        <w:pStyle w:val="ListParagraph"/>
        <w:numPr>
          <w:ilvl w:val="0"/>
          <w:numId w:val="41"/>
        </w:numPr>
        <w:spacing w:after="200" w:line="240" w:lineRule="auto"/>
        <w:ind w:left="1134" w:hanging="567"/>
        <w:contextualSpacing w:val="0"/>
        <w:rPr>
          <w:sz w:val="17"/>
          <w:szCs w:val="17"/>
          <w:lang w:val="en-US"/>
        </w:rPr>
      </w:pPr>
      <w:r w:rsidRPr="0046779A">
        <w:rPr>
          <w:sz w:val="17"/>
          <w:lang w:val="en-US"/>
        </w:rPr>
        <w:t>[</w:t>
      </w:r>
      <w:proofErr w:type="spellStart"/>
      <w:r w:rsidRPr="0046779A">
        <w:rPr>
          <w:sz w:val="17"/>
          <w:lang w:val="en-US"/>
        </w:rPr>
        <w:t>zh</w:t>
      </w:r>
      <w:proofErr w:type="spellEnd"/>
      <w:proofErr w:type="gramStart"/>
      <w:r w:rsidRPr="0046779A">
        <w:rPr>
          <w:sz w:val="17"/>
          <w:lang w:val="en-US"/>
        </w:rPr>
        <w:t>]</w:t>
      </w:r>
      <w:r w:rsidR="0046779A">
        <w:rPr>
          <w:sz w:val="17"/>
          <w:lang w:val="en-US"/>
        </w:rPr>
        <w:t> :</w:t>
      </w:r>
      <w:proofErr w:type="gramEnd"/>
      <w:r w:rsidRPr="0046779A">
        <w:rPr>
          <w:sz w:val="17"/>
          <w:lang w:val="en-US"/>
        </w:rPr>
        <w:t xml:space="preserve"> </w:t>
      </w:r>
      <w:r>
        <w:rPr>
          <w:sz w:val="17"/>
        </w:rPr>
        <w:t>北京东土科技股份有限公司</w:t>
      </w:r>
      <w:r w:rsidRPr="0046779A">
        <w:rPr>
          <w:sz w:val="17"/>
          <w:lang w:val="en-US"/>
        </w:rPr>
        <w:t xml:space="preserve"> → [</w:t>
      </w:r>
      <w:proofErr w:type="spellStart"/>
      <w:r w:rsidRPr="0046779A">
        <w:rPr>
          <w:sz w:val="17"/>
          <w:lang w:val="en-US"/>
        </w:rPr>
        <w:t>en</w:t>
      </w:r>
      <w:proofErr w:type="spellEnd"/>
      <w:r w:rsidRPr="0046779A">
        <w:rPr>
          <w:sz w:val="17"/>
          <w:lang w:val="en-US"/>
        </w:rPr>
        <w:t xml:space="preserve">] </w:t>
      </w:r>
      <w:proofErr w:type="spellStart"/>
      <w:r w:rsidRPr="0046779A">
        <w:rPr>
          <w:sz w:val="17"/>
          <w:lang w:val="en-US"/>
        </w:rPr>
        <w:t>traduction</w:t>
      </w:r>
      <w:proofErr w:type="spellEnd"/>
      <w:r w:rsidRPr="0046779A">
        <w:rPr>
          <w:sz w:val="17"/>
          <w:lang w:val="en-US"/>
        </w:rPr>
        <w:t xml:space="preserve"> (</w:t>
      </w:r>
      <w:proofErr w:type="spellStart"/>
      <w:r w:rsidRPr="0046779A">
        <w:rPr>
          <w:sz w:val="17"/>
          <w:lang w:val="en-US"/>
        </w:rPr>
        <w:t>anglais</w:t>
      </w:r>
      <w:proofErr w:type="spellEnd"/>
      <w:r w:rsidRPr="0046779A">
        <w:rPr>
          <w:sz w:val="17"/>
          <w:lang w:val="en-US"/>
        </w:rPr>
        <w:t>)</w:t>
      </w:r>
      <w:r w:rsidR="0046779A">
        <w:rPr>
          <w:sz w:val="17"/>
          <w:lang w:val="en-US"/>
        </w:rPr>
        <w:t> :</w:t>
      </w:r>
      <w:r w:rsidRPr="0046779A">
        <w:rPr>
          <w:sz w:val="17"/>
          <w:lang w:val="en-US"/>
        </w:rPr>
        <w:t xml:space="preserve"> Beijing, China Science and Technology Joint</w:t>
      </w:r>
      <w:r w:rsidR="005919EB">
        <w:rPr>
          <w:sz w:val="17"/>
          <w:lang w:val="en-US"/>
        </w:rPr>
        <w:noBreakHyphen/>
      </w:r>
      <w:r w:rsidRPr="0046779A">
        <w:rPr>
          <w:sz w:val="17"/>
          <w:lang w:val="en-US"/>
        </w:rPr>
        <w:t>stock Limited Company</w:t>
      </w:r>
    </w:p>
    <w:p w14:paraId="274911BD" w14:textId="066937E6" w:rsidR="0046779A" w:rsidRDefault="008C30D1" w:rsidP="000E1101">
      <w:pPr>
        <w:pStyle w:val="ListParagraph"/>
        <w:numPr>
          <w:ilvl w:val="0"/>
          <w:numId w:val="41"/>
        </w:numPr>
        <w:spacing w:after="200" w:line="240" w:lineRule="auto"/>
        <w:ind w:left="1134" w:hanging="567"/>
        <w:contextualSpacing w:val="0"/>
        <w:jc w:val="both"/>
        <w:rPr>
          <w:sz w:val="17"/>
        </w:rPr>
      </w:pPr>
      <w:r>
        <w:rPr>
          <w:sz w:val="17"/>
        </w:rPr>
        <w:t>[</w:t>
      </w:r>
      <w:proofErr w:type="spellStart"/>
      <w:proofErr w:type="gramStart"/>
      <w:r>
        <w:rPr>
          <w:sz w:val="17"/>
        </w:rPr>
        <w:t>zh</w:t>
      </w:r>
      <w:proofErr w:type="spellEnd"/>
      <w:proofErr w:type="gramEnd"/>
      <w:r>
        <w:rPr>
          <w:sz w:val="17"/>
        </w:rPr>
        <w:t>]</w:t>
      </w:r>
      <w:r w:rsidR="0046779A">
        <w:rPr>
          <w:sz w:val="17"/>
        </w:rPr>
        <w:t> :</w:t>
      </w:r>
      <w:r>
        <w:rPr>
          <w:sz w:val="17"/>
        </w:rPr>
        <w:t xml:space="preserve"> </w:t>
      </w:r>
      <w:r>
        <w:rPr>
          <w:sz w:val="17"/>
        </w:rPr>
        <w:t>北京东土科技股份有限公司</w:t>
      </w:r>
      <w:r>
        <w:rPr>
          <w:sz w:val="17"/>
        </w:rPr>
        <w:t xml:space="preserve"> → en réalité</w:t>
      </w:r>
      <w:r w:rsidR="0046779A">
        <w:rPr>
          <w:sz w:val="17"/>
        </w:rPr>
        <w:t> :</w:t>
      </w:r>
      <w:r>
        <w:rPr>
          <w:sz w:val="17"/>
        </w:rPr>
        <w:t xml:space="preserve"> </w:t>
      </w:r>
      <w:proofErr w:type="spellStart"/>
      <w:r>
        <w:rPr>
          <w:sz w:val="17"/>
        </w:rPr>
        <w:t>Kyland</w:t>
      </w:r>
      <w:proofErr w:type="spellEnd"/>
      <w:r>
        <w:rPr>
          <w:sz w:val="17"/>
        </w:rPr>
        <w:t xml:space="preserve"> </w:t>
      </w:r>
      <w:proofErr w:type="spellStart"/>
      <w:r>
        <w:rPr>
          <w:sz w:val="17"/>
        </w:rPr>
        <w:t>Technology</w:t>
      </w:r>
      <w:proofErr w:type="spellEnd"/>
      <w:r>
        <w:rPr>
          <w:sz w:val="17"/>
        </w:rPr>
        <w:t xml:space="preserve"> Co., Ltd.</w:t>
      </w:r>
    </w:p>
    <w:p w14:paraId="2160C0E2" w14:textId="167BD28C" w:rsidR="008C30D1" w:rsidRPr="00765953" w:rsidRDefault="008C30D1" w:rsidP="004E4CCA">
      <w:pPr>
        <w:pStyle w:val="ListParagraph"/>
        <w:spacing w:after="200" w:line="240" w:lineRule="auto"/>
        <w:ind w:left="0"/>
        <w:contextualSpacing w:val="0"/>
        <w:rPr>
          <w:sz w:val="17"/>
          <w:szCs w:val="17"/>
        </w:rPr>
      </w:pPr>
      <w:r>
        <w:rPr>
          <w:noProof/>
          <w:sz w:val="17"/>
          <w:lang w:val="en-US" w:eastAsia="en-US"/>
        </w:rPr>
        <w:drawing>
          <wp:inline distT="0" distB="0" distL="0" distR="0" wp14:anchorId="5B1FAAA4" wp14:editId="68E248E4">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8"/>
                    <a:stretch>
                      <a:fillRect/>
                    </a:stretch>
                  </pic:blipFill>
                  <pic:spPr>
                    <a:xfrm>
                      <a:off x="0" y="0"/>
                      <a:ext cx="3615910" cy="839916"/>
                    </a:xfrm>
                    <a:prstGeom prst="rect">
                      <a:avLst/>
                    </a:prstGeom>
                  </pic:spPr>
                </pic:pic>
              </a:graphicData>
            </a:graphic>
          </wp:inline>
        </w:drawing>
      </w:r>
    </w:p>
    <w:p w14:paraId="64DD6B9D" w14:textId="13EBD041" w:rsidR="009F181F" w:rsidRPr="000E176E" w:rsidRDefault="009F181F" w:rsidP="004E4CCA">
      <w:pPr>
        <w:pStyle w:val="Caption"/>
        <w:rPr>
          <w:sz w:val="17"/>
          <w:szCs w:val="17"/>
        </w:rPr>
      </w:pPr>
      <w:bookmarkStart w:id="22" w:name="_Ref148630303"/>
      <w:r>
        <w:rPr>
          <w:sz w:val="17"/>
        </w:rPr>
        <w:t>Figure </w:t>
      </w:r>
      <w:r w:rsidRPr="000E176E">
        <w:rPr>
          <w:sz w:val="17"/>
        </w:rPr>
        <w:fldChar w:fldCharType="begin"/>
      </w:r>
      <w:r w:rsidRPr="000E176E">
        <w:rPr>
          <w:sz w:val="17"/>
        </w:rPr>
        <w:instrText xml:space="preserve"> SEQ Figure \* ARABIC </w:instrText>
      </w:r>
      <w:r w:rsidRPr="000E176E">
        <w:rPr>
          <w:sz w:val="17"/>
        </w:rPr>
        <w:fldChar w:fldCharType="separate"/>
      </w:r>
      <w:r w:rsidR="00E61C6D">
        <w:rPr>
          <w:noProof/>
          <w:sz w:val="17"/>
        </w:rPr>
        <w:t>2</w:t>
      </w:r>
      <w:r w:rsidRPr="000E176E">
        <w:rPr>
          <w:sz w:val="17"/>
        </w:rPr>
        <w:fldChar w:fldCharType="end"/>
      </w:r>
      <w:bookmarkEnd w:id="22"/>
      <w:r w:rsidR="0046779A">
        <w:rPr>
          <w:sz w:val="17"/>
        </w:rPr>
        <w:t> :</w:t>
      </w:r>
      <w:r>
        <w:rPr>
          <w:sz w:val="17"/>
        </w:rPr>
        <w:t xml:space="preserve"> Romanisation d</w:t>
      </w:r>
      <w:r w:rsidR="0046779A">
        <w:rPr>
          <w:sz w:val="17"/>
        </w:rPr>
        <w:t>’</w:t>
      </w:r>
      <w:r>
        <w:rPr>
          <w:sz w:val="17"/>
        </w:rPr>
        <w:t>un nom d</w:t>
      </w:r>
      <w:r w:rsidR="0046779A">
        <w:rPr>
          <w:sz w:val="17"/>
        </w:rPr>
        <w:t>’</w:t>
      </w:r>
      <w:r>
        <w:rPr>
          <w:sz w:val="17"/>
        </w:rPr>
        <w:t>entreprise chinois</w:t>
      </w:r>
    </w:p>
    <w:p w14:paraId="5B9DC2A2" w14:textId="7B566A8C" w:rsidR="00442430" w:rsidRPr="00765953" w:rsidRDefault="00442430" w:rsidP="000E1101">
      <w:pPr>
        <w:spacing w:before="720"/>
        <w:ind w:left="5533"/>
        <w:jc w:val="right"/>
        <w:rPr>
          <w:sz w:val="17"/>
          <w:szCs w:val="17"/>
        </w:rPr>
      </w:pPr>
      <w:r>
        <w:rPr>
          <w:sz w:val="17"/>
        </w:rPr>
        <w:t>[Fin de l</w:t>
      </w:r>
      <w:r w:rsidR="0046779A">
        <w:rPr>
          <w:sz w:val="17"/>
        </w:rPr>
        <w:t>’</w:t>
      </w:r>
      <w:r>
        <w:rPr>
          <w:sz w:val="17"/>
        </w:rPr>
        <w:t>annexe et des principes directeurs]</w:t>
      </w:r>
    </w:p>
    <w:sectPr w:rsidR="00442430" w:rsidRPr="00765953" w:rsidSect="000E1101">
      <w:headerReference w:type="first" r:id="rId19"/>
      <w:footerReference w:type="first" r:id="rId20"/>
      <w:pgSz w:w="11907" w:h="16840" w:code="9"/>
      <w:pgMar w:top="567" w:right="1134" w:bottom="1418" w:left="1418" w:header="510" w:footer="10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C841" w14:textId="77777777" w:rsidR="00B84677" w:rsidRDefault="00B84677">
      <w:r>
        <w:separator/>
      </w:r>
    </w:p>
  </w:endnote>
  <w:endnote w:type="continuationSeparator" w:id="0">
    <w:p w14:paraId="6F121C2C" w14:textId="77777777" w:rsidR="00B84677" w:rsidRDefault="00B84677" w:rsidP="00A326CA">
      <w:r>
        <w:separator/>
      </w:r>
    </w:p>
    <w:p w14:paraId="24CFAD43" w14:textId="77777777" w:rsidR="00B84677" w:rsidRPr="0046779A" w:rsidRDefault="00B84677" w:rsidP="00A326CA">
      <w:pPr>
        <w:rPr>
          <w:lang w:val="en-US"/>
        </w:rPr>
      </w:pPr>
      <w:r w:rsidRPr="0046779A">
        <w:rPr>
          <w:lang w:val="en-US"/>
        </w:rPr>
        <w:t>[Endnote continued from previous page]</w:t>
      </w:r>
    </w:p>
  </w:endnote>
  <w:endnote w:type="continuationNotice" w:id="1">
    <w:p w14:paraId="207553E4" w14:textId="77777777" w:rsidR="00B84677" w:rsidRPr="0046779A" w:rsidRDefault="00B84677" w:rsidP="00A326CA">
      <w:pPr>
        <w:spacing w:before="60"/>
        <w:jc w:val="right"/>
        <w:rPr>
          <w:szCs w:val="17"/>
          <w:lang w:val="en-US"/>
        </w:rPr>
      </w:pPr>
      <w:r w:rsidRPr="0046779A">
        <w:rPr>
          <w:szCs w:val="17"/>
          <w:lang w:val="en-US"/>
        </w:rPr>
        <w:t xml:space="preserve">[Endnote </w:t>
      </w:r>
      <w:proofErr w:type="gramStart"/>
      <w:r w:rsidRPr="0046779A">
        <w:rPr>
          <w:szCs w:val="17"/>
          <w:lang w:val="en-US"/>
        </w:rPr>
        <w:t>continued on</w:t>
      </w:r>
      <w:proofErr w:type="gramEnd"/>
      <w:r w:rsidRPr="0046779A">
        <w:rPr>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AD4E" w14:textId="41B9DD36" w:rsidR="00BC2BF8" w:rsidRPr="007907F5" w:rsidRDefault="00BC2BF8" w:rsidP="007907F5">
    <w:pPr>
      <w:pBdr>
        <w:top w:val="single" w:sz="6" w:space="6" w:color="auto"/>
      </w:pBdr>
      <w:tabs>
        <w:tab w:val="right" w:pos="9356"/>
      </w:tabs>
      <w:rPr>
        <w:rFonts w:cs="Times New Roman"/>
        <w:sz w:val="17"/>
      </w:rPr>
    </w:pPr>
    <w:proofErr w:type="spellStart"/>
    <w:proofErr w:type="gramStart"/>
    <w:r>
      <w:rPr>
        <w:sz w:val="17"/>
      </w:rPr>
      <w:t>fr</w:t>
    </w:r>
    <w:proofErr w:type="spellEnd"/>
    <w:proofErr w:type="gramEnd"/>
    <w:r>
      <w:rPr>
        <w:sz w:val="17"/>
      </w:rPr>
      <w:t xml:space="preserve"> / 03-61-01</w:t>
    </w:r>
    <w:r>
      <w:rPr>
        <w:sz w:val="17"/>
      </w:rPr>
      <w:tab/>
      <w:t>Date :  Décembre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68E0" w14:textId="77777777" w:rsidR="00710E57" w:rsidRDefault="00710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EFE0" w14:textId="087491E6" w:rsidR="00BC2BF8" w:rsidRDefault="00BC2BF8" w:rsidP="00F034A5">
    <w:pPr>
      <w:pStyle w:val="Footer"/>
      <w:tabs>
        <w:tab w:val="clear" w:pos="4320"/>
        <w:tab w:val="clear" w:pos="8640"/>
        <w:tab w:val="left" w:pos="2490"/>
      </w:tabs>
    </w:pPr>
    <w:r>
      <w:tab/>
    </w:r>
  </w:p>
  <w:p w14:paraId="37555046" w14:textId="13F8527B" w:rsidR="00BC2BF8" w:rsidRPr="007907F5" w:rsidRDefault="00BC2BF8" w:rsidP="000E176E">
    <w:pPr>
      <w:tabs>
        <w:tab w:val="right" w:pos="9356"/>
      </w:tabs>
      <w:rPr>
        <w:rFonts w:cs="Times New Roman"/>
        <w:sz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2A01" w14:textId="37CECB33" w:rsidR="00BC2BF8" w:rsidRPr="00264545" w:rsidRDefault="00BC2BF8" w:rsidP="0026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736B" w14:textId="77777777" w:rsidR="00B84677" w:rsidRDefault="00B84677">
      <w:r>
        <w:separator/>
      </w:r>
    </w:p>
  </w:footnote>
  <w:footnote w:type="continuationSeparator" w:id="0">
    <w:p w14:paraId="26D7BCE1" w14:textId="77777777" w:rsidR="00B84677" w:rsidRDefault="00B84677" w:rsidP="00A326CA">
      <w:r>
        <w:separator/>
      </w:r>
    </w:p>
    <w:p w14:paraId="3D75D603" w14:textId="77777777" w:rsidR="00B84677" w:rsidRPr="0046779A" w:rsidRDefault="00B84677" w:rsidP="00A326CA">
      <w:pPr>
        <w:spacing w:after="60"/>
        <w:rPr>
          <w:szCs w:val="17"/>
          <w:lang w:val="en-US"/>
        </w:rPr>
      </w:pPr>
      <w:r w:rsidRPr="0046779A">
        <w:rPr>
          <w:szCs w:val="17"/>
          <w:lang w:val="en-US"/>
        </w:rPr>
        <w:t>[Footnote continued from previous page]</w:t>
      </w:r>
    </w:p>
  </w:footnote>
  <w:footnote w:type="continuationNotice" w:id="1">
    <w:p w14:paraId="4F9A031F" w14:textId="77777777" w:rsidR="00B84677" w:rsidRPr="0046779A" w:rsidRDefault="00B84677" w:rsidP="00A326CA">
      <w:pPr>
        <w:spacing w:before="60"/>
        <w:jc w:val="right"/>
        <w:rPr>
          <w:szCs w:val="17"/>
          <w:lang w:val="en-US"/>
        </w:rPr>
      </w:pPr>
      <w:r w:rsidRPr="0046779A">
        <w:rPr>
          <w:szCs w:val="17"/>
          <w:lang w:val="en-US"/>
        </w:rPr>
        <w:t xml:space="preserve">[Footnote </w:t>
      </w:r>
      <w:proofErr w:type="gramStart"/>
      <w:r w:rsidRPr="0046779A">
        <w:rPr>
          <w:szCs w:val="17"/>
          <w:lang w:val="en-US"/>
        </w:rPr>
        <w:t>continued on</w:t>
      </w:r>
      <w:proofErr w:type="gramEnd"/>
      <w:r w:rsidRPr="0046779A">
        <w:rPr>
          <w:szCs w:val="17"/>
          <w:lang w:val="en-US"/>
        </w:rPr>
        <w:t xml:space="preserve"> next page]</w:t>
      </w:r>
    </w:p>
  </w:footnote>
  <w:footnote w:id="2">
    <w:p w14:paraId="08C1A62F" w14:textId="73175D7D" w:rsidR="00A92AD7" w:rsidRPr="000E176E" w:rsidRDefault="00A92AD7" w:rsidP="0007429A">
      <w:pPr>
        <w:pStyle w:val="FootnoteText"/>
        <w:tabs>
          <w:tab w:val="left" w:pos="567"/>
        </w:tabs>
        <w:rPr>
          <w:sz w:val="17"/>
          <w:szCs w:val="17"/>
        </w:rPr>
      </w:pPr>
      <w:r>
        <w:rPr>
          <w:rStyle w:val="FootnoteReference"/>
          <w:sz w:val="17"/>
          <w:szCs w:val="17"/>
        </w:rPr>
        <w:footnoteRef/>
      </w:r>
      <w:r w:rsidR="0007429A">
        <w:rPr>
          <w:sz w:val="17"/>
        </w:rPr>
        <w:t xml:space="preserve"> </w:t>
      </w:r>
      <w:r w:rsidR="0007429A">
        <w:rPr>
          <w:sz w:val="17"/>
        </w:rPr>
        <w:tab/>
      </w:r>
      <w:r>
        <w:rPr>
          <w:sz w:val="17"/>
        </w:rPr>
        <w:t>UTF</w:t>
      </w:r>
      <w:r w:rsidR="004E4CCA">
        <w:rPr>
          <w:sz w:val="17"/>
        </w:rPr>
        <w:noBreakHyphen/>
      </w:r>
      <w:r>
        <w:rPr>
          <w:sz w:val="17"/>
        </w:rPr>
        <w:t xml:space="preserve">8 est un </w:t>
      </w:r>
      <w:r w:rsidR="00B87635">
        <w:rPr>
          <w:sz w:val="17"/>
        </w:rPr>
        <w:t>système de codage pour Unicode.</w:t>
      </w:r>
    </w:p>
  </w:footnote>
  <w:footnote w:id="3">
    <w:p w14:paraId="0D536657" w14:textId="0403A38D" w:rsidR="00BE355A" w:rsidRPr="00CD5971" w:rsidRDefault="00BE355A" w:rsidP="000E1101">
      <w:pPr>
        <w:pStyle w:val="FootnoteText"/>
        <w:tabs>
          <w:tab w:val="left" w:pos="567"/>
        </w:tabs>
        <w:rPr>
          <w:sz w:val="16"/>
          <w:szCs w:val="16"/>
        </w:rPr>
      </w:pPr>
      <w:r>
        <w:rPr>
          <w:rStyle w:val="FootnoteReference"/>
          <w:sz w:val="16"/>
          <w:szCs w:val="16"/>
        </w:rPr>
        <w:footnoteRef/>
      </w:r>
      <w:r>
        <w:rPr>
          <w:sz w:val="16"/>
        </w:rPr>
        <w:t xml:space="preserve"> </w:t>
      </w:r>
      <w:r w:rsidR="000E1101">
        <w:rPr>
          <w:sz w:val="16"/>
        </w:rPr>
        <w:tab/>
      </w:r>
      <w:r>
        <w:rPr>
          <w:sz w:val="16"/>
        </w:rPr>
        <w:t>Enquête sur la translittération automatique</w:t>
      </w:r>
      <w:r w:rsidR="000E1101">
        <w:rPr>
          <w:sz w:val="16"/>
        </w:rPr>
        <w:t>, disponible à l’adresse suivante :</w:t>
      </w:r>
    </w:p>
    <w:p w14:paraId="660C0D05" w14:textId="070F1505" w:rsidR="00BE355A" w:rsidRPr="00CD5971" w:rsidRDefault="00F6349F" w:rsidP="00BE355A">
      <w:pPr>
        <w:pStyle w:val="FootnoteText"/>
        <w:rPr>
          <w:sz w:val="16"/>
          <w:szCs w:val="16"/>
        </w:rPr>
      </w:pPr>
      <w:hyperlink r:id="rId1" w:history="1">
        <w:r w:rsidR="00906A18" w:rsidRPr="00910AC8">
          <w:rPr>
            <w:rStyle w:val="Hyperlink"/>
            <w:color w:val="0D0D0D" w:themeColor="text1" w:themeTint="F2"/>
            <w:sz w:val="16"/>
          </w:rPr>
          <w:t>https://www.researchgate.net/figure/Transliteration</w:t>
        </w:r>
        <w:r w:rsidR="004E4CCA" w:rsidRPr="00910AC8">
          <w:rPr>
            <w:rStyle w:val="Hyperlink"/>
            <w:color w:val="0D0D0D" w:themeColor="text1" w:themeTint="F2"/>
            <w:sz w:val="16"/>
          </w:rPr>
          <w:noBreakHyphen/>
        </w:r>
        <w:r w:rsidR="00906A18" w:rsidRPr="00910AC8">
          <w:rPr>
            <w:rStyle w:val="Hyperlink"/>
            <w:color w:val="0D0D0D" w:themeColor="text1" w:themeTint="F2"/>
            <w:sz w:val="16"/>
          </w:rPr>
          <w:t>examples</w:t>
        </w:r>
        <w:r w:rsidR="004E4CCA" w:rsidRPr="00910AC8">
          <w:rPr>
            <w:rStyle w:val="Hyperlink"/>
            <w:color w:val="0D0D0D" w:themeColor="text1" w:themeTint="F2"/>
            <w:sz w:val="16"/>
          </w:rPr>
          <w:noBreakHyphen/>
        </w:r>
        <w:r w:rsidR="00906A18" w:rsidRPr="00910AC8">
          <w:rPr>
            <w:rStyle w:val="Hyperlink"/>
            <w:color w:val="0D0D0D" w:themeColor="text1" w:themeTint="F2"/>
            <w:sz w:val="16"/>
          </w:rPr>
          <w:t>in</w:t>
        </w:r>
        <w:r w:rsidR="004E4CCA" w:rsidRPr="00910AC8">
          <w:rPr>
            <w:rStyle w:val="Hyperlink"/>
            <w:color w:val="0D0D0D" w:themeColor="text1" w:themeTint="F2"/>
            <w:sz w:val="16"/>
          </w:rPr>
          <w:noBreakHyphen/>
        </w:r>
        <w:r w:rsidR="00906A18" w:rsidRPr="00910AC8">
          <w:rPr>
            <w:rStyle w:val="Hyperlink"/>
            <w:color w:val="0D0D0D" w:themeColor="text1" w:themeTint="F2"/>
            <w:sz w:val="16"/>
          </w:rPr>
          <w:t>four</w:t>
        </w:r>
        <w:r w:rsidR="004E4CCA" w:rsidRPr="00910AC8">
          <w:rPr>
            <w:rStyle w:val="Hyperlink"/>
            <w:color w:val="0D0D0D" w:themeColor="text1" w:themeTint="F2"/>
            <w:sz w:val="16"/>
          </w:rPr>
          <w:noBreakHyphen/>
        </w:r>
        <w:r w:rsidR="00906A18" w:rsidRPr="00910AC8">
          <w:rPr>
            <w:rStyle w:val="Hyperlink"/>
            <w:color w:val="0D0D0D" w:themeColor="text1" w:themeTint="F2"/>
            <w:sz w:val="16"/>
          </w:rPr>
          <w:t>language</w:t>
        </w:r>
        <w:r w:rsidR="004E4CCA" w:rsidRPr="00910AC8">
          <w:rPr>
            <w:rStyle w:val="Hyperlink"/>
            <w:color w:val="0D0D0D" w:themeColor="text1" w:themeTint="F2"/>
            <w:sz w:val="16"/>
          </w:rPr>
          <w:noBreakHyphen/>
        </w:r>
        <w:r w:rsidR="00906A18" w:rsidRPr="00910AC8">
          <w:rPr>
            <w:rStyle w:val="Hyperlink"/>
            <w:color w:val="0D0D0D" w:themeColor="text1" w:themeTint="F2"/>
            <w:sz w:val="16"/>
          </w:rPr>
          <w:t>pairs</w:t>
        </w:r>
        <w:r w:rsidR="004E4CCA" w:rsidRPr="00910AC8">
          <w:rPr>
            <w:rStyle w:val="Hyperlink"/>
            <w:color w:val="0D0D0D" w:themeColor="text1" w:themeTint="F2"/>
            <w:sz w:val="16"/>
          </w:rPr>
          <w:noBreakHyphen/>
        </w:r>
        <w:r w:rsidR="00906A18" w:rsidRPr="00910AC8">
          <w:rPr>
            <w:rStyle w:val="Hyperlink"/>
            <w:color w:val="0D0D0D" w:themeColor="text1" w:themeTint="F2"/>
            <w:sz w:val="16"/>
          </w:rPr>
          <w:t>Letter</w:t>
        </w:r>
        <w:r w:rsidR="004E4CCA" w:rsidRPr="00910AC8">
          <w:rPr>
            <w:rStyle w:val="Hyperlink"/>
            <w:color w:val="0D0D0D" w:themeColor="text1" w:themeTint="F2"/>
            <w:sz w:val="16"/>
          </w:rPr>
          <w:noBreakHyphen/>
        </w:r>
        <w:r w:rsidR="00906A18" w:rsidRPr="00910AC8">
          <w:rPr>
            <w:rStyle w:val="Hyperlink"/>
            <w:color w:val="0D0D0D" w:themeColor="text1" w:themeTint="F2"/>
            <w:sz w:val="16"/>
          </w:rPr>
          <w:t>correspondence</w:t>
        </w:r>
        <w:r w:rsidR="004E4CCA" w:rsidRPr="00910AC8">
          <w:rPr>
            <w:rStyle w:val="Hyperlink"/>
            <w:color w:val="0D0D0D" w:themeColor="text1" w:themeTint="F2"/>
            <w:sz w:val="16"/>
          </w:rPr>
          <w:noBreakHyphen/>
        </w:r>
        <w:r w:rsidR="00906A18" w:rsidRPr="00910AC8">
          <w:rPr>
            <w:rStyle w:val="Hyperlink"/>
            <w:color w:val="0D0D0D" w:themeColor="text1" w:themeTint="F2"/>
            <w:sz w:val="16"/>
          </w:rPr>
          <w:t>shows</w:t>
        </w:r>
        <w:r w:rsidR="004E4CCA" w:rsidRPr="00910AC8">
          <w:rPr>
            <w:rStyle w:val="Hyperlink"/>
            <w:color w:val="0D0D0D" w:themeColor="text1" w:themeTint="F2"/>
            <w:sz w:val="16"/>
          </w:rPr>
          <w:noBreakHyphen/>
        </w:r>
        <w:r w:rsidR="00906A18" w:rsidRPr="00910AC8">
          <w:rPr>
            <w:rStyle w:val="Hyperlink"/>
            <w:color w:val="0D0D0D" w:themeColor="text1" w:themeTint="F2"/>
            <w:sz w:val="16"/>
          </w:rPr>
          <w:t>how</w:t>
        </w:r>
        <w:r w:rsidR="004E4CCA" w:rsidRPr="00910AC8">
          <w:rPr>
            <w:rStyle w:val="Hyperlink"/>
            <w:color w:val="0D0D0D" w:themeColor="text1" w:themeTint="F2"/>
            <w:sz w:val="16"/>
          </w:rPr>
          <w:noBreakHyphen/>
        </w:r>
        <w:r w:rsidR="00906A18" w:rsidRPr="00910AC8">
          <w:rPr>
            <w:rStyle w:val="Hyperlink"/>
            <w:color w:val="0D0D0D" w:themeColor="text1" w:themeTint="F2"/>
            <w:sz w:val="16"/>
          </w:rPr>
          <w:t>the_fig1_220566444</w:t>
        </w:r>
      </w:hyperlink>
      <w:r w:rsidR="000E1101" w:rsidRPr="00910AC8">
        <w:rPr>
          <w:color w:val="0D0D0D" w:themeColor="text1" w:themeTint="F2"/>
          <w:sz w:val="16"/>
        </w:rPr>
        <w:t>.</w:t>
      </w:r>
    </w:p>
  </w:footnote>
  <w:footnote w:id="4">
    <w:p w14:paraId="5EDAB472" w14:textId="445D15D4" w:rsidR="00F1455E" w:rsidRPr="00910AC8" w:rsidRDefault="00F1455E" w:rsidP="000E1101">
      <w:pPr>
        <w:pStyle w:val="FootnoteText"/>
        <w:tabs>
          <w:tab w:val="left" w:pos="567"/>
        </w:tabs>
        <w:rPr>
          <w:color w:val="0D0D0D" w:themeColor="text1" w:themeTint="F2"/>
          <w:sz w:val="16"/>
          <w:szCs w:val="16"/>
        </w:rPr>
      </w:pPr>
      <w:r w:rsidRPr="00910AC8">
        <w:rPr>
          <w:rStyle w:val="FootnoteReference"/>
          <w:color w:val="0D0D0D" w:themeColor="text1" w:themeTint="F2"/>
          <w:sz w:val="16"/>
          <w:szCs w:val="16"/>
        </w:rPr>
        <w:footnoteRef/>
      </w:r>
      <w:r w:rsidRPr="00910AC8">
        <w:rPr>
          <w:color w:val="0D0D0D" w:themeColor="text1" w:themeTint="F2"/>
          <w:sz w:val="16"/>
        </w:rPr>
        <w:t xml:space="preserve"> </w:t>
      </w:r>
      <w:r w:rsidR="000E1101" w:rsidRPr="00910AC8">
        <w:rPr>
          <w:color w:val="0D0D0D" w:themeColor="text1" w:themeTint="F2"/>
          <w:sz w:val="16"/>
        </w:rPr>
        <w:tab/>
      </w:r>
      <w:hyperlink r:id="rId2" w:anchor="Russisch" w:history="1">
        <w:r w:rsidRPr="00910AC8">
          <w:rPr>
            <w:rStyle w:val="Hyperlink"/>
            <w:color w:val="0D0D0D" w:themeColor="text1" w:themeTint="F2"/>
            <w:sz w:val="16"/>
          </w:rPr>
          <w:t>https://de.wikipedia.org/wiki/Kyrillisches_Alphabet#Russisch</w:t>
        </w:r>
      </w:hyperlink>
      <w:r w:rsidRPr="00910AC8">
        <w:rPr>
          <w:color w:val="0D0D0D" w:themeColor="text1" w:themeTint="F2"/>
          <w:sz w:val="16"/>
        </w:rPr>
        <w:t xml:space="preserve"> </w:t>
      </w:r>
    </w:p>
  </w:footnote>
  <w:footnote w:id="5">
    <w:p w14:paraId="00CB73E4" w14:textId="295C7285" w:rsidR="00F1455E" w:rsidRPr="00910AC8" w:rsidRDefault="00F1455E" w:rsidP="000E1101">
      <w:pPr>
        <w:pStyle w:val="FootnoteText"/>
        <w:tabs>
          <w:tab w:val="left" w:pos="567"/>
        </w:tabs>
        <w:rPr>
          <w:color w:val="0D0D0D" w:themeColor="text1" w:themeTint="F2"/>
          <w:sz w:val="16"/>
          <w:szCs w:val="16"/>
        </w:rPr>
      </w:pPr>
      <w:r w:rsidRPr="00910AC8">
        <w:rPr>
          <w:rStyle w:val="FootnoteReference"/>
          <w:color w:val="0D0D0D" w:themeColor="text1" w:themeTint="F2"/>
          <w:sz w:val="16"/>
          <w:szCs w:val="16"/>
        </w:rPr>
        <w:footnoteRef/>
      </w:r>
      <w:r w:rsidRPr="00910AC8">
        <w:rPr>
          <w:color w:val="0D0D0D" w:themeColor="text1" w:themeTint="F2"/>
          <w:sz w:val="16"/>
        </w:rPr>
        <w:t xml:space="preserve"> </w:t>
      </w:r>
      <w:r w:rsidR="000E1101" w:rsidRPr="00910AC8">
        <w:rPr>
          <w:color w:val="0D0D0D" w:themeColor="text1" w:themeTint="F2"/>
          <w:sz w:val="16"/>
        </w:rPr>
        <w:tab/>
      </w:r>
      <w:hyperlink r:id="rId3" w:history="1">
        <w:r w:rsidRPr="00910AC8">
          <w:rPr>
            <w:rStyle w:val="Hyperlink"/>
            <w:color w:val="0D0D0D" w:themeColor="text1" w:themeTint="F2"/>
            <w:sz w:val="16"/>
          </w:rPr>
          <w:t>https://de.wikipedia.org/wiki/Koreanisches_Alphabet</w:t>
        </w:r>
      </w:hyperlink>
      <w:r w:rsidRPr="00910AC8">
        <w:rPr>
          <w:color w:val="0D0D0D" w:themeColor="text1" w:themeTint="F2"/>
          <w:sz w:val="16"/>
        </w:rPr>
        <w:t xml:space="preserve"> </w:t>
      </w:r>
    </w:p>
  </w:footnote>
  <w:footnote w:id="6">
    <w:p w14:paraId="66B0BFB2" w14:textId="16C7CF9E" w:rsidR="00F1455E" w:rsidRPr="00910AC8" w:rsidRDefault="00F1455E" w:rsidP="000E1101">
      <w:pPr>
        <w:pStyle w:val="FootnoteText"/>
        <w:tabs>
          <w:tab w:val="left" w:pos="567"/>
        </w:tabs>
        <w:rPr>
          <w:color w:val="0D0D0D" w:themeColor="text1" w:themeTint="F2"/>
        </w:rPr>
      </w:pPr>
      <w:r w:rsidRPr="00910AC8">
        <w:rPr>
          <w:rStyle w:val="FootnoteReference"/>
          <w:color w:val="0D0D0D" w:themeColor="text1" w:themeTint="F2"/>
          <w:sz w:val="16"/>
          <w:szCs w:val="16"/>
        </w:rPr>
        <w:footnoteRef/>
      </w:r>
      <w:r w:rsidRPr="00910AC8">
        <w:rPr>
          <w:color w:val="0D0D0D" w:themeColor="text1" w:themeTint="F2"/>
          <w:sz w:val="16"/>
        </w:rPr>
        <w:t xml:space="preserve"> </w:t>
      </w:r>
      <w:r w:rsidR="000E1101" w:rsidRPr="00910AC8">
        <w:rPr>
          <w:color w:val="0D0D0D" w:themeColor="text1" w:themeTint="F2"/>
          <w:sz w:val="16"/>
        </w:rPr>
        <w:tab/>
      </w:r>
      <w:hyperlink r:id="rId4" w:history="1">
        <w:r w:rsidRPr="00910AC8">
          <w:rPr>
            <w:rStyle w:val="Hyperlink"/>
            <w:color w:val="0D0D0D" w:themeColor="text1" w:themeTint="F2"/>
            <w:sz w:val="16"/>
          </w:rPr>
          <w:t>https://en.wikipedia.org/wiki/Romanization_of_Greek</w:t>
        </w:r>
      </w:hyperlink>
      <w:r w:rsidRPr="00910AC8">
        <w:rPr>
          <w:color w:val="0D0D0D" w:themeColor="text1" w:themeTint="F2"/>
          <w:sz w:val="16"/>
        </w:rPr>
        <w:t xml:space="preserve"> </w:t>
      </w:r>
    </w:p>
  </w:footnote>
  <w:footnote w:id="7">
    <w:p w14:paraId="5EE62A48" w14:textId="376212A4" w:rsidR="00F1455E" w:rsidRPr="00264545" w:rsidRDefault="00F1455E" w:rsidP="000E1101">
      <w:pPr>
        <w:pStyle w:val="FootnoteText"/>
        <w:tabs>
          <w:tab w:val="left" w:pos="567"/>
        </w:tabs>
        <w:rPr>
          <w:sz w:val="16"/>
          <w:szCs w:val="16"/>
        </w:rPr>
      </w:pPr>
      <w:r w:rsidRPr="00910AC8">
        <w:rPr>
          <w:rStyle w:val="FootnoteReference"/>
          <w:color w:val="0D0D0D" w:themeColor="text1" w:themeTint="F2"/>
          <w:sz w:val="16"/>
          <w:szCs w:val="16"/>
        </w:rPr>
        <w:footnoteRef/>
      </w:r>
      <w:r w:rsidRPr="00910AC8">
        <w:rPr>
          <w:color w:val="0D0D0D" w:themeColor="text1" w:themeTint="F2"/>
          <w:sz w:val="16"/>
        </w:rPr>
        <w:t xml:space="preserve"> </w:t>
      </w:r>
      <w:r w:rsidR="000E1101" w:rsidRPr="00910AC8">
        <w:rPr>
          <w:color w:val="0D0D0D" w:themeColor="text1" w:themeTint="F2"/>
          <w:sz w:val="16"/>
        </w:rPr>
        <w:tab/>
      </w:r>
      <w:hyperlink r:id="rId5" w:history="1">
        <w:r w:rsidRPr="00910AC8">
          <w:rPr>
            <w:rStyle w:val="Hyperlink"/>
            <w:color w:val="0D0D0D" w:themeColor="text1" w:themeTint="F2"/>
            <w:sz w:val="16"/>
          </w:rPr>
          <w:t>https://en.wikipedia.org/wiki/Dania_transcription</w:t>
        </w:r>
      </w:hyperlink>
      <w:r w:rsidRPr="00910AC8">
        <w:rPr>
          <w:color w:val="0D0D0D" w:themeColor="text1" w:themeTint="F2"/>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BC2BF8" w:rsidRPr="009343AF" w14:paraId="56D01FB5" w14:textId="77777777" w:rsidTr="00B5084C">
      <w:tc>
        <w:tcPr>
          <w:tcW w:w="2411" w:type="dxa"/>
          <w:shd w:val="clear" w:color="auto" w:fill="auto"/>
        </w:tcPr>
        <w:p w14:paraId="7F0297D1" w14:textId="77777777" w:rsidR="00BC2BF8" w:rsidRPr="009343AF" w:rsidRDefault="00BC2BF8" w:rsidP="007907F5">
          <w:pPr>
            <w:ind w:left="80" w:right="-2"/>
            <w:rPr>
              <w:rFonts w:cs="Times New Roman"/>
              <w:sz w:val="17"/>
            </w:rPr>
          </w:pPr>
          <w:r>
            <w:rPr>
              <w:noProof/>
              <w:sz w:val="17"/>
              <w:lang w:val="en-US" w:eastAsia="en-US"/>
            </w:rPr>
            <w:drawing>
              <wp:inline distT="0" distB="0" distL="0" distR="0" wp14:anchorId="597CFE4B" wp14:editId="2B3470A5">
                <wp:extent cx="1092200" cy="774700"/>
                <wp:effectExtent l="0" t="0" r="0" b="635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18718D3" w14:textId="77777777" w:rsidR="00BC2BF8" w:rsidRPr="009343AF" w:rsidRDefault="00BC2BF8" w:rsidP="007907F5">
          <w:pPr>
            <w:spacing w:after="120" w:line="240" w:lineRule="auto"/>
            <w:ind w:left="2866" w:right="-72"/>
            <w:jc w:val="right"/>
            <w:rPr>
              <w:rFonts w:cs="Times New Roman"/>
              <w:b/>
              <w:sz w:val="17"/>
            </w:rPr>
          </w:pPr>
          <w:r>
            <w:rPr>
              <w:b/>
              <w:sz w:val="17"/>
            </w:rPr>
            <w:t>MANUEL SUR L’INFORMATION ET LA DOCUMENTATION EN MATIÈRE DE PROPRIÉTÉ INDUSTRIELLE</w:t>
          </w:r>
        </w:p>
      </w:tc>
    </w:tr>
  </w:tbl>
  <w:p w14:paraId="095D406B" w14:textId="40AE855B" w:rsidR="00BC2BF8" w:rsidRPr="009343AF" w:rsidRDefault="00BC2BF8" w:rsidP="007907F5">
    <w:pPr>
      <w:pBdr>
        <w:top w:val="single" w:sz="6" w:space="4" w:color="auto"/>
        <w:bottom w:val="single" w:sz="6" w:space="4" w:color="auto"/>
      </w:pBdr>
      <w:tabs>
        <w:tab w:val="right" w:pos="9356"/>
      </w:tabs>
      <w:spacing w:before="120" w:line="240" w:lineRule="auto"/>
      <w:rPr>
        <w:rFonts w:cs="Times New Roman"/>
        <w:sz w:val="17"/>
      </w:rPr>
    </w:pPr>
    <w:proofErr w:type="spellStart"/>
    <w:r>
      <w:rPr>
        <w:sz w:val="17"/>
      </w:rPr>
      <w:t>Ref</w:t>
    </w:r>
    <w:proofErr w:type="spellEnd"/>
    <w:proofErr w:type="gramStart"/>
    <w:r>
      <w:rPr>
        <w:sz w:val="17"/>
      </w:rPr>
      <w:t>.:</w:t>
    </w:r>
    <w:proofErr w:type="gramEnd"/>
    <w:r>
      <w:rPr>
        <w:sz w:val="17"/>
      </w:rPr>
      <w:t xml:space="preserve">  Normes – ST.61</w:t>
    </w:r>
    <w:r>
      <w:rPr>
        <w:sz w:val="17"/>
      </w:rPr>
      <w:tab/>
      <w:t>page :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sidR="0046779A">
      <w:rPr>
        <w:rFonts w:cs="Times New Roman"/>
        <w:noProof/>
        <w:sz w:val="17"/>
      </w:rPr>
      <w:t>2</w:t>
    </w:r>
    <w:r>
      <w:rPr>
        <w:rFonts w:cs="Times New Roman"/>
        <w:sz w:val="17"/>
      </w:rPr>
      <w:fldChar w:fldCharType="end"/>
    </w:r>
    <w:r>
      <w:rPr>
        <w:sz w:val="17"/>
      </w:rPr>
      <w:t xml:space="preserve"> </w:t>
    </w:r>
  </w:p>
  <w:p w14:paraId="390EA809" w14:textId="13600AD3" w:rsidR="00BC2BF8" w:rsidRPr="00FC3CF4" w:rsidRDefault="00BC2BF8"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E317" w14:textId="11331AA2" w:rsidR="00BC2BF8" w:rsidRPr="002A5D77" w:rsidRDefault="002A5D77" w:rsidP="000E176E">
    <w:pPr>
      <w:pStyle w:val="Header"/>
      <w:spacing w:line="240" w:lineRule="auto"/>
      <w:jc w:val="right"/>
      <w:rPr>
        <w:sz w:val="22"/>
        <w:szCs w:val="22"/>
      </w:rPr>
    </w:pPr>
    <w:r>
      <w:rPr>
        <w:sz w:val="22"/>
      </w:rPr>
      <w:t>CWS/11/23</w:t>
    </w:r>
  </w:p>
  <w:p w14:paraId="10E57B59" w14:textId="06B6BB1E" w:rsidR="002A5D77" w:rsidRPr="002A5D77" w:rsidRDefault="002A5D77" w:rsidP="00C70717">
    <w:pPr>
      <w:pStyle w:val="Header"/>
      <w:spacing w:after="480" w:line="240" w:lineRule="auto"/>
      <w:jc w:val="right"/>
      <w:rPr>
        <w:sz w:val="22"/>
        <w:szCs w:val="22"/>
      </w:rPr>
    </w:pPr>
    <w:r>
      <w:rPr>
        <w:sz w:val="22"/>
      </w:rPr>
      <w:t>Annexe, page </w:t>
    </w:r>
    <w:r>
      <w:rPr>
        <w:sz w:val="22"/>
      </w:rPr>
      <w:fldChar w:fldCharType="begin"/>
    </w:r>
    <w:r>
      <w:rPr>
        <w:sz w:val="22"/>
      </w:rPr>
      <w:instrText xml:space="preserve"> PAGE  \* Arabic  \* MERGEFORMAT </w:instrText>
    </w:r>
    <w:r>
      <w:rPr>
        <w:sz w:val="22"/>
      </w:rPr>
      <w:fldChar w:fldCharType="separate"/>
    </w:r>
    <w:r w:rsidR="00710E57">
      <w:rPr>
        <w:noProof/>
        <w:sz w:val="22"/>
      </w:rPr>
      <w:t>3</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2787" w14:textId="77777777" w:rsidR="00C70717" w:rsidRDefault="00C07866" w:rsidP="000E176E">
    <w:pPr>
      <w:pStyle w:val="Header"/>
      <w:spacing w:line="240" w:lineRule="auto"/>
      <w:jc w:val="right"/>
      <w:rPr>
        <w:sz w:val="22"/>
      </w:rPr>
    </w:pPr>
    <w:r>
      <w:rPr>
        <w:sz w:val="22"/>
      </w:rPr>
      <w:t>CWS/11/23</w:t>
    </w:r>
  </w:p>
  <w:p w14:paraId="571B9DE5" w14:textId="27AEA052" w:rsidR="00BC2BF8" w:rsidRPr="000E176E" w:rsidRDefault="00C07866" w:rsidP="00C70717">
    <w:pPr>
      <w:pStyle w:val="Header"/>
      <w:spacing w:after="480" w:line="240" w:lineRule="auto"/>
      <w:jc w:val="right"/>
      <w:rPr>
        <w:sz w:val="22"/>
        <w:szCs w:val="22"/>
      </w:rPr>
    </w:pPr>
    <w:r>
      <w:rPr>
        <w:sz w:val="22"/>
      </w:rPr>
      <w:t>ANNEXE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54EC" w14:textId="4950FC85" w:rsidR="00BC2BF8" w:rsidRPr="002A5D77" w:rsidRDefault="002A5D77" w:rsidP="000E1101">
    <w:pPr>
      <w:pStyle w:val="Header"/>
      <w:spacing w:line="240" w:lineRule="auto"/>
      <w:jc w:val="right"/>
      <w:rPr>
        <w:sz w:val="22"/>
        <w:szCs w:val="22"/>
      </w:rPr>
    </w:pPr>
    <w:r>
      <w:rPr>
        <w:sz w:val="22"/>
      </w:rPr>
      <w:t>CWS/11/23</w:t>
    </w:r>
  </w:p>
  <w:p w14:paraId="42F4573A" w14:textId="094F3FCE" w:rsidR="002A5D77" w:rsidRPr="002A5D77" w:rsidRDefault="0007429A" w:rsidP="000E1101">
    <w:pPr>
      <w:pStyle w:val="Header"/>
      <w:spacing w:after="480" w:line="240" w:lineRule="auto"/>
      <w:jc w:val="right"/>
      <w:rPr>
        <w:sz w:val="22"/>
        <w:szCs w:val="22"/>
      </w:rPr>
    </w:pPr>
    <w:r>
      <w:rPr>
        <w:sz w:val="22"/>
      </w:rPr>
      <w:t xml:space="preserve">Annexe, page </w:t>
    </w:r>
    <w:r w:rsidRPr="0007429A">
      <w:rPr>
        <w:sz w:val="22"/>
      </w:rPr>
      <w:fldChar w:fldCharType="begin"/>
    </w:r>
    <w:r w:rsidRPr="0007429A">
      <w:rPr>
        <w:sz w:val="22"/>
      </w:rPr>
      <w:instrText xml:space="preserve"> PAGE   \* MERGEFORMAT </w:instrText>
    </w:r>
    <w:r w:rsidRPr="0007429A">
      <w:rPr>
        <w:sz w:val="22"/>
      </w:rPr>
      <w:fldChar w:fldCharType="separate"/>
    </w:r>
    <w:r w:rsidR="00710E57">
      <w:rPr>
        <w:noProof/>
        <w:sz w:val="22"/>
      </w:rPr>
      <w:t>5</w:t>
    </w:r>
    <w:r w:rsidRPr="0007429A">
      <w:rPr>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F43379"/>
    <w:multiLevelType w:val="hybridMultilevel"/>
    <w:tmpl w:val="371EEF2C"/>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264616">
    <w:abstractNumId w:val="19"/>
  </w:num>
  <w:num w:numId="2" w16cid:durableId="1074087577">
    <w:abstractNumId w:val="0"/>
  </w:num>
  <w:num w:numId="3" w16cid:durableId="763192020">
    <w:abstractNumId w:val="4"/>
  </w:num>
  <w:num w:numId="4" w16cid:durableId="1390104950">
    <w:abstractNumId w:val="35"/>
  </w:num>
  <w:num w:numId="5" w16cid:durableId="299307778">
    <w:abstractNumId w:val="5"/>
  </w:num>
  <w:num w:numId="6" w16cid:durableId="260375681">
    <w:abstractNumId w:val="34"/>
  </w:num>
  <w:num w:numId="7" w16cid:durableId="1752123330">
    <w:abstractNumId w:val="36"/>
  </w:num>
  <w:num w:numId="8" w16cid:durableId="1417441092">
    <w:abstractNumId w:val="18"/>
  </w:num>
  <w:num w:numId="9" w16cid:durableId="62873829">
    <w:abstractNumId w:val="12"/>
  </w:num>
  <w:num w:numId="10" w16cid:durableId="383480776">
    <w:abstractNumId w:val="28"/>
  </w:num>
  <w:num w:numId="11" w16cid:durableId="1880125857">
    <w:abstractNumId w:val="25"/>
  </w:num>
  <w:num w:numId="12" w16cid:durableId="526138550">
    <w:abstractNumId w:val="23"/>
  </w:num>
  <w:num w:numId="13" w16cid:durableId="1162116415">
    <w:abstractNumId w:val="33"/>
  </w:num>
  <w:num w:numId="14" w16cid:durableId="1575048116">
    <w:abstractNumId w:val="38"/>
  </w:num>
  <w:num w:numId="15" w16cid:durableId="75170574">
    <w:abstractNumId w:val="2"/>
  </w:num>
  <w:num w:numId="16" w16cid:durableId="235015190">
    <w:abstractNumId w:val="31"/>
  </w:num>
  <w:num w:numId="17" w16cid:durableId="1253901859">
    <w:abstractNumId w:val="10"/>
  </w:num>
  <w:num w:numId="18" w16cid:durableId="1254582065">
    <w:abstractNumId w:val="20"/>
  </w:num>
  <w:num w:numId="19" w16cid:durableId="148405627">
    <w:abstractNumId w:val="16"/>
  </w:num>
  <w:num w:numId="20" w16cid:durableId="1015611883">
    <w:abstractNumId w:val="3"/>
  </w:num>
  <w:num w:numId="21" w16cid:durableId="585774139">
    <w:abstractNumId w:val="15"/>
  </w:num>
  <w:num w:numId="22" w16cid:durableId="978456967">
    <w:abstractNumId w:val="32"/>
  </w:num>
  <w:num w:numId="23" w16cid:durableId="2048598442">
    <w:abstractNumId w:val="8"/>
  </w:num>
  <w:num w:numId="24" w16cid:durableId="820925977">
    <w:abstractNumId w:val="17"/>
  </w:num>
  <w:num w:numId="25" w16cid:durableId="28267324">
    <w:abstractNumId w:val="30"/>
  </w:num>
  <w:num w:numId="26" w16cid:durableId="2096779154">
    <w:abstractNumId w:val="22"/>
  </w:num>
  <w:num w:numId="27" w16cid:durableId="350650254">
    <w:abstractNumId w:val="29"/>
  </w:num>
  <w:num w:numId="28" w16cid:durableId="700055978">
    <w:abstractNumId w:val="37"/>
  </w:num>
  <w:num w:numId="29" w16cid:durableId="355499476">
    <w:abstractNumId w:val="11"/>
  </w:num>
  <w:num w:numId="30" w16cid:durableId="795834290">
    <w:abstractNumId w:val="40"/>
  </w:num>
  <w:num w:numId="31" w16cid:durableId="1019619313">
    <w:abstractNumId w:val="6"/>
  </w:num>
  <w:num w:numId="32" w16cid:durableId="1321229617">
    <w:abstractNumId w:val="9"/>
  </w:num>
  <w:num w:numId="33" w16cid:durableId="1506431475">
    <w:abstractNumId w:val="14"/>
  </w:num>
  <w:num w:numId="34" w16cid:durableId="351955718">
    <w:abstractNumId w:val="27"/>
  </w:num>
  <w:num w:numId="35" w16cid:durableId="635062362">
    <w:abstractNumId w:val="24"/>
  </w:num>
  <w:num w:numId="36" w16cid:durableId="2143764984">
    <w:abstractNumId w:val="21"/>
  </w:num>
  <w:num w:numId="37" w16cid:durableId="684089293">
    <w:abstractNumId w:val="13"/>
  </w:num>
  <w:num w:numId="38" w16cid:durableId="1986271701">
    <w:abstractNumId w:val="26"/>
  </w:num>
  <w:num w:numId="39" w16cid:durableId="1031302233">
    <w:abstractNumId w:val="7"/>
  </w:num>
  <w:num w:numId="40" w16cid:durableId="887957264">
    <w:abstractNumId w:val="39"/>
  </w:num>
  <w:num w:numId="41" w16cid:durableId="914238979">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AU" w:vendorID="64" w:dllVersion="0" w:nlCheck="1" w:checkStyle="0"/>
  <w:activeWritingStyle w:appName="MSWord" w:lang="es-ES" w:vendorID="64" w:dllVersion="6"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736"/>
    <w:rsid w:val="00071D72"/>
    <w:rsid w:val="000730C1"/>
    <w:rsid w:val="0007429A"/>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1101"/>
    <w:rsid w:val="000E176E"/>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3B70"/>
    <w:rsid w:val="00106A1A"/>
    <w:rsid w:val="0011083B"/>
    <w:rsid w:val="001154C7"/>
    <w:rsid w:val="00115CDB"/>
    <w:rsid w:val="00120D16"/>
    <w:rsid w:val="001219E2"/>
    <w:rsid w:val="00121A15"/>
    <w:rsid w:val="00121F0F"/>
    <w:rsid w:val="001223A5"/>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1BDA"/>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E598E"/>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5655"/>
    <w:rsid w:val="00225A81"/>
    <w:rsid w:val="00225EC0"/>
    <w:rsid w:val="002313B2"/>
    <w:rsid w:val="00232C3D"/>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545"/>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2289"/>
    <w:rsid w:val="002A5D77"/>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05C3"/>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872DC"/>
    <w:rsid w:val="00390B07"/>
    <w:rsid w:val="003912A5"/>
    <w:rsid w:val="00391371"/>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561A"/>
    <w:rsid w:val="00406689"/>
    <w:rsid w:val="00406AA1"/>
    <w:rsid w:val="0040783D"/>
    <w:rsid w:val="00410224"/>
    <w:rsid w:val="004102C1"/>
    <w:rsid w:val="00411E57"/>
    <w:rsid w:val="00414A28"/>
    <w:rsid w:val="004152C3"/>
    <w:rsid w:val="00416778"/>
    <w:rsid w:val="00417729"/>
    <w:rsid w:val="00417935"/>
    <w:rsid w:val="0042236B"/>
    <w:rsid w:val="0042292A"/>
    <w:rsid w:val="00422983"/>
    <w:rsid w:val="00422E5C"/>
    <w:rsid w:val="00424640"/>
    <w:rsid w:val="0042681E"/>
    <w:rsid w:val="00431F79"/>
    <w:rsid w:val="0043324F"/>
    <w:rsid w:val="0043421B"/>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79A"/>
    <w:rsid w:val="004679ED"/>
    <w:rsid w:val="00467FA6"/>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4B1"/>
    <w:rsid w:val="004D68F0"/>
    <w:rsid w:val="004D6F76"/>
    <w:rsid w:val="004D6FA3"/>
    <w:rsid w:val="004E4CCA"/>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0E24"/>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F6E"/>
    <w:rsid w:val="00540F71"/>
    <w:rsid w:val="00540F9C"/>
    <w:rsid w:val="00540FA3"/>
    <w:rsid w:val="00540FB4"/>
    <w:rsid w:val="00541394"/>
    <w:rsid w:val="00543644"/>
    <w:rsid w:val="005448C2"/>
    <w:rsid w:val="00546226"/>
    <w:rsid w:val="00546611"/>
    <w:rsid w:val="00547343"/>
    <w:rsid w:val="00551424"/>
    <w:rsid w:val="00551621"/>
    <w:rsid w:val="00560BE4"/>
    <w:rsid w:val="005615F5"/>
    <w:rsid w:val="0056427E"/>
    <w:rsid w:val="00564565"/>
    <w:rsid w:val="005657D5"/>
    <w:rsid w:val="00566A5A"/>
    <w:rsid w:val="005671E9"/>
    <w:rsid w:val="0057199F"/>
    <w:rsid w:val="00571D37"/>
    <w:rsid w:val="00571F38"/>
    <w:rsid w:val="005730E4"/>
    <w:rsid w:val="00581CBE"/>
    <w:rsid w:val="005822C7"/>
    <w:rsid w:val="005822E0"/>
    <w:rsid w:val="00582DA8"/>
    <w:rsid w:val="00583F91"/>
    <w:rsid w:val="00585519"/>
    <w:rsid w:val="005857F0"/>
    <w:rsid w:val="005879D2"/>
    <w:rsid w:val="00587EB4"/>
    <w:rsid w:val="00591226"/>
    <w:rsid w:val="005919EB"/>
    <w:rsid w:val="0059227D"/>
    <w:rsid w:val="005A2958"/>
    <w:rsid w:val="005A62B4"/>
    <w:rsid w:val="005A6609"/>
    <w:rsid w:val="005A6654"/>
    <w:rsid w:val="005A6B7A"/>
    <w:rsid w:val="005B184B"/>
    <w:rsid w:val="005B278E"/>
    <w:rsid w:val="005B62FC"/>
    <w:rsid w:val="005B68A2"/>
    <w:rsid w:val="005C30DF"/>
    <w:rsid w:val="005C50E3"/>
    <w:rsid w:val="005C7C30"/>
    <w:rsid w:val="005D15D2"/>
    <w:rsid w:val="005D1937"/>
    <w:rsid w:val="005D1F0E"/>
    <w:rsid w:val="005D309D"/>
    <w:rsid w:val="005D35BF"/>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49E9"/>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3B73"/>
    <w:rsid w:val="006343DB"/>
    <w:rsid w:val="00636EDD"/>
    <w:rsid w:val="00637206"/>
    <w:rsid w:val="00637681"/>
    <w:rsid w:val="00640459"/>
    <w:rsid w:val="00640EB2"/>
    <w:rsid w:val="006463B3"/>
    <w:rsid w:val="00646BB6"/>
    <w:rsid w:val="00647226"/>
    <w:rsid w:val="006478EC"/>
    <w:rsid w:val="00647FCD"/>
    <w:rsid w:val="00650044"/>
    <w:rsid w:val="0065093C"/>
    <w:rsid w:val="00651010"/>
    <w:rsid w:val="00651326"/>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0D1"/>
    <w:rsid w:val="00680202"/>
    <w:rsid w:val="00681A59"/>
    <w:rsid w:val="0068275C"/>
    <w:rsid w:val="00682DC6"/>
    <w:rsid w:val="00683C0F"/>
    <w:rsid w:val="0068462B"/>
    <w:rsid w:val="00684E34"/>
    <w:rsid w:val="00685A47"/>
    <w:rsid w:val="00687B3C"/>
    <w:rsid w:val="006923FE"/>
    <w:rsid w:val="006927DA"/>
    <w:rsid w:val="0069413D"/>
    <w:rsid w:val="00694BE8"/>
    <w:rsid w:val="006951D4"/>
    <w:rsid w:val="00695C46"/>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0E57"/>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2E1C"/>
    <w:rsid w:val="0073314D"/>
    <w:rsid w:val="0073587B"/>
    <w:rsid w:val="00737751"/>
    <w:rsid w:val="00740832"/>
    <w:rsid w:val="007411A2"/>
    <w:rsid w:val="007417FF"/>
    <w:rsid w:val="00741986"/>
    <w:rsid w:val="0074404D"/>
    <w:rsid w:val="00744DEE"/>
    <w:rsid w:val="00745A6F"/>
    <w:rsid w:val="00745AC1"/>
    <w:rsid w:val="00752487"/>
    <w:rsid w:val="00753041"/>
    <w:rsid w:val="007539AF"/>
    <w:rsid w:val="007550A6"/>
    <w:rsid w:val="007552A1"/>
    <w:rsid w:val="007566A4"/>
    <w:rsid w:val="00760729"/>
    <w:rsid w:val="00760A28"/>
    <w:rsid w:val="007610E5"/>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B55"/>
    <w:rsid w:val="00781622"/>
    <w:rsid w:val="00783025"/>
    <w:rsid w:val="007842CF"/>
    <w:rsid w:val="00784306"/>
    <w:rsid w:val="0078497F"/>
    <w:rsid w:val="007850B8"/>
    <w:rsid w:val="007907F5"/>
    <w:rsid w:val="007909E4"/>
    <w:rsid w:val="00790F66"/>
    <w:rsid w:val="007921ED"/>
    <w:rsid w:val="00792220"/>
    <w:rsid w:val="00792A17"/>
    <w:rsid w:val="00793236"/>
    <w:rsid w:val="00793496"/>
    <w:rsid w:val="00793DC7"/>
    <w:rsid w:val="00794EF6"/>
    <w:rsid w:val="00795144"/>
    <w:rsid w:val="007A22A4"/>
    <w:rsid w:val="007A26AD"/>
    <w:rsid w:val="007A4E66"/>
    <w:rsid w:val="007A74FB"/>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E0C"/>
    <w:rsid w:val="007C3797"/>
    <w:rsid w:val="007C3FD5"/>
    <w:rsid w:val="007C530B"/>
    <w:rsid w:val="007C5C61"/>
    <w:rsid w:val="007C66B9"/>
    <w:rsid w:val="007C7907"/>
    <w:rsid w:val="007C7B64"/>
    <w:rsid w:val="007D1BC2"/>
    <w:rsid w:val="007D4230"/>
    <w:rsid w:val="007D52CF"/>
    <w:rsid w:val="007D60CC"/>
    <w:rsid w:val="007D795F"/>
    <w:rsid w:val="007D7C6E"/>
    <w:rsid w:val="007E1FFC"/>
    <w:rsid w:val="007E33FD"/>
    <w:rsid w:val="007E4D48"/>
    <w:rsid w:val="007E5E67"/>
    <w:rsid w:val="007E6670"/>
    <w:rsid w:val="007F099A"/>
    <w:rsid w:val="007F2D7A"/>
    <w:rsid w:val="007F368C"/>
    <w:rsid w:val="007F410D"/>
    <w:rsid w:val="007F411F"/>
    <w:rsid w:val="007F448A"/>
    <w:rsid w:val="007F45C1"/>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1C"/>
    <w:rsid w:val="00825678"/>
    <w:rsid w:val="00826255"/>
    <w:rsid w:val="00826718"/>
    <w:rsid w:val="008270F0"/>
    <w:rsid w:val="0083049A"/>
    <w:rsid w:val="00831F87"/>
    <w:rsid w:val="008327D6"/>
    <w:rsid w:val="0083357C"/>
    <w:rsid w:val="008340FA"/>
    <w:rsid w:val="00834440"/>
    <w:rsid w:val="00836490"/>
    <w:rsid w:val="008369F4"/>
    <w:rsid w:val="00842A18"/>
    <w:rsid w:val="008447DD"/>
    <w:rsid w:val="00845428"/>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84AE6"/>
    <w:rsid w:val="00890111"/>
    <w:rsid w:val="008902DC"/>
    <w:rsid w:val="0089643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30D1"/>
    <w:rsid w:val="008C65B5"/>
    <w:rsid w:val="008C7601"/>
    <w:rsid w:val="008C78F9"/>
    <w:rsid w:val="008C7992"/>
    <w:rsid w:val="008C7A88"/>
    <w:rsid w:val="008D171C"/>
    <w:rsid w:val="008D1AEF"/>
    <w:rsid w:val="008D1C42"/>
    <w:rsid w:val="008D2089"/>
    <w:rsid w:val="008D2806"/>
    <w:rsid w:val="008D299E"/>
    <w:rsid w:val="008D3EBB"/>
    <w:rsid w:val="008D5760"/>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18"/>
    <w:rsid w:val="00906A8D"/>
    <w:rsid w:val="00910AC8"/>
    <w:rsid w:val="00914F0C"/>
    <w:rsid w:val="009163CC"/>
    <w:rsid w:val="0092116C"/>
    <w:rsid w:val="00921524"/>
    <w:rsid w:val="00921C43"/>
    <w:rsid w:val="00921FEB"/>
    <w:rsid w:val="0092460F"/>
    <w:rsid w:val="00926A25"/>
    <w:rsid w:val="00926A9E"/>
    <w:rsid w:val="00927045"/>
    <w:rsid w:val="009274BE"/>
    <w:rsid w:val="0093005A"/>
    <w:rsid w:val="00931539"/>
    <w:rsid w:val="00932B6C"/>
    <w:rsid w:val="0093541E"/>
    <w:rsid w:val="0093561D"/>
    <w:rsid w:val="00935D7B"/>
    <w:rsid w:val="00936222"/>
    <w:rsid w:val="0093720F"/>
    <w:rsid w:val="009376AE"/>
    <w:rsid w:val="009410EF"/>
    <w:rsid w:val="009431BB"/>
    <w:rsid w:val="00944C2E"/>
    <w:rsid w:val="00945C96"/>
    <w:rsid w:val="00945FD9"/>
    <w:rsid w:val="00946B82"/>
    <w:rsid w:val="00951498"/>
    <w:rsid w:val="00951751"/>
    <w:rsid w:val="00954736"/>
    <w:rsid w:val="00955656"/>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EAC"/>
    <w:rsid w:val="00991F00"/>
    <w:rsid w:val="00992674"/>
    <w:rsid w:val="00992826"/>
    <w:rsid w:val="009932FA"/>
    <w:rsid w:val="00995CAE"/>
    <w:rsid w:val="00996449"/>
    <w:rsid w:val="0099649B"/>
    <w:rsid w:val="009A116E"/>
    <w:rsid w:val="009A154F"/>
    <w:rsid w:val="009A1E41"/>
    <w:rsid w:val="009A2361"/>
    <w:rsid w:val="009A49FE"/>
    <w:rsid w:val="009A4FED"/>
    <w:rsid w:val="009A58C3"/>
    <w:rsid w:val="009A6424"/>
    <w:rsid w:val="009A7301"/>
    <w:rsid w:val="009A74C8"/>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454"/>
    <w:rsid w:val="009E4C7F"/>
    <w:rsid w:val="009F0ED5"/>
    <w:rsid w:val="009F147C"/>
    <w:rsid w:val="009F181F"/>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DE1"/>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05B"/>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E38"/>
    <w:rsid w:val="00A92AD7"/>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07FB1"/>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561DB"/>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4677"/>
    <w:rsid w:val="00B86CA7"/>
    <w:rsid w:val="00B87635"/>
    <w:rsid w:val="00B93121"/>
    <w:rsid w:val="00B957DA"/>
    <w:rsid w:val="00BA139A"/>
    <w:rsid w:val="00BA4A4A"/>
    <w:rsid w:val="00BA5D60"/>
    <w:rsid w:val="00BA60BE"/>
    <w:rsid w:val="00BB0A8B"/>
    <w:rsid w:val="00BB1432"/>
    <w:rsid w:val="00BB4F99"/>
    <w:rsid w:val="00BB55CE"/>
    <w:rsid w:val="00BB6694"/>
    <w:rsid w:val="00BC06FE"/>
    <w:rsid w:val="00BC2559"/>
    <w:rsid w:val="00BC25E6"/>
    <w:rsid w:val="00BC2A9B"/>
    <w:rsid w:val="00BC2BF8"/>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E355A"/>
    <w:rsid w:val="00BF05E0"/>
    <w:rsid w:val="00BF2690"/>
    <w:rsid w:val="00BF336C"/>
    <w:rsid w:val="00BF5441"/>
    <w:rsid w:val="00BF56CA"/>
    <w:rsid w:val="00BF5CFE"/>
    <w:rsid w:val="00BF5FFD"/>
    <w:rsid w:val="00BF6E55"/>
    <w:rsid w:val="00C00A14"/>
    <w:rsid w:val="00C00C91"/>
    <w:rsid w:val="00C00F8D"/>
    <w:rsid w:val="00C013DA"/>
    <w:rsid w:val="00C02829"/>
    <w:rsid w:val="00C03268"/>
    <w:rsid w:val="00C032AE"/>
    <w:rsid w:val="00C040D2"/>
    <w:rsid w:val="00C04918"/>
    <w:rsid w:val="00C0713B"/>
    <w:rsid w:val="00C07866"/>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0717"/>
    <w:rsid w:val="00C73270"/>
    <w:rsid w:val="00C74161"/>
    <w:rsid w:val="00C75733"/>
    <w:rsid w:val="00C75F97"/>
    <w:rsid w:val="00C77602"/>
    <w:rsid w:val="00C81BEF"/>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A6B8F"/>
    <w:rsid w:val="00CB01EF"/>
    <w:rsid w:val="00CB1B10"/>
    <w:rsid w:val="00CB29E3"/>
    <w:rsid w:val="00CB4EF1"/>
    <w:rsid w:val="00CB52BE"/>
    <w:rsid w:val="00CB5C21"/>
    <w:rsid w:val="00CC06FA"/>
    <w:rsid w:val="00CC079E"/>
    <w:rsid w:val="00CC0CE4"/>
    <w:rsid w:val="00CC1209"/>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7B49"/>
    <w:rsid w:val="00D2024F"/>
    <w:rsid w:val="00D203F0"/>
    <w:rsid w:val="00D22FB1"/>
    <w:rsid w:val="00D2405D"/>
    <w:rsid w:val="00D24337"/>
    <w:rsid w:val="00D25D39"/>
    <w:rsid w:val="00D27175"/>
    <w:rsid w:val="00D3122D"/>
    <w:rsid w:val="00D31E44"/>
    <w:rsid w:val="00D320F3"/>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598"/>
    <w:rsid w:val="00D76A38"/>
    <w:rsid w:val="00D76CF5"/>
    <w:rsid w:val="00D8029B"/>
    <w:rsid w:val="00D81E9F"/>
    <w:rsid w:val="00D8261B"/>
    <w:rsid w:val="00D838DE"/>
    <w:rsid w:val="00D83F7C"/>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B72C8"/>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1C6D"/>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6FD"/>
    <w:rsid w:val="00E92C4F"/>
    <w:rsid w:val="00E9578C"/>
    <w:rsid w:val="00E96379"/>
    <w:rsid w:val="00EA0D6F"/>
    <w:rsid w:val="00EA129B"/>
    <w:rsid w:val="00EA194E"/>
    <w:rsid w:val="00EA2B6D"/>
    <w:rsid w:val="00EA6B30"/>
    <w:rsid w:val="00EA6EC4"/>
    <w:rsid w:val="00EB1E57"/>
    <w:rsid w:val="00EB27C6"/>
    <w:rsid w:val="00EB2D51"/>
    <w:rsid w:val="00EB3BB7"/>
    <w:rsid w:val="00EB483B"/>
    <w:rsid w:val="00EB4C19"/>
    <w:rsid w:val="00EB4FDF"/>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455E"/>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349F"/>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6A7F"/>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F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633B73"/>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A6B8F"/>
    <w:pPr>
      <w:tabs>
        <w:tab w:val="right" w:leader="dot" w:pos="9072"/>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customStyle="1" w:styleId="UnresolvedMention1">
    <w:name w:val="Unresolved Mention1"/>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ipo.int/export/sites/www/standards/fr/pdf/03-20-01.pdf"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0" ma:contentTypeDescription="Create a new document." ma:contentTypeScope="" ma:versionID="c452361a2f2cd6b63b161ed3604349a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1804-E708-4AFA-AD0C-790BF37E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DE0A48-530F-4EAD-89C9-EB9FDAF38058}">
  <ds:schemaRefs>
    <ds:schemaRef ds:uri="http://schemas.microsoft.com/sharepoint/v3/contenttype/forms"/>
  </ds:schemaRefs>
</ds:datastoreItem>
</file>

<file path=customXml/itemProps3.xml><?xml version="1.0" encoding="utf-8"?>
<ds:datastoreItem xmlns:ds="http://schemas.openxmlformats.org/officeDocument/2006/customXml" ds:itemID="{490294A3-BA66-44D6-81AD-35D79E6B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2576</Words>
  <Characters>15084</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Standards - ST.61</vt:lpstr>
    </vt:vector>
  </TitlesOfParts>
  <Company>WIPO</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MOSTAJO Apolonia</cp:lastModifiedBy>
  <cp:revision>3</cp:revision>
  <cp:lastPrinted>2023-11-14T14:17:00Z</cp:lastPrinted>
  <dcterms:created xsi:type="dcterms:W3CDTF">2023-11-14T14:15:00Z</dcterms:created>
  <dcterms:modified xsi:type="dcterms:W3CDTF">2023-11-14T14:49:00Z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2023-10-31T09:26:17Z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7a0ecedd-994b-4433-afe0-5f1c33771da4</vt:lpwstr>
  </property>
  <property fmtid="{D5CDD505-2E9C-101B-9397-08002B2CF9AE}" pid="20" name="MSIP_Label_20773ee6-353b-4fb9-a59d-0b94c8c67bea_ContentBits">
    <vt:lpwstr>0</vt:lpwstr>
  </property>
</Properties>
</file>