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22FD" w14:textId="77777777" w:rsidR="008B2CC1" w:rsidRPr="0040540C" w:rsidRDefault="0040540C" w:rsidP="00D45974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EFDF339" wp14:editId="1F68C46D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4949" w14:textId="77777777" w:rsidR="00B1090C" w:rsidRDefault="00533626" w:rsidP="00D45974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B13AF0">
        <w:rPr>
          <w:rFonts w:ascii="Arial Black" w:hAnsi="Arial Black"/>
          <w:caps/>
          <w:sz w:val="15"/>
        </w:rPr>
        <w:t>/24</w:t>
      </w:r>
    </w:p>
    <w:p w14:paraId="67933548" w14:textId="77777777" w:rsidR="008B2CC1" w:rsidRPr="0040540C" w:rsidRDefault="00B1090C" w:rsidP="00D45974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3815EA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B13AF0">
        <w:rPr>
          <w:rFonts w:ascii="Arial Black" w:hAnsi="Arial Black"/>
          <w:caps/>
          <w:sz w:val="15"/>
        </w:rPr>
        <w:t>anglais</w:t>
      </w:r>
    </w:p>
    <w:bookmarkEnd w:id="1"/>
    <w:p w14:paraId="156FFB1A" w14:textId="77777777" w:rsidR="008B2CC1" w:rsidRPr="0040540C" w:rsidRDefault="00B1090C" w:rsidP="00D45974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3815EA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3815EA">
        <w:rPr>
          <w:rFonts w:ascii="Arial Black" w:hAnsi="Arial Black"/>
          <w:caps/>
          <w:sz w:val="15"/>
        </w:rPr>
        <w:t>2 novembre 20</w:t>
      </w:r>
      <w:r w:rsidR="00B13AF0">
        <w:rPr>
          <w:rFonts w:ascii="Arial Black" w:hAnsi="Arial Black"/>
          <w:caps/>
          <w:sz w:val="15"/>
        </w:rPr>
        <w:t>23</w:t>
      </w:r>
    </w:p>
    <w:bookmarkEnd w:id="2"/>
    <w:p w14:paraId="0400D629" w14:textId="77777777" w:rsidR="00533626" w:rsidRPr="00197881" w:rsidRDefault="00533626" w:rsidP="00D45974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3815EA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2F24A1D6" w14:textId="77777777" w:rsidR="00B13AF0" w:rsidRPr="002B67F3" w:rsidRDefault="00533626" w:rsidP="00D45974">
      <w:pPr>
        <w:spacing w:after="720"/>
        <w:rPr>
          <w:b/>
          <w:sz w:val="24"/>
          <w:szCs w:val="24"/>
        </w:rPr>
      </w:pPr>
      <w:r>
        <w:rPr>
          <w:b/>
          <w:sz w:val="24"/>
        </w:rPr>
        <w:t>Onz</w:t>
      </w:r>
      <w:r w:rsidR="003815EA">
        <w:rPr>
          <w:b/>
          <w:sz w:val="24"/>
        </w:rPr>
        <w:t>ième session</w:t>
      </w:r>
      <w:r w:rsidR="00B13AF0">
        <w:rPr>
          <w:b/>
          <w:sz w:val="24"/>
        </w:rPr>
        <w:br/>
        <w:t>Genève, 4 – 8 décembre 2023</w:t>
      </w:r>
    </w:p>
    <w:p w14:paraId="2B615866" w14:textId="77777777" w:rsidR="008B2CC1" w:rsidRPr="00B13AF0" w:rsidRDefault="00B13AF0" w:rsidP="00D45974">
      <w:pPr>
        <w:spacing w:after="360"/>
        <w:rPr>
          <w:caps/>
          <w:sz w:val="24"/>
        </w:rPr>
      </w:pPr>
      <w:bookmarkStart w:id="3" w:name="TitleOfDoc"/>
      <w:r w:rsidRPr="00B13AF0">
        <w:rPr>
          <w:caps/>
          <w:sz w:val="24"/>
        </w:rPr>
        <w:t>Rapport de l</w:t>
      </w:r>
      <w:r w:rsidR="003815EA">
        <w:rPr>
          <w:caps/>
          <w:sz w:val="24"/>
        </w:rPr>
        <w:t>’</w:t>
      </w:r>
      <w:r w:rsidRPr="00B13AF0">
        <w:rPr>
          <w:caps/>
          <w:sz w:val="24"/>
        </w:rPr>
        <w:t>Équipe d</w:t>
      </w:r>
      <w:r w:rsidR="003815EA">
        <w:rPr>
          <w:caps/>
          <w:sz w:val="24"/>
        </w:rPr>
        <w:t>’</w:t>
      </w:r>
      <w:r w:rsidRPr="00B13AF0">
        <w:rPr>
          <w:caps/>
          <w:sz w:val="24"/>
        </w:rPr>
        <w:t>experts chargée de la partie</w:t>
      </w:r>
      <w:r w:rsidR="0014264F">
        <w:rPr>
          <w:caps/>
          <w:sz w:val="24"/>
        </w:rPr>
        <w:t> </w:t>
      </w:r>
      <w:r w:rsidRPr="00B13AF0">
        <w:rPr>
          <w:caps/>
          <w:sz w:val="24"/>
        </w:rPr>
        <w:t>7 (tâche n°</w:t>
      </w:r>
      <w:r w:rsidR="00B95EF1">
        <w:rPr>
          <w:caps/>
          <w:sz w:val="24"/>
        </w:rPr>
        <w:t> </w:t>
      </w:r>
      <w:r w:rsidRPr="00B13AF0">
        <w:rPr>
          <w:caps/>
          <w:sz w:val="24"/>
        </w:rPr>
        <w:t>50)</w:t>
      </w:r>
    </w:p>
    <w:p w14:paraId="508909BC" w14:textId="77777777" w:rsidR="008B2CC1" w:rsidRPr="008B2CC1" w:rsidRDefault="00B13AF0" w:rsidP="00D45974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responsable de l</w:t>
      </w:r>
      <w:r w:rsidR="003815EA">
        <w:rPr>
          <w:i/>
        </w:rPr>
        <w:t>’</w:t>
      </w:r>
      <w:r>
        <w:rPr>
          <w:i/>
        </w:rPr>
        <w:t>Équipe d</w:t>
      </w:r>
      <w:r w:rsidR="003815EA">
        <w:rPr>
          <w:i/>
        </w:rPr>
        <w:t>’</w:t>
      </w:r>
      <w:r>
        <w:rPr>
          <w:i/>
        </w:rPr>
        <w:t>experts chargée de la partie 7</w:t>
      </w:r>
    </w:p>
    <w:p w14:paraId="3447527B" w14:textId="77777777" w:rsidR="00B13AF0" w:rsidRPr="002B67F3" w:rsidRDefault="00AB4911" w:rsidP="00D45974">
      <w:pPr>
        <w:pStyle w:val="Heading2"/>
        <w:rPr>
          <w:rFonts w:eastAsia="Malgun Gothic"/>
          <w:szCs w:val="22"/>
        </w:rPr>
      </w:pPr>
      <w:r>
        <w:t>Résumé</w:t>
      </w:r>
    </w:p>
    <w:p w14:paraId="2F3402B7" w14:textId="77777777" w:rsidR="003815EA" w:rsidRDefault="00B13AF0" w:rsidP="002C173D">
      <w:pPr>
        <w:pStyle w:val="ONUMFS"/>
      </w:pPr>
      <w:r>
        <w:t>Les travaux de l</w:t>
      </w:r>
      <w:r w:rsidR="003815EA">
        <w:t>’</w:t>
      </w:r>
      <w:r>
        <w:t>Équipe d</w:t>
      </w:r>
      <w:r w:rsidR="003815EA">
        <w:t>’</w:t>
      </w:r>
      <w:r>
        <w:t>experts chargée de la partie 7 sont réalisés dans le cadre de la tâche n° 50 et l</w:t>
      </w:r>
      <w:r w:rsidR="003815EA">
        <w:t>’</w:t>
      </w:r>
      <w:r>
        <w:t>équipe rend compte de ses activités depuis la dernière session du Comité des normes de l</w:t>
      </w:r>
      <w:r w:rsidR="003815EA">
        <w:t>’</w:t>
      </w:r>
      <w:r>
        <w:t>OMPI (CWS) en soulignant certains problèmes rencontrés.  L</w:t>
      </w:r>
      <w:r w:rsidR="003815EA">
        <w:t>’</w:t>
      </w:r>
      <w:r>
        <w:t xml:space="preserve">enquête sur les deux questionnaires dont la diffusion était prévue cette année a eu pour résultats la révision du questionnaire sur les pratiques en matière de citations, et sa probable diffusion </w:t>
      </w:r>
      <w:r w:rsidR="003815EA">
        <w:t>en 2024</w:t>
      </w:r>
      <w:r>
        <w:t>, ainsi que la révision du questionnaire sur les informations bibliographiques contenues dans les bulletins de brevets uniquement si</w:t>
      </w:r>
      <w:r w:rsidR="003815EA">
        <w:t xml:space="preserve"> le CWS</w:t>
      </w:r>
      <w:r>
        <w:t xml:space="preserve"> souhaite réviser la norme ST.11 ou la norme ST.19 de l</w:t>
      </w:r>
      <w:r w:rsidR="003815EA">
        <w:t>’</w:t>
      </w:r>
      <w:r>
        <w:t>OMPI.</w:t>
      </w:r>
    </w:p>
    <w:p w14:paraId="7958EBA3" w14:textId="77777777" w:rsidR="00B13AF0" w:rsidRPr="00AB4911" w:rsidRDefault="00B13AF0" w:rsidP="00D45974">
      <w:pPr>
        <w:pStyle w:val="Heading2"/>
      </w:pPr>
      <w:r w:rsidRPr="00AB4911">
        <w:t>R</w:t>
      </w:r>
      <w:r w:rsidR="00AB4911" w:rsidRPr="00AB4911">
        <w:t>appel</w:t>
      </w:r>
    </w:p>
    <w:p w14:paraId="6354BF27" w14:textId="77777777" w:rsidR="00B13AF0" w:rsidRPr="002B67F3" w:rsidRDefault="00B13AF0" w:rsidP="002C173D">
      <w:pPr>
        <w:pStyle w:val="ONUMFS"/>
      </w:pPr>
      <w:r>
        <w:t>À sa neuv</w:t>
      </w:r>
      <w:r w:rsidR="003815EA">
        <w:t>ième session</w:t>
      </w:r>
      <w:r>
        <w:t xml:space="preserve"> tenue en 2021,</w:t>
      </w:r>
      <w:r w:rsidR="003815EA">
        <w:t xml:space="preserve"> le CWS</w:t>
      </w:r>
      <w:r>
        <w:t xml:space="preserve"> a approuvé le programme de travail révisé pour la mise à jour de la partie 7 du Manuel de l</w:t>
      </w:r>
      <w:r w:rsidR="003815EA">
        <w:t>’</w:t>
      </w:r>
      <w:r>
        <w:t xml:space="preserve">OMPI, </w:t>
      </w:r>
      <w:r w:rsidR="003815EA">
        <w:t>y compris</w:t>
      </w:r>
      <w:r>
        <w:t xml:space="preserve"> une enquête sur les dates du calendrier en 2022.  Le comité a approuvé une procédure simplifiée pour les mises à jour de la partie 7, </w:t>
      </w:r>
      <w:r w:rsidR="003815EA">
        <w:t>à savoir</w:t>
      </w:r>
      <w:r>
        <w:t xml:space="preserve"> la collecte et la publication des résultats sans présentation du questionnaire ou des résultats</w:t>
      </w:r>
      <w:r w:rsidR="003815EA">
        <w:t xml:space="preserve"> au CWS</w:t>
      </w:r>
      <w:r>
        <w:t xml:space="preserve"> pour approbati</w:t>
      </w:r>
      <w:r w:rsidR="0014264F">
        <w:t>on.  Il</w:t>
      </w:r>
      <w:r>
        <w:t xml:space="preserve"> a prié l</w:t>
      </w:r>
      <w:r w:rsidR="003815EA">
        <w:t>’</w:t>
      </w:r>
      <w:r>
        <w:t>équipe d</w:t>
      </w:r>
      <w:r w:rsidR="003815EA">
        <w:t>’</w:t>
      </w:r>
      <w:r>
        <w:t xml:space="preserve">experts de planifier dans son programme de travail une mise à jour de la partie 7.9 sur les pratiques en matière de citations (voir les paragraphes 110 à 114 du </w:t>
      </w:r>
      <w:r w:rsidR="003815EA">
        <w:t>document</w:t>
      </w:r>
      <w:r w:rsidR="0014264F">
        <w:t> </w:t>
      </w:r>
      <w:r w:rsidR="003815EA">
        <w:t>CW</w:t>
      </w:r>
      <w:r>
        <w:t>S/9/25).</w:t>
      </w:r>
    </w:p>
    <w:p w14:paraId="45362D95" w14:textId="77777777" w:rsidR="003815EA" w:rsidRDefault="00B13AF0" w:rsidP="002C173D">
      <w:pPr>
        <w:pStyle w:val="ONUMFS"/>
      </w:pPr>
      <w:r>
        <w:t>À sa dix</w:t>
      </w:r>
      <w:r w:rsidR="003815EA">
        <w:t>ième session</w:t>
      </w:r>
      <w:r>
        <w:t xml:space="preserve"> en 2022,</w:t>
      </w:r>
      <w:r w:rsidR="003815EA">
        <w:t xml:space="preserve"> le CWS</w:t>
      </w:r>
      <w:r>
        <w:t xml:space="preserve"> a été informé que le Secrétariat avait diffusé la circulaire C.CWS 162 invitant les offices de propriété intellectuelle à répondre à l</w:t>
      </w:r>
      <w:r w:rsidR="003815EA">
        <w:t>’</w:t>
      </w:r>
      <w:r>
        <w:t>enquête sur les modes d</w:t>
      </w:r>
      <w:r w:rsidR="003815EA">
        <w:t>’</w:t>
      </w:r>
      <w:r>
        <w:t>indication des dates du calendri</w:t>
      </w:r>
      <w:r w:rsidR="0014264F">
        <w:t>er.  Il</w:t>
      </w:r>
      <w:r>
        <w:t xml:space="preserve"> a également pris note de l</w:t>
      </w:r>
      <w:r w:rsidR="003815EA">
        <w:t>’</w:t>
      </w:r>
      <w:r>
        <w:t xml:space="preserve">analyse des réponses reçues, qui figure dans le </w:t>
      </w:r>
      <w:r w:rsidR="003815EA">
        <w:t>document</w:t>
      </w:r>
      <w:r w:rsidR="0014264F">
        <w:t> </w:t>
      </w:r>
      <w:r w:rsidR="003815EA">
        <w:t>CW</w:t>
      </w:r>
      <w:r>
        <w:t>S/10/18.</w:t>
      </w:r>
    </w:p>
    <w:p w14:paraId="4A7F94FB" w14:textId="77777777" w:rsidR="00B13AF0" w:rsidRPr="002B67F3" w:rsidRDefault="00B13AF0" w:rsidP="002C173D">
      <w:pPr>
        <w:pStyle w:val="ONUMFS"/>
      </w:pPr>
      <w:r>
        <w:lastRenderedPageBreak/>
        <w:t>Lors de la même session en 2022,</w:t>
      </w:r>
      <w:r w:rsidR="003815EA">
        <w:t xml:space="preserve"> le CWS</w:t>
      </w:r>
      <w:r>
        <w:t xml:space="preserve"> a également examiné et approuvé le programme de travail actualisé de l</w:t>
      </w:r>
      <w:r w:rsidR="003815EA">
        <w:t>’</w:t>
      </w:r>
      <w:r>
        <w:t>Équipe d</w:t>
      </w:r>
      <w:r w:rsidR="003815EA">
        <w:t>’</w:t>
      </w:r>
      <w:r>
        <w:t>experts chargée de la partie 7, qui est reproduit dans le tableau ci</w:t>
      </w:r>
      <w:r w:rsidR="00AB4911">
        <w:noBreakHyphen/>
      </w:r>
      <w:r>
        <w:t>dessous.</w:t>
      </w:r>
    </w:p>
    <w:tbl>
      <w:tblPr>
        <w:tblStyle w:val="TableGrid"/>
        <w:tblpPr w:leftFromText="180" w:rightFromText="180" w:vertAnchor="text" w:tblpY="1"/>
        <w:tblOverlap w:val="never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B13AF0" w:rsidRPr="002B67F3" w14:paraId="36F11359" w14:textId="77777777" w:rsidTr="00E215E8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B833196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311F726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43345D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Dernière</w:t>
            </w:r>
          </w:p>
          <w:p w14:paraId="343C992B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publication</w:t>
            </w:r>
            <w:proofErr w:type="gramEnd"/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3CCE81B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</w:tr>
      <w:tr w:rsidR="00B13AF0" w:rsidRPr="002B67F3" w14:paraId="40C76386" w14:textId="77777777" w:rsidTr="00E215E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185E" w14:textId="77777777" w:rsidR="00B13AF0" w:rsidRPr="002B67F3" w:rsidRDefault="00B13AF0" w:rsidP="00D45974">
            <w:pPr>
              <w:spacing w:after="60"/>
            </w:pPr>
            <w:r>
              <w:t>Partie 7.9</w:t>
            </w:r>
          </w:p>
        </w:tc>
        <w:tc>
          <w:tcPr>
            <w:tcW w:w="3543" w:type="dxa"/>
          </w:tcPr>
          <w:p w14:paraId="2233C297" w14:textId="77777777" w:rsidR="00B13AF0" w:rsidRPr="00E0052F" w:rsidRDefault="00B13AF0" w:rsidP="00D45974">
            <w:pPr>
              <w:spacing w:after="60"/>
            </w:pPr>
            <w:r>
              <w:t>Pratiques en matière de citations</w:t>
            </w:r>
          </w:p>
        </w:tc>
        <w:tc>
          <w:tcPr>
            <w:tcW w:w="1276" w:type="dxa"/>
            <w:shd w:val="clear" w:color="auto" w:fill="auto"/>
          </w:tcPr>
          <w:p w14:paraId="36BCD8AC" w14:textId="77777777" w:rsidR="00B13AF0" w:rsidRPr="002B67F3" w:rsidRDefault="00B13AF0" w:rsidP="00D45974">
            <w:pPr>
              <w:spacing w:after="60"/>
              <w:jc w:val="center"/>
            </w:pPr>
            <w:r>
              <w:t>2008</w:t>
            </w:r>
          </w:p>
        </w:tc>
        <w:tc>
          <w:tcPr>
            <w:tcW w:w="2621" w:type="dxa"/>
          </w:tcPr>
          <w:p w14:paraId="05D112B5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mise</w:t>
            </w:r>
            <w:proofErr w:type="gramEnd"/>
            <w:r>
              <w:t xml:space="preserve"> à jour 2023</w:t>
            </w:r>
          </w:p>
        </w:tc>
      </w:tr>
      <w:tr w:rsidR="00B13AF0" w:rsidRPr="002B67F3" w14:paraId="590C8CC4" w14:textId="77777777" w:rsidTr="00E215E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1E73E" w14:textId="77777777" w:rsidR="00B13AF0" w:rsidRPr="002B67F3" w:rsidRDefault="00B13AF0" w:rsidP="00D45974">
            <w:pPr>
              <w:spacing w:after="60"/>
            </w:pPr>
            <w:r>
              <w:t>Partie 7.6</w:t>
            </w:r>
          </w:p>
        </w:tc>
        <w:tc>
          <w:tcPr>
            <w:tcW w:w="3543" w:type="dxa"/>
          </w:tcPr>
          <w:p w14:paraId="47510E03" w14:textId="77777777" w:rsidR="00B13AF0" w:rsidRPr="00E0052F" w:rsidRDefault="00B13AF0" w:rsidP="00D45974">
            <w:pPr>
              <w:spacing w:after="60"/>
            </w:pPr>
            <w:r>
              <w:t>Informations bibliographiques contenues dans les bulletins de brevets</w:t>
            </w:r>
          </w:p>
        </w:tc>
        <w:tc>
          <w:tcPr>
            <w:tcW w:w="1276" w:type="dxa"/>
            <w:shd w:val="clear" w:color="auto" w:fill="auto"/>
          </w:tcPr>
          <w:p w14:paraId="0B9376CA" w14:textId="77777777" w:rsidR="00B13AF0" w:rsidRPr="002B67F3" w:rsidRDefault="00B13AF0" w:rsidP="00D45974">
            <w:pPr>
              <w:spacing w:after="60"/>
              <w:jc w:val="center"/>
            </w:pPr>
            <w:r>
              <w:t>1990</w:t>
            </w:r>
          </w:p>
        </w:tc>
        <w:tc>
          <w:tcPr>
            <w:tcW w:w="2621" w:type="dxa"/>
          </w:tcPr>
          <w:p w14:paraId="3340D3DD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mise</w:t>
            </w:r>
            <w:proofErr w:type="gramEnd"/>
            <w:r>
              <w:t xml:space="preserve"> à jour 2023</w:t>
            </w:r>
          </w:p>
        </w:tc>
      </w:tr>
      <w:tr w:rsidR="00B13AF0" w:rsidRPr="002B67F3" w14:paraId="10C8BDB4" w14:textId="77777777" w:rsidTr="00E215E8">
        <w:tc>
          <w:tcPr>
            <w:tcW w:w="1555" w:type="dxa"/>
            <w:shd w:val="clear" w:color="auto" w:fill="auto"/>
          </w:tcPr>
          <w:p w14:paraId="51811FFB" w14:textId="77777777" w:rsidR="00B13AF0" w:rsidRPr="002B67F3" w:rsidRDefault="00B13AF0" w:rsidP="002C173D">
            <w:pPr>
              <w:spacing w:after="60"/>
            </w:pPr>
            <w:r>
              <w:t>Partie 7.2.6 et</w:t>
            </w:r>
            <w:r w:rsidR="002C173D">
              <w:t xml:space="preserve"> </w:t>
            </w:r>
            <w:r>
              <w:t>partie 7.2.7</w:t>
            </w:r>
          </w:p>
        </w:tc>
        <w:tc>
          <w:tcPr>
            <w:tcW w:w="3543" w:type="dxa"/>
          </w:tcPr>
          <w:p w14:paraId="61B4C5C9" w14:textId="77777777" w:rsidR="00B13AF0" w:rsidRPr="002B67F3" w:rsidRDefault="00B13AF0" w:rsidP="00D45974">
            <w:pPr>
              <w:spacing w:after="60"/>
            </w:pPr>
            <w:r>
              <w:t>Numérotation des demandes – pratiques actuelles et pratiques antérieures</w:t>
            </w:r>
          </w:p>
        </w:tc>
        <w:tc>
          <w:tcPr>
            <w:tcW w:w="1276" w:type="dxa"/>
            <w:shd w:val="clear" w:color="auto" w:fill="auto"/>
          </w:tcPr>
          <w:p w14:paraId="6F14958B" w14:textId="77777777" w:rsidR="00B13AF0" w:rsidRPr="002B67F3" w:rsidRDefault="00B13AF0" w:rsidP="00D45974">
            <w:pPr>
              <w:spacing w:after="60"/>
              <w:jc w:val="center"/>
            </w:pPr>
            <w:r>
              <w:t>2017</w:t>
            </w:r>
          </w:p>
        </w:tc>
        <w:tc>
          <w:tcPr>
            <w:tcW w:w="2621" w:type="dxa"/>
          </w:tcPr>
          <w:p w14:paraId="03B9FA6C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mise</w:t>
            </w:r>
            <w:proofErr w:type="gramEnd"/>
            <w:r>
              <w:t xml:space="preserve"> à jour 2024</w:t>
            </w:r>
          </w:p>
        </w:tc>
      </w:tr>
      <w:tr w:rsidR="00B13AF0" w:rsidRPr="002B67F3" w14:paraId="47AC2D84" w14:textId="77777777" w:rsidTr="00E215E8">
        <w:tc>
          <w:tcPr>
            <w:tcW w:w="1555" w:type="dxa"/>
            <w:shd w:val="clear" w:color="auto" w:fill="auto"/>
          </w:tcPr>
          <w:p w14:paraId="00226C46" w14:textId="77777777" w:rsidR="00B13AF0" w:rsidRPr="002B67F3" w:rsidRDefault="00B13AF0" w:rsidP="00D45974">
            <w:pPr>
              <w:spacing w:after="60"/>
            </w:pPr>
            <w:r>
              <w:t>Partie 7.3</w:t>
            </w:r>
          </w:p>
        </w:tc>
        <w:tc>
          <w:tcPr>
            <w:tcW w:w="3543" w:type="dxa"/>
          </w:tcPr>
          <w:p w14:paraId="43A070A7" w14:textId="77777777" w:rsidR="00B13AF0" w:rsidRPr="002B67F3" w:rsidRDefault="00B13AF0" w:rsidP="00D45974">
            <w:pPr>
              <w:spacing w:after="60"/>
            </w:pPr>
            <w:r>
              <w:t>Exemples et types de documents de brevet</w:t>
            </w:r>
          </w:p>
        </w:tc>
        <w:tc>
          <w:tcPr>
            <w:tcW w:w="1276" w:type="dxa"/>
            <w:shd w:val="clear" w:color="auto" w:fill="auto"/>
          </w:tcPr>
          <w:p w14:paraId="7D0E8B7C" w14:textId="77777777" w:rsidR="00B13AF0" w:rsidRPr="002B67F3" w:rsidRDefault="00B13AF0" w:rsidP="00D45974">
            <w:pPr>
              <w:spacing w:after="60"/>
              <w:jc w:val="center"/>
            </w:pPr>
            <w:r>
              <w:t>2016</w:t>
            </w:r>
          </w:p>
        </w:tc>
        <w:tc>
          <w:tcPr>
            <w:tcW w:w="2621" w:type="dxa"/>
          </w:tcPr>
          <w:p w14:paraId="320A13F3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mise</w:t>
            </w:r>
            <w:proofErr w:type="gramEnd"/>
            <w:r>
              <w:t xml:space="preserve"> à jour 2025</w:t>
            </w:r>
          </w:p>
        </w:tc>
      </w:tr>
    </w:tbl>
    <w:p w14:paraId="335AEB6F" w14:textId="77777777" w:rsidR="00B13AF0" w:rsidRPr="002B67F3" w:rsidRDefault="00B13AF0" w:rsidP="002C173D">
      <w:pPr>
        <w:pStyle w:val="ONUMFS"/>
        <w:spacing w:before="220"/>
      </w:pPr>
      <w:r>
        <w:t>Le CWS a noté que les deux</w:t>
      </w:r>
      <w:r w:rsidR="00B95EF1">
        <w:t> </w:t>
      </w:r>
      <w:r>
        <w:t>enquêtes prévues pour mettre à jour les parties 7.6 et 7.9 seraient menées au moyen d</w:t>
      </w:r>
      <w:r w:rsidR="003815EA">
        <w:t>’</w:t>
      </w:r>
      <w:r>
        <w:t>une procédure simplifiée approuvée à la neuv</w:t>
      </w:r>
      <w:r w:rsidR="003815EA">
        <w:t>ième session :</w:t>
      </w:r>
      <w:r>
        <w:t xml:space="preserve"> collecte et publication des résultats sans présentation du questionnaire ou des résultats</w:t>
      </w:r>
      <w:r w:rsidR="003815EA">
        <w:t xml:space="preserve"> au CWS</w:t>
      </w:r>
      <w:r>
        <w:t xml:space="preserve"> pour approbation, mais présentation de l</w:t>
      </w:r>
      <w:r w:rsidR="003815EA">
        <w:t>’</w:t>
      </w:r>
      <w:r>
        <w:t>analyse des enquêtes réalisées pour examen et approbation par</w:t>
      </w:r>
      <w:r w:rsidR="003815EA">
        <w:t xml:space="preserve"> le CWS</w:t>
      </w:r>
      <w:r>
        <w:t xml:space="preserve"> (voir le paragraphe 114 du </w:t>
      </w:r>
      <w:r w:rsidR="003815EA">
        <w:t>document</w:t>
      </w:r>
      <w:r w:rsidR="0014264F">
        <w:t> </w:t>
      </w:r>
      <w:r w:rsidR="003815EA">
        <w:t>CW</w:t>
      </w:r>
      <w:r>
        <w:t>S/9/25).  Le comité sera informé des résultats publiés à la session suivante.</w:t>
      </w:r>
    </w:p>
    <w:p w14:paraId="4206C9EE" w14:textId="77777777" w:rsidR="00B13AF0" w:rsidRPr="002B67F3" w:rsidRDefault="00B13AF0" w:rsidP="00D45974">
      <w:pPr>
        <w:pStyle w:val="Heading2"/>
        <w:spacing w:before="0"/>
      </w:pPr>
      <w:r>
        <w:t>Rapport sur l</w:t>
      </w:r>
      <w:r w:rsidR="003815EA">
        <w:t>’</w:t>
      </w:r>
      <w:r>
        <w:t>état d</w:t>
      </w:r>
      <w:r w:rsidR="003815EA">
        <w:t>’</w:t>
      </w:r>
      <w:r>
        <w:t>avancement de la tâche n° 50</w:t>
      </w:r>
    </w:p>
    <w:p w14:paraId="197D89AD" w14:textId="77777777" w:rsidR="00B13AF0" w:rsidRPr="00E0052F" w:rsidRDefault="00B13AF0" w:rsidP="00D45974">
      <w:pPr>
        <w:pStyle w:val="Heading3"/>
        <w:spacing w:before="0" w:after="0"/>
      </w:pPr>
      <w:r>
        <w:t>Objectifs</w:t>
      </w:r>
    </w:p>
    <w:p w14:paraId="00178001" w14:textId="77777777" w:rsidR="003815EA" w:rsidRPr="00113E1C" w:rsidRDefault="00B13AF0" w:rsidP="00113E1C">
      <w:pPr>
        <w:pStyle w:val="ONUMFS"/>
      </w:pPr>
      <w:r w:rsidRPr="00113E1C">
        <w:t>Conformément à sa description, l</w:t>
      </w:r>
      <w:r w:rsidR="003815EA" w:rsidRPr="00113E1C">
        <w:t>’</w:t>
      </w:r>
      <w:r w:rsidRPr="00113E1C">
        <w:t>objectif de la tâche n° 50 est d</w:t>
      </w:r>
      <w:r w:rsidR="003815EA" w:rsidRPr="00113E1C">
        <w:t>’</w:t>
      </w:r>
      <w:r w:rsidRPr="00113E1C">
        <w:t>assurer la tenue et la mise à jour requise des enquêtes publiées dans la partie 7 du Manuel de l</w:t>
      </w:r>
      <w:r w:rsidR="003815EA" w:rsidRPr="00113E1C">
        <w:t>’</w:t>
      </w:r>
      <w:r w:rsidRPr="00113E1C">
        <w:t>OMPI sur l</w:t>
      </w:r>
      <w:r w:rsidR="003815EA" w:rsidRPr="00113E1C">
        <w:t>’</w:t>
      </w:r>
      <w:r w:rsidRPr="00113E1C">
        <w:t>information et la documentation en matière de propriété intellectuelle.</w:t>
      </w:r>
    </w:p>
    <w:p w14:paraId="209644C9" w14:textId="77777777" w:rsidR="00B13AF0" w:rsidRPr="002B67F3" w:rsidRDefault="00B13AF0" w:rsidP="00D45974">
      <w:pPr>
        <w:pStyle w:val="Heading3"/>
        <w:spacing w:before="0" w:after="0"/>
      </w:pPr>
      <w:r>
        <w:t>Actions pertinentes pour l</w:t>
      </w:r>
      <w:r w:rsidR="003815EA">
        <w:t>’</w:t>
      </w:r>
      <w:r>
        <w:t>année 2023</w:t>
      </w:r>
    </w:p>
    <w:p w14:paraId="3FD9A31F" w14:textId="77777777" w:rsidR="003815EA" w:rsidRDefault="00B13AF0" w:rsidP="00113E1C">
      <w:pPr>
        <w:pStyle w:val="ONUMFS"/>
      </w:pPr>
      <w:r>
        <w:t>Le Secrétariat a mis à jour la partie 7.1 du Manuel de l</w:t>
      </w:r>
      <w:r w:rsidR="003815EA">
        <w:t>’</w:t>
      </w:r>
      <w:r>
        <w:t>OMPI avec les résultats de l</w:t>
      </w:r>
      <w:r w:rsidR="003815EA">
        <w:t>’</w:t>
      </w:r>
      <w:r>
        <w:t>enquête sur l</w:t>
      </w:r>
      <w:r w:rsidR="003815EA">
        <w:t>’</w:t>
      </w:r>
      <w:r>
        <w:t>indication des dates du calendrier, qui ont été communiqués à la dix</w:t>
      </w:r>
      <w:r w:rsidR="003815EA">
        <w:t>ième session du CWS</w:t>
      </w:r>
      <w:r>
        <w:t xml:space="preserve"> en janvier 2023.</w:t>
      </w:r>
    </w:p>
    <w:p w14:paraId="1B53A40C" w14:textId="77777777" w:rsidR="003815EA" w:rsidRDefault="00B13AF0" w:rsidP="00113E1C">
      <w:pPr>
        <w:pStyle w:val="ONUMFS"/>
      </w:pPr>
      <w:r>
        <w:t>L</w:t>
      </w:r>
      <w:r w:rsidR="003815EA">
        <w:t>’</w:t>
      </w:r>
      <w:r>
        <w:t>équipe d</w:t>
      </w:r>
      <w:r w:rsidR="003815EA">
        <w:t>’</w:t>
      </w:r>
      <w:r>
        <w:t>experts a discuté de la manière de mener les deux enquêtes qui devaient être réalisées en 2023, mais a identifié certains problèm</w:t>
      </w:r>
      <w:r w:rsidR="0014264F">
        <w:t>es.  En</w:t>
      </w:r>
      <w:r>
        <w:t xml:space="preserve"> ce qui concerne l</w:t>
      </w:r>
      <w:r w:rsidR="003815EA">
        <w:t>’</w:t>
      </w:r>
      <w:r>
        <w:t>enquête visant à mettre à jour la partie 7.6 du Manuel de l</w:t>
      </w:r>
      <w:r w:rsidR="003815EA">
        <w:t>’</w:t>
      </w:r>
      <w:r>
        <w:t>OMPI intitulée “Informations bibliographiques contenues dans les bulletins de brevets”, l</w:t>
      </w:r>
      <w:r w:rsidR="003815EA">
        <w:t>’</w:t>
      </w:r>
      <w:r>
        <w:t>enquête ci</w:t>
      </w:r>
      <w:r w:rsidR="00AB4911">
        <w:noBreakHyphen/>
      </w:r>
      <w:r>
        <w:t>après a été menée pour la dernière fois au moyen de la circulaire 1246/08.2 du Comité permanent chargé de l</w:t>
      </w:r>
      <w:r w:rsidR="003815EA">
        <w:t>’</w:t>
      </w:r>
      <w:r>
        <w:t>information en matière de propriété industrielle (PCIPI) en date du 18 août 1989</w:t>
      </w:r>
      <w:r w:rsidR="003815EA">
        <w:t> :</w:t>
      </w:r>
    </w:p>
    <w:p w14:paraId="72C91448" w14:textId="41F516DA" w:rsidR="003815EA" w:rsidRDefault="00B13AF0" w:rsidP="00D45974">
      <w:pPr>
        <w:spacing w:after="240"/>
        <w:ind w:left="567"/>
      </w:pPr>
      <w:r>
        <w:rPr>
          <w:i/>
          <w:iCs/>
        </w:rPr>
        <w:t>“Répertoire des informations bibliographiques contenues dans les bulletins de brevets et dans les tables actuelles qui y sont insérées ou publiées séparément en liaison avec les bulletins de brevets”</w:t>
      </w:r>
      <w:r w:rsidR="0014264F">
        <w:rPr>
          <w:i/>
          <w:iCs/>
        </w:rPr>
        <w:t>.</w:t>
      </w:r>
      <w:r w:rsidR="001A3325">
        <w:rPr>
          <w:i/>
          <w:iCs/>
        </w:rPr>
        <w:br/>
      </w:r>
      <w:r w:rsidR="001A3325">
        <w:rPr>
          <w:i/>
          <w:iCs/>
        </w:rPr>
        <w:br/>
      </w:r>
      <w:r w:rsidR="001A3325">
        <w:rPr>
          <w:i/>
          <w:iCs/>
        </w:rPr>
        <w:br/>
      </w:r>
      <w:r w:rsidR="001A3325">
        <w:rPr>
          <w:i/>
          <w:iCs/>
        </w:rPr>
        <w:br/>
      </w:r>
    </w:p>
    <w:p w14:paraId="271C09A4" w14:textId="77777777" w:rsidR="00B13AF0" w:rsidRPr="002B67F3" w:rsidRDefault="00B13AF0" w:rsidP="00113E1C">
      <w:pPr>
        <w:pStyle w:val="ONUMFS"/>
      </w:pPr>
      <w:r>
        <w:lastRenderedPageBreak/>
        <w:t>Après avoir analysé plus en détail l</w:t>
      </w:r>
      <w:r w:rsidR="003815EA">
        <w:t>’</w:t>
      </w:r>
      <w:r>
        <w:t xml:space="preserve">historique de cette enquête </w:t>
      </w:r>
      <w:r w:rsidR="003815EA">
        <w:t>de 1989</w:t>
      </w:r>
      <w:r>
        <w:t>, le Bureau international note que l</w:t>
      </w:r>
      <w:r w:rsidR="003815EA">
        <w:t>’</w:t>
      </w:r>
      <w:r>
        <w:t>objectif principal était de réviser les normes ST.11 et ST.19, comme l</w:t>
      </w:r>
      <w:r w:rsidR="003815EA">
        <w:t>’</w:t>
      </w:r>
      <w:r>
        <w:t>avait demandé l</w:t>
      </w:r>
      <w:r w:rsidR="003815EA">
        <w:t>’</w:t>
      </w:r>
      <w:r>
        <w:t>ancien groupe de travail</w:t>
      </w:r>
      <w:r w:rsidR="003815EA">
        <w:t xml:space="preserve"> du PCI</w:t>
      </w:r>
      <w:r>
        <w:t>PI, qui n</w:t>
      </w:r>
      <w:r w:rsidR="003815EA">
        <w:t>’</w:t>
      </w:r>
      <w:r>
        <w:t>ont pas été révisées depuis 1990.  Par conséquent, l</w:t>
      </w:r>
      <w:r w:rsidR="003815EA">
        <w:t>’</w:t>
      </w:r>
      <w:r>
        <w:t>équipe d</w:t>
      </w:r>
      <w:r w:rsidR="003815EA">
        <w:t>’</w:t>
      </w:r>
      <w:r>
        <w:t>experts demande</w:t>
      </w:r>
      <w:r w:rsidR="003815EA">
        <w:t xml:space="preserve"> au CWS</w:t>
      </w:r>
      <w:r>
        <w:t xml:space="preserve"> d</w:t>
      </w:r>
      <w:r w:rsidR="003815EA">
        <w:t>’</w:t>
      </w:r>
      <w:r>
        <w:t>examiner la question et de décider si ces normes doivent être révisées avant de procéder à l</w:t>
      </w:r>
      <w:r w:rsidR="003815EA">
        <w:t>’</w:t>
      </w:r>
      <w:r>
        <w:t>enquê</w:t>
      </w:r>
      <w:r w:rsidR="0014264F">
        <w:t>te.  Si</w:t>
      </w:r>
      <w:r w:rsidR="003815EA">
        <w:t xml:space="preserve"> le CWS</w:t>
      </w:r>
      <w:r>
        <w:t xml:space="preserve"> décide de mettre à jour ces deux</w:t>
      </w:r>
      <w:r w:rsidR="00B95EF1">
        <w:t> </w:t>
      </w:r>
      <w:r>
        <w:t>normes, l</w:t>
      </w:r>
      <w:r w:rsidR="003815EA">
        <w:t>’</w:t>
      </w:r>
      <w:r>
        <w:t>enquête devrait être lancée en 2024.</w:t>
      </w:r>
    </w:p>
    <w:p w14:paraId="79AA993D" w14:textId="77777777" w:rsidR="00B13AF0" w:rsidRPr="00113E1C" w:rsidRDefault="00B13AF0" w:rsidP="00113E1C">
      <w:pPr>
        <w:pStyle w:val="ONUMFS"/>
      </w:pPr>
      <w:r w:rsidRPr="00113E1C">
        <w:t>En ce qui concerne l</w:t>
      </w:r>
      <w:r w:rsidR="003815EA" w:rsidRPr="00113E1C">
        <w:t>’</w:t>
      </w:r>
      <w:r w:rsidRPr="00113E1C">
        <w:t>enquête visant à mettre à jour la partie 7.9 du Manuel de l</w:t>
      </w:r>
      <w:r w:rsidR="003815EA" w:rsidRPr="00113E1C">
        <w:t>’</w:t>
      </w:r>
      <w:r w:rsidRPr="00113E1C">
        <w:t>OMPI intitulée “Pratiques en matière de citations”,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a examiné le questionnaire envoyé pour la dernière fois en 2008 (voir l</w:t>
      </w:r>
      <w:r w:rsidR="003815EA" w:rsidRPr="00113E1C">
        <w:t>’</w:t>
      </w:r>
      <w:r w:rsidRPr="00113E1C">
        <w:t>annexe du présent document) et s</w:t>
      </w:r>
      <w:r w:rsidR="003815EA" w:rsidRPr="00113E1C">
        <w:t>’</w:t>
      </w:r>
      <w:r w:rsidRPr="00113E1C">
        <w:t>est demandé si son contenu était toujours pertinent pour recueillir l</w:t>
      </w:r>
      <w:r w:rsidR="003815EA" w:rsidRPr="00113E1C">
        <w:t>’</w:t>
      </w:r>
      <w:r w:rsidRPr="00113E1C">
        <w:t>avis des offices de propriété intellectuelle sur leurs pratiques actuelles en matière de citatio</w:t>
      </w:r>
      <w:r w:rsidR="0014264F" w:rsidRPr="00113E1C">
        <w:t>ns.  El</w:t>
      </w:r>
      <w:r w:rsidRPr="00113E1C">
        <w:t>le est convenue qu</w:t>
      </w:r>
      <w:r w:rsidR="003815EA" w:rsidRPr="00113E1C">
        <w:t>’</w:t>
      </w:r>
      <w:r w:rsidRPr="00113E1C">
        <w:t>il conviendrait de mettre à jour le questionnaire de l</w:t>
      </w:r>
      <w:r w:rsidR="003815EA" w:rsidRPr="00113E1C">
        <w:t>’</w:t>
      </w:r>
      <w:r w:rsidRPr="00113E1C">
        <w:t xml:space="preserve">enquête avant de lancer une nouvelle enquête, compte tenu notamment des nouveaux types de citations, </w:t>
      </w:r>
      <w:r w:rsidR="003815EA" w:rsidRPr="00113E1C">
        <w:t>y compris</w:t>
      </w:r>
      <w:r w:rsidRPr="00113E1C">
        <w:t xml:space="preserve"> le référencement des vidéos, du nouveau format de données et de la nouvelle plateforme pour les citatio</w:t>
      </w:r>
      <w:r w:rsidR="0014264F" w:rsidRPr="00113E1C">
        <w:t>ns.  Le</w:t>
      </w:r>
      <w:r w:rsidRPr="00113E1C">
        <w:t xml:space="preserve"> Bureau international, en tant que responsable de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experts, a travaillé à l</w:t>
      </w:r>
      <w:r w:rsidR="003815EA" w:rsidRPr="00113E1C">
        <w:t>’</w:t>
      </w:r>
      <w:r w:rsidRPr="00113E1C">
        <w:t>élaboration d</w:t>
      </w:r>
      <w:r w:rsidR="003815EA" w:rsidRPr="00113E1C">
        <w:t>’</w:t>
      </w:r>
      <w:r w:rsidRPr="00113E1C">
        <w:t>un questionnaire révisé qui sera examiné lors de la présente session</w:t>
      </w:r>
      <w:r w:rsidR="003815EA" w:rsidRPr="00113E1C">
        <w:t xml:space="preserve"> du CWS</w:t>
      </w:r>
      <w:r w:rsidRPr="00113E1C">
        <w:t>, en collaboration avec les membres de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experts, mais il faut plus de temps pour le rempl</w:t>
      </w:r>
      <w:r w:rsidR="0014264F" w:rsidRPr="00113E1C">
        <w:t>ir.  Ap</w:t>
      </w:r>
      <w:r w:rsidRPr="00113E1C">
        <w:t>rès l</w:t>
      </w:r>
      <w:r w:rsidR="003815EA" w:rsidRPr="00113E1C">
        <w:t>’</w:t>
      </w:r>
      <w:r w:rsidRPr="00113E1C">
        <w:t>approbation</w:t>
      </w:r>
      <w:r w:rsidR="003815EA" w:rsidRPr="00113E1C">
        <w:t xml:space="preserve"> du CWS</w:t>
      </w:r>
      <w:r w:rsidRPr="00113E1C">
        <w:t>,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chargée de la partie 7 établira le questionnaire actualisé sur les pratiques en matière de citations et le présentera à la prochaine session</w:t>
      </w:r>
      <w:r w:rsidR="003815EA" w:rsidRPr="00113E1C">
        <w:t xml:space="preserve"> du CWS</w:t>
      </w:r>
      <w:r w:rsidRPr="00113E1C">
        <w:t>, en 2024, pour examen et approbation.</w:t>
      </w:r>
    </w:p>
    <w:p w14:paraId="20C5B000" w14:textId="77777777" w:rsidR="003815EA" w:rsidRPr="00113E1C" w:rsidRDefault="00B13AF0" w:rsidP="00113E1C">
      <w:pPr>
        <w:pStyle w:val="ONUMFS"/>
      </w:pPr>
      <w:r w:rsidRPr="00113E1C">
        <w:t>Un office membre de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a également suggéré de préciser l</w:t>
      </w:r>
      <w:r w:rsidR="003815EA" w:rsidRPr="00113E1C">
        <w:t>’</w:t>
      </w:r>
      <w:r w:rsidRPr="00113E1C">
        <w:t>objectif spécifique de l</w:t>
      </w:r>
      <w:r w:rsidR="003815EA" w:rsidRPr="00113E1C">
        <w:t>’</w:t>
      </w:r>
      <w:r w:rsidRPr="00113E1C">
        <w:t>enquête et l</w:t>
      </w:r>
      <w:r w:rsidR="003815EA" w:rsidRPr="00113E1C">
        <w:t>’</w:t>
      </w:r>
      <w:r w:rsidRPr="00113E1C">
        <w:t>utilisation prévue des informations recueillies, avant la réalisation de l</w:t>
      </w:r>
      <w:r w:rsidR="003815EA" w:rsidRPr="00113E1C">
        <w:t>’</w:t>
      </w:r>
      <w:r w:rsidRPr="00113E1C">
        <w:t>enquête, qui requiert des ressources humaines important</w:t>
      </w:r>
      <w:r w:rsidR="0014264F" w:rsidRPr="00113E1C">
        <w:t>es.  Pa</w:t>
      </w:r>
      <w:r w:rsidRPr="00113E1C">
        <w:t>r conséquent,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chargée de la partie 7 indiquera clairement qui sont les utilisateurs ou les utilisateurs finaux des informations recueillies dans le cadre de l</w:t>
      </w:r>
      <w:r w:rsidR="003815EA" w:rsidRPr="00113E1C">
        <w:t>’</w:t>
      </w:r>
      <w:r w:rsidRPr="00113E1C">
        <w:t>enquête, afin d</w:t>
      </w:r>
      <w:r w:rsidR="003815EA" w:rsidRPr="00113E1C">
        <w:t>’</w:t>
      </w:r>
      <w:r w:rsidRPr="00113E1C">
        <w:t>exploiter au maximum les résultats de l</w:t>
      </w:r>
      <w:r w:rsidR="003815EA" w:rsidRPr="00113E1C">
        <w:t>’</w:t>
      </w:r>
      <w:r w:rsidRPr="00113E1C">
        <w:t>enquête.</w:t>
      </w:r>
    </w:p>
    <w:p w14:paraId="5AFDA6C5" w14:textId="77777777" w:rsidR="00B13AF0" w:rsidRPr="002B67F3" w:rsidRDefault="00B13AF0" w:rsidP="00D45974">
      <w:pPr>
        <w:pStyle w:val="Heading3"/>
        <w:spacing w:before="0" w:after="0"/>
      </w:pPr>
      <w:r>
        <w:t>Défis potentiels ou dépendances</w:t>
      </w:r>
    </w:p>
    <w:p w14:paraId="4FF3CB4D" w14:textId="77777777" w:rsidR="00B13AF0" w:rsidRPr="00113E1C" w:rsidRDefault="00B13AF0" w:rsidP="00113E1C">
      <w:pPr>
        <w:pStyle w:val="ONUMFS"/>
      </w:pPr>
      <w:r w:rsidRPr="00113E1C">
        <w:t>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a identifié plusieurs défis ou dépendances dans la conduite de ses travaux</w:t>
      </w:r>
      <w:r w:rsidR="003815EA" w:rsidRPr="00113E1C">
        <w:t> :</w:t>
      </w:r>
    </w:p>
    <w:p w14:paraId="56CB2CDA" w14:textId="77777777" w:rsidR="00B13AF0" w:rsidRPr="00113E1C" w:rsidRDefault="00113E1C" w:rsidP="00113E1C">
      <w:pPr>
        <w:pStyle w:val="ONUMFS"/>
        <w:numPr>
          <w:ilvl w:val="0"/>
          <w:numId w:val="8"/>
        </w:numPr>
        <w:ind w:left="1134" w:hanging="567"/>
      </w:pPr>
      <w:proofErr w:type="gramStart"/>
      <w:r>
        <w:t>l</w:t>
      </w:r>
      <w:r w:rsidR="00B13AF0" w:rsidRPr="00113E1C">
        <w:t>e</w:t>
      </w:r>
      <w:proofErr w:type="gramEnd"/>
      <w:r w:rsidR="00B13AF0" w:rsidRPr="00113E1C">
        <w:t xml:space="preserve"> Bureau international dirige plusieurs tâches et équipes d</w:t>
      </w:r>
      <w:r w:rsidR="003815EA" w:rsidRPr="00113E1C">
        <w:t>’</w:t>
      </w:r>
      <w:r w:rsidR="00B13AF0" w:rsidRPr="00113E1C">
        <w:t>experts</w:t>
      </w:r>
      <w:r w:rsidR="003815EA" w:rsidRPr="00113E1C">
        <w:t xml:space="preserve"> du CWS</w:t>
      </w:r>
      <w:r w:rsidR="00B13AF0" w:rsidRPr="00113E1C">
        <w:t>, et il connaît des problèmes de ressources en personnel pour diriger les activités menées en vertu de la tâche n° 50;  et</w:t>
      </w:r>
    </w:p>
    <w:p w14:paraId="4B8485E7" w14:textId="77777777" w:rsidR="00B13AF0" w:rsidRPr="00113E1C" w:rsidRDefault="00113E1C" w:rsidP="00113E1C">
      <w:pPr>
        <w:pStyle w:val="ONUMFS"/>
        <w:numPr>
          <w:ilvl w:val="0"/>
          <w:numId w:val="8"/>
        </w:numPr>
        <w:ind w:left="1134" w:hanging="567"/>
      </w:pPr>
      <w:proofErr w:type="gramStart"/>
      <w:r>
        <w:t>i</w:t>
      </w:r>
      <w:r w:rsidR="00B13AF0" w:rsidRPr="00113E1C">
        <w:t>l</w:t>
      </w:r>
      <w:proofErr w:type="gramEnd"/>
      <w:r w:rsidR="00B13AF0" w:rsidRPr="00113E1C">
        <w:t xml:space="preserve"> n</w:t>
      </w:r>
      <w:r w:rsidR="003815EA" w:rsidRPr="00113E1C">
        <w:t>’</w:t>
      </w:r>
      <w:r w:rsidR="00B13AF0" w:rsidRPr="00113E1C">
        <w:t>y a pas de participation active à cette tâche car elle n</w:t>
      </w:r>
      <w:r w:rsidR="003815EA" w:rsidRPr="00113E1C">
        <w:t>’</w:t>
      </w:r>
      <w:r w:rsidR="00B13AF0" w:rsidRPr="00113E1C">
        <w:t>est pas forcément une priorité pour certains offices de propriété intellectuelle.</w:t>
      </w:r>
    </w:p>
    <w:p w14:paraId="3611DF89" w14:textId="77777777" w:rsidR="00B13AF0" w:rsidRPr="00113E1C" w:rsidRDefault="00B13AF0" w:rsidP="00113E1C">
      <w:pPr>
        <w:pStyle w:val="ONUMFS"/>
        <w:numPr>
          <w:ilvl w:val="0"/>
          <w:numId w:val="0"/>
        </w:numPr>
        <w:ind w:left="567"/>
      </w:pPr>
      <w:r w:rsidRPr="00113E1C">
        <w:t>Les questions recensées devraient d</w:t>
      </w:r>
      <w:r w:rsidR="003815EA" w:rsidRPr="00113E1C">
        <w:t>’</w:t>
      </w:r>
      <w:r w:rsidRPr="00113E1C">
        <w:t>abord être discutées et commentées par</w:t>
      </w:r>
      <w:r w:rsidR="003815EA" w:rsidRPr="00113E1C">
        <w:t xml:space="preserve"> le CWS</w:t>
      </w:r>
      <w:r w:rsidRPr="00113E1C">
        <w:t xml:space="preserve"> avant la réalisation des deux</w:t>
      </w:r>
      <w:r w:rsidR="00B95EF1" w:rsidRPr="00113E1C">
        <w:t> </w:t>
      </w:r>
      <w:r w:rsidRPr="00113E1C">
        <w:t>enquêtes.</w:t>
      </w:r>
    </w:p>
    <w:p w14:paraId="66B964D5" w14:textId="77777777" w:rsidR="00B13AF0" w:rsidRPr="002B67F3" w:rsidRDefault="00B13AF0" w:rsidP="00D45974">
      <w:pPr>
        <w:pStyle w:val="Heading3"/>
        <w:spacing w:before="0" w:after="0"/>
      </w:pPr>
      <w:r>
        <w:t>Évaluation des progrès accomplis</w:t>
      </w:r>
    </w:p>
    <w:p w14:paraId="715E25F4" w14:textId="77777777" w:rsidR="003815EA" w:rsidRPr="00113E1C" w:rsidRDefault="00B13AF0" w:rsidP="00113E1C">
      <w:pPr>
        <w:pStyle w:val="ONUMFS"/>
      </w:pPr>
      <w:r w:rsidRPr="00113E1C">
        <w:t>Compte tenu des défis et dépendances susmentionnés,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n</w:t>
      </w:r>
      <w:r w:rsidR="003815EA" w:rsidRPr="00113E1C">
        <w:t>’</w:t>
      </w:r>
      <w:r w:rsidRPr="00113E1C">
        <w:t>a pas réalisé de progrès substantiels depuis la dernière session</w:t>
      </w:r>
      <w:r w:rsidR="003815EA" w:rsidRPr="00113E1C">
        <w:t xml:space="preserve"> du </w:t>
      </w:r>
      <w:r w:rsidR="0014264F" w:rsidRPr="00113E1C">
        <w:t>CWS.  Le</w:t>
      </w:r>
      <w:r w:rsidRPr="00113E1C">
        <w:t>s résultats des enquêtes publiées dans la partie 7 du Manuel de l</w:t>
      </w:r>
      <w:r w:rsidR="003815EA" w:rsidRPr="00113E1C">
        <w:t>’</w:t>
      </w:r>
      <w:r w:rsidRPr="00113E1C">
        <w:t>OMPI sont utiles pour comprendre les pratiques des offices de propriété intellectuelle, mais l</w:t>
      </w:r>
      <w:r w:rsidR="003815EA" w:rsidRPr="00113E1C">
        <w:t>’</w:t>
      </w:r>
      <w:r w:rsidRPr="00113E1C">
        <w:t>équipe d</w:t>
      </w:r>
      <w:r w:rsidR="003815EA" w:rsidRPr="00113E1C">
        <w:t>’</w:t>
      </w:r>
      <w:r w:rsidRPr="00113E1C">
        <w:t>experts a actuellement beaucoup à faire et n</w:t>
      </w:r>
      <w:r w:rsidR="003815EA" w:rsidRPr="00113E1C">
        <w:t>’</w:t>
      </w:r>
      <w:r w:rsidRPr="00113E1C">
        <w:t>est donc pas en mesure d</w:t>
      </w:r>
      <w:r w:rsidR="003815EA" w:rsidRPr="00113E1C">
        <w:t>’</w:t>
      </w:r>
      <w:r w:rsidRPr="00113E1C">
        <w:t>accomplir des progrès significatifs.</w:t>
      </w:r>
    </w:p>
    <w:p w14:paraId="43E2F508" w14:textId="77777777" w:rsidR="003815EA" w:rsidRPr="00113E1C" w:rsidRDefault="00B13AF0" w:rsidP="00113E1C">
      <w:pPr>
        <w:pStyle w:val="ONUMFS"/>
      </w:pPr>
      <w:r w:rsidRPr="00113E1C">
        <w:t>Le Bureau international propose de remplacer le mot “industriel” par “intellectuel” dans la description de la tâche n° 50, le titre du Manuel de l</w:t>
      </w:r>
      <w:r w:rsidR="003815EA" w:rsidRPr="00113E1C">
        <w:t>’</w:t>
      </w:r>
      <w:r w:rsidRPr="00113E1C">
        <w:t>OMPI ayant été modif</w:t>
      </w:r>
      <w:r w:rsidR="0014264F" w:rsidRPr="00113E1C">
        <w:t>ié.  La</w:t>
      </w:r>
      <w:r w:rsidRPr="00113E1C">
        <w:t xml:space="preserve"> version révisée de la description est la suivante</w:t>
      </w:r>
      <w:r w:rsidR="003815EA" w:rsidRPr="00113E1C">
        <w:t> :</w:t>
      </w:r>
      <w:r w:rsidRPr="00113E1C">
        <w:t xml:space="preserve"> “Assurer la tenue et la mise à jour requise des enquêtes publiées dans la partie 7 du Manuel de l</w:t>
      </w:r>
      <w:r w:rsidR="003815EA" w:rsidRPr="00113E1C">
        <w:t>’</w:t>
      </w:r>
      <w:r w:rsidRPr="00113E1C">
        <w:t>OMPI sur l</w:t>
      </w:r>
      <w:r w:rsidR="003815EA" w:rsidRPr="00113E1C">
        <w:t>’</w:t>
      </w:r>
      <w:r w:rsidRPr="00113E1C">
        <w:t>information et la documentation en matière de propriété intellectuelle”.</w:t>
      </w:r>
    </w:p>
    <w:p w14:paraId="74DF0341" w14:textId="77777777" w:rsidR="00B13AF0" w:rsidRPr="00AB4911" w:rsidRDefault="00AB4911" w:rsidP="00113E1C">
      <w:pPr>
        <w:pStyle w:val="Heading2"/>
      </w:pPr>
      <w:r w:rsidRPr="00AB4911">
        <w:lastRenderedPageBreak/>
        <w:t>Programme de travail</w:t>
      </w:r>
    </w:p>
    <w:p w14:paraId="2A8CBC2A" w14:textId="77777777" w:rsidR="00B13AF0" w:rsidRPr="002B67F3" w:rsidRDefault="00B13AF0" w:rsidP="00113E1C">
      <w:pPr>
        <w:pStyle w:val="ONUMFS"/>
        <w:keepNext/>
      </w:pPr>
      <w:r>
        <w:t>Le programme de travail proposé, intégrant les réflexions et les points de décision ci</w:t>
      </w:r>
      <w:r w:rsidR="00AB4911">
        <w:noBreakHyphen/>
      </w:r>
      <w:r>
        <w:t>dessus, est le suivant</w:t>
      </w:r>
      <w:r w:rsidR="003815EA">
        <w:t> :</w:t>
      </w:r>
    </w:p>
    <w:tbl>
      <w:tblPr>
        <w:tblStyle w:val="TableGrid"/>
        <w:tblpPr w:leftFromText="180" w:rightFromText="180" w:vertAnchor="text" w:tblpY="1"/>
        <w:tblOverlap w:val="never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B13AF0" w:rsidRPr="002B67F3" w14:paraId="46CCD40F" w14:textId="77777777" w:rsidTr="00E215E8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1B724B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BFC9BAF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ED6CE8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Dernière</w:t>
            </w:r>
          </w:p>
          <w:p w14:paraId="2377BC13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publication</w:t>
            </w:r>
            <w:proofErr w:type="gramEnd"/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4376FCCB" w14:textId="77777777" w:rsidR="00B13AF0" w:rsidRPr="002B67F3" w:rsidRDefault="00B13AF0" w:rsidP="00D4597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</w:tr>
      <w:tr w:rsidR="00B13AF0" w:rsidRPr="002B67F3" w14:paraId="3206C4C9" w14:textId="77777777" w:rsidTr="00E215E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014E6" w14:textId="77777777" w:rsidR="00B13AF0" w:rsidRPr="002B67F3" w:rsidRDefault="00B13AF0" w:rsidP="00D45974">
            <w:pPr>
              <w:spacing w:after="60"/>
            </w:pPr>
            <w:r>
              <w:t>Partie 7.9</w:t>
            </w:r>
          </w:p>
        </w:tc>
        <w:tc>
          <w:tcPr>
            <w:tcW w:w="3543" w:type="dxa"/>
          </w:tcPr>
          <w:p w14:paraId="275E800A" w14:textId="77777777" w:rsidR="00B13AF0" w:rsidRPr="00E0052F" w:rsidRDefault="00B13AF0" w:rsidP="00D45974">
            <w:pPr>
              <w:spacing w:after="60"/>
            </w:pPr>
            <w:r>
              <w:t>Pratiques en matière de citations</w:t>
            </w:r>
          </w:p>
        </w:tc>
        <w:tc>
          <w:tcPr>
            <w:tcW w:w="1276" w:type="dxa"/>
            <w:shd w:val="clear" w:color="auto" w:fill="auto"/>
          </w:tcPr>
          <w:p w14:paraId="6F62DA38" w14:textId="77777777" w:rsidR="00B13AF0" w:rsidRPr="002B67F3" w:rsidRDefault="00B13AF0" w:rsidP="00D45974">
            <w:pPr>
              <w:spacing w:after="60"/>
              <w:jc w:val="center"/>
            </w:pPr>
            <w:r>
              <w:t>2008</w:t>
            </w:r>
          </w:p>
        </w:tc>
        <w:tc>
          <w:tcPr>
            <w:tcW w:w="2621" w:type="dxa"/>
          </w:tcPr>
          <w:p w14:paraId="3E5A8756" w14:textId="77777777" w:rsidR="00B13AF0" w:rsidRPr="002B67F3" w:rsidRDefault="00B13AF0" w:rsidP="00D45974">
            <w:pPr>
              <w:spacing w:after="60"/>
              <w:jc w:val="center"/>
            </w:pPr>
            <w:r>
              <w:t>Élaborer un questionnaire d</w:t>
            </w:r>
            <w:r w:rsidR="003815EA">
              <w:t>’</w:t>
            </w:r>
            <w:r>
              <w:t>enquête en 2024 et le mettre à jour en 2025 sur décision</w:t>
            </w:r>
            <w:r w:rsidR="003815EA">
              <w:t xml:space="preserve"> du CWS</w:t>
            </w:r>
            <w:r>
              <w:t xml:space="preserve"> à sa onz</w:t>
            </w:r>
            <w:r w:rsidR="003815EA">
              <w:t>ième session</w:t>
            </w:r>
          </w:p>
        </w:tc>
      </w:tr>
      <w:tr w:rsidR="00B13AF0" w:rsidRPr="002B67F3" w14:paraId="0A451CA4" w14:textId="77777777" w:rsidTr="00E215E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24FE" w14:textId="77777777" w:rsidR="00B13AF0" w:rsidRPr="002B67F3" w:rsidRDefault="00B13AF0" w:rsidP="00D45974">
            <w:pPr>
              <w:spacing w:after="60"/>
            </w:pPr>
            <w:r>
              <w:t>Partie 7.6</w:t>
            </w:r>
          </w:p>
        </w:tc>
        <w:tc>
          <w:tcPr>
            <w:tcW w:w="3543" w:type="dxa"/>
          </w:tcPr>
          <w:p w14:paraId="5B6FF32C" w14:textId="77777777" w:rsidR="00B13AF0" w:rsidRPr="00E0052F" w:rsidRDefault="00B13AF0" w:rsidP="00D45974">
            <w:pPr>
              <w:spacing w:after="60"/>
            </w:pPr>
            <w:r>
              <w:t>Informations bibliographiques contenues dans les bulletins de brevets</w:t>
            </w:r>
          </w:p>
        </w:tc>
        <w:tc>
          <w:tcPr>
            <w:tcW w:w="1276" w:type="dxa"/>
            <w:shd w:val="clear" w:color="auto" w:fill="auto"/>
          </w:tcPr>
          <w:p w14:paraId="70D0C316" w14:textId="77777777" w:rsidR="00B13AF0" w:rsidRPr="002B67F3" w:rsidRDefault="00B13AF0" w:rsidP="00D45974">
            <w:pPr>
              <w:spacing w:after="60"/>
              <w:jc w:val="center"/>
            </w:pPr>
            <w:r>
              <w:t>1990</w:t>
            </w:r>
          </w:p>
        </w:tc>
        <w:tc>
          <w:tcPr>
            <w:tcW w:w="2621" w:type="dxa"/>
          </w:tcPr>
          <w:p w14:paraId="13D9169C" w14:textId="77777777" w:rsidR="00B13AF0" w:rsidRPr="002B67F3" w:rsidRDefault="00B13AF0" w:rsidP="00D45974">
            <w:pPr>
              <w:spacing w:after="60"/>
              <w:jc w:val="center"/>
            </w:pPr>
            <w:r>
              <w:t>2024 sur décision</w:t>
            </w:r>
            <w:r w:rsidR="003815EA">
              <w:t xml:space="preserve"> du CWS</w:t>
            </w:r>
            <w:r>
              <w:t xml:space="preserve"> à sa onz</w:t>
            </w:r>
            <w:r w:rsidR="003815EA">
              <w:t>ième session</w:t>
            </w:r>
          </w:p>
        </w:tc>
      </w:tr>
      <w:tr w:rsidR="00B13AF0" w:rsidRPr="002B67F3" w14:paraId="5067C394" w14:textId="77777777" w:rsidTr="00E215E8">
        <w:tc>
          <w:tcPr>
            <w:tcW w:w="1555" w:type="dxa"/>
            <w:shd w:val="clear" w:color="auto" w:fill="auto"/>
          </w:tcPr>
          <w:p w14:paraId="18687B60" w14:textId="77777777" w:rsidR="00B13AF0" w:rsidRPr="002B67F3" w:rsidRDefault="00B13AF0" w:rsidP="00D45974">
            <w:pPr>
              <w:spacing w:after="60"/>
            </w:pPr>
            <w:r>
              <w:t>Partie 7.2.6 et</w:t>
            </w:r>
          </w:p>
          <w:p w14:paraId="7B51C366" w14:textId="77777777" w:rsidR="00B13AF0" w:rsidRPr="002B67F3" w:rsidRDefault="00B13AF0" w:rsidP="00D45974">
            <w:pPr>
              <w:spacing w:after="60"/>
            </w:pPr>
            <w:proofErr w:type="gramStart"/>
            <w:r>
              <w:t>partie</w:t>
            </w:r>
            <w:proofErr w:type="gramEnd"/>
            <w:r>
              <w:t> 7.2.7</w:t>
            </w:r>
          </w:p>
        </w:tc>
        <w:tc>
          <w:tcPr>
            <w:tcW w:w="3543" w:type="dxa"/>
          </w:tcPr>
          <w:p w14:paraId="0AC222BC" w14:textId="77777777" w:rsidR="00B13AF0" w:rsidRPr="002B67F3" w:rsidRDefault="00B13AF0" w:rsidP="00D45974">
            <w:pPr>
              <w:spacing w:after="60"/>
            </w:pPr>
            <w:r>
              <w:t>Numérotation des demandes – pratiques actuelles et pratiques antérieures</w:t>
            </w:r>
          </w:p>
        </w:tc>
        <w:tc>
          <w:tcPr>
            <w:tcW w:w="1276" w:type="dxa"/>
            <w:shd w:val="clear" w:color="auto" w:fill="auto"/>
          </w:tcPr>
          <w:p w14:paraId="54BB3161" w14:textId="77777777" w:rsidR="00B13AF0" w:rsidRPr="002B67F3" w:rsidRDefault="00B13AF0" w:rsidP="00D45974">
            <w:pPr>
              <w:spacing w:after="60"/>
              <w:jc w:val="center"/>
            </w:pPr>
            <w:r>
              <w:t>2017</w:t>
            </w:r>
          </w:p>
        </w:tc>
        <w:tc>
          <w:tcPr>
            <w:tcW w:w="2621" w:type="dxa"/>
          </w:tcPr>
          <w:p w14:paraId="2C624116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mettre</w:t>
            </w:r>
            <w:proofErr w:type="gramEnd"/>
            <w:r>
              <w:t xml:space="preserve"> à jour en 2025</w:t>
            </w:r>
          </w:p>
        </w:tc>
      </w:tr>
      <w:tr w:rsidR="00B13AF0" w:rsidRPr="002B67F3" w14:paraId="56445D42" w14:textId="77777777" w:rsidTr="00E215E8">
        <w:tc>
          <w:tcPr>
            <w:tcW w:w="1555" w:type="dxa"/>
            <w:shd w:val="clear" w:color="auto" w:fill="auto"/>
          </w:tcPr>
          <w:p w14:paraId="37C6F5C2" w14:textId="77777777" w:rsidR="00B13AF0" w:rsidRPr="002B67F3" w:rsidRDefault="00B13AF0" w:rsidP="00D45974">
            <w:pPr>
              <w:spacing w:after="60"/>
            </w:pPr>
            <w:r>
              <w:t>Partie 7.3</w:t>
            </w:r>
          </w:p>
        </w:tc>
        <w:tc>
          <w:tcPr>
            <w:tcW w:w="3543" w:type="dxa"/>
          </w:tcPr>
          <w:p w14:paraId="66CEEA04" w14:textId="77777777" w:rsidR="00B13AF0" w:rsidRPr="002B67F3" w:rsidRDefault="00B13AF0" w:rsidP="00D45974">
            <w:pPr>
              <w:spacing w:after="60"/>
            </w:pPr>
            <w:r>
              <w:t>Exemples et types de documents de brevet</w:t>
            </w:r>
          </w:p>
        </w:tc>
        <w:tc>
          <w:tcPr>
            <w:tcW w:w="1276" w:type="dxa"/>
            <w:shd w:val="clear" w:color="auto" w:fill="auto"/>
          </w:tcPr>
          <w:p w14:paraId="2AF493CA" w14:textId="77777777" w:rsidR="00B13AF0" w:rsidRPr="002B67F3" w:rsidRDefault="00B13AF0" w:rsidP="00D45974">
            <w:pPr>
              <w:spacing w:after="60"/>
              <w:jc w:val="center"/>
            </w:pPr>
            <w:r>
              <w:t>2016</w:t>
            </w:r>
          </w:p>
        </w:tc>
        <w:tc>
          <w:tcPr>
            <w:tcW w:w="2621" w:type="dxa"/>
          </w:tcPr>
          <w:p w14:paraId="03D67B49" w14:textId="77777777" w:rsidR="00B13AF0" w:rsidRPr="002B67F3" w:rsidRDefault="00B13AF0" w:rsidP="00D45974">
            <w:pPr>
              <w:spacing w:after="60"/>
              <w:jc w:val="center"/>
            </w:pPr>
            <w:proofErr w:type="gramStart"/>
            <w:r>
              <w:t>mettre</w:t>
            </w:r>
            <w:proofErr w:type="gramEnd"/>
            <w:r>
              <w:t xml:space="preserve"> à jour en 2026</w:t>
            </w:r>
          </w:p>
        </w:tc>
      </w:tr>
    </w:tbl>
    <w:p w14:paraId="17BAA098" w14:textId="77777777" w:rsidR="003815EA" w:rsidRPr="00113E1C" w:rsidRDefault="00B13AF0" w:rsidP="00113E1C">
      <w:pPr>
        <w:pStyle w:val="ONUMFS"/>
        <w:spacing w:before="220"/>
        <w:ind w:left="5533"/>
        <w:rPr>
          <w:i/>
        </w:rPr>
      </w:pPr>
      <w:r w:rsidRPr="00113E1C">
        <w:rPr>
          <w:i/>
        </w:rPr>
        <w:t>Le CWS est invité</w:t>
      </w:r>
    </w:p>
    <w:p w14:paraId="6DAFA51B" w14:textId="77777777" w:rsidR="00B13AF0" w:rsidRPr="00113E1C" w:rsidRDefault="00B13AF0" w:rsidP="00113E1C">
      <w:pPr>
        <w:pStyle w:val="ONUMFS"/>
        <w:numPr>
          <w:ilvl w:val="0"/>
          <w:numId w:val="9"/>
        </w:numPr>
        <w:ind w:left="6100"/>
        <w:rPr>
          <w:i/>
        </w:rPr>
      </w:pPr>
      <w:proofErr w:type="gramStart"/>
      <w:r w:rsidRPr="00113E1C">
        <w:rPr>
          <w:i/>
        </w:rPr>
        <w:t>à</w:t>
      </w:r>
      <w:proofErr w:type="gramEnd"/>
      <w:r w:rsidRPr="00113E1C">
        <w:rPr>
          <w:i/>
        </w:rPr>
        <w:t xml:space="preserve"> prendre note du contenu du présent document et de son annexe,</w:t>
      </w:r>
    </w:p>
    <w:p w14:paraId="065DFE5D" w14:textId="77777777" w:rsidR="003815EA" w:rsidRPr="00113E1C" w:rsidRDefault="00B13AF0" w:rsidP="00113E1C">
      <w:pPr>
        <w:pStyle w:val="ONUMFS"/>
        <w:numPr>
          <w:ilvl w:val="0"/>
          <w:numId w:val="9"/>
        </w:numPr>
        <w:ind w:left="6100"/>
        <w:rPr>
          <w:i/>
        </w:rPr>
      </w:pPr>
      <w:proofErr w:type="gramStart"/>
      <w:r w:rsidRPr="00113E1C">
        <w:rPr>
          <w:i/>
        </w:rPr>
        <w:t>à</w:t>
      </w:r>
      <w:proofErr w:type="gramEnd"/>
      <w:r w:rsidRPr="00113E1C">
        <w:rPr>
          <w:i/>
        </w:rPr>
        <w:t xml:space="preserve"> examiner la question et à décider de la nécessité de réviser les normes ST.11 et ST.19 de l</w:t>
      </w:r>
      <w:r w:rsidR="003815EA" w:rsidRPr="00113E1C">
        <w:rPr>
          <w:i/>
        </w:rPr>
        <w:t>’</w:t>
      </w:r>
      <w:r w:rsidRPr="00113E1C">
        <w:rPr>
          <w:i/>
        </w:rPr>
        <w:t>OMPI et, par conséquent, de mener l</w:t>
      </w:r>
      <w:r w:rsidR="003815EA" w:rsidRPr="00113E1C">
        <w:rPr>
          <w:i/>
        </w:rPr>
        <w:t>’</w:t>
      </w:r>
      <w:r w:rsidRPr="00113E1C">
        <w:rPr>
          <w:i/>
        </w:rPr>
        <w:t>enquête visant à mettre à jour la partie 7.6 du Manuel de l</w:t>
      </w:r>
      <w:r w:rsidR="003815EA" w:rsidRPr="00113E1C">
        <w:rPr>
          <w:i/>
        </w:rPr>
        <w:t>’</w:t>
      </w:r>
      <w:r w:rsidRPr="00113E1C">
        <w:rPr>
          <w:i/>
        </w:rPr>
        <w:t>OMPI intitulée “Informations bibliographiques contenues dans les bulletins de brevets”, comme indiqué aux paragraphes 8 et 9,</w:t>
      </w:r>
    </w:p>
    <w:p w14:paraId="5EF3EB82" w14:textId="77777777" w:rsidR="00B13AF0" w:rsidRPr="00113E1C" w:rsidRDefault="00B13AF0" w:rsidP="00113E1C">
      <w:pPr>
        <w:pStyle w:val="ONUMFS"/>
        <w:numPr>
          <w:ilvl w:val="0"/>
          <w:numId w:val="9"/>
        </w:numPr>
        <w:ind w:left="6100"/>
        <w:rPr>
          <w:i/>
        </w:rPr>
      </w:pPr>
      <w:proofErr w:type="gramStart"/>
      <w:r w:rsidRPr="00113E1C">
        <w:rPr>
          <w:i/>
        </w:rPr>
        <w:t>à</w:t>
      </w:r>
      <w:proofErr w:type="gramEnd"/>
      <w:r w:rsidRPr="00113E1C">
        <w:rPr>
          <w:i/>
        </w:rPr>
        <w:t xml:space="preserve"> formuler des observations sur l</w:t>
      </w:r>
      <w:r w:rsidR="003815EA" w:rsidRPr="00113E1C">
        <w:rPr>
          <w:i/>
        </w:rPr>
        <w:t>’</w:t>
      </w:r>
      <w:r w:rsidRPr="00113E1C">
        <w:rPr>
          <w:i/>
        </w:rPr>
        <w:t>objectif spécifique de l</w:t>
      </w:r>
      <w:r w:rsidR="003815EA" w:rsidRPr="00113E1C">
        <w:rPr>
          <w:i/>
        </w:rPr>
        <w:t>’</w:t>
      </w:r>
      <w:r w:rsidRPr="00113E1C">
        <w:rPr>
          <w:i/>
        </w:rPr>
        <w:t>enquête concernant la pratique en matière de citations et l</w:t>
      </w:r>
      <w:r w:rsidR="003815EA" w:rsidRPr="00113E1C">
        <w:rPr>
          <w:i/>
        </w:rPr>
        <w:t>’</w:t>
      </w:r>
      <w:r w:rsidRPr="00113E1C">
        <w:rPr>
          <w:i/>
        </w:rPr>
        <w:t>utilisation prévue des informations recueillies, et à identifier les utilisateurs des informations tirées de l</w:t>
      </w:r>
      <w:r w:rsidR="003815EA" w:rsidRPr="00113E1C">
        <w:rPr>
          <w:i/>
        </w:rPr>
        <w:t>’</w:t>
      </w:r>
      <w:r w:rsidRPr="00113E1C">
        <w:rPr>
          <w:i/>
        </w:rPr>
        <w:t>enquête, comme indiqué au paragraphe 11,</w:t>
      </w:r>
    </w:p>
    <w:p w14:paraId="4E9EBD22" w14:textId="77777777" w:rsidR="003815EA" w:rsidRPr="00113E1C" w:rsidRDefault="00B13AF0" w:rsidP="00113E1C">
      <w:pPr>
        <w:pStyle w:val="ONUMFS"/>
        <w:numPr>
          <w:ilvl w:val="0"/>
          <w:numId w:val="9"/>
        </w:numPr>
        <w:ind w:left="6100"/>
        <w:rPr>
          <w:i/>
        </w:rPr>
      </w:pPr>
      <w:proofErr w:type="gramStart"/>
      <w:r w:rsidRPr="00113E1C">
        <w:rPr>
          <w:i/>
        </w:rPr>
        <w:lastRenderedPageBreak/>
        <w:t>à</w:t>
      </w:r>
      <w:proofErr w:type="gramEnd"/>
      <w:r w:rsidRPr="00113E1C">
        <w:rPr>
          <w:i/>
        </w:rPr>
        <w:t xml:space="preserve"> décider que le questionnaire d</w:t>
      </w:r>
      <w:r w:rsidR="003815EA" w:rsidRPr="00113E1C">
        <w:rPr>
          <w:i/>
        </w:rPr>
        <w:t>’</w:t>
      </w:r>
      <w:r w:rsidRPr="00113E1C">
        <w:rPr>
          <w:i/>
        </w:rPr>
        <w:t>enquête sur les pratiques en matière de citations doit être mis à jour et à demander à l</w:t>
      </w:r>
      <w:r w:rsidR="003815EA" w:rsidRPr="00113E1C">
        <w:rPr>
          <w:i/>
        </w:rPr>
        <w:t>’</w:t>
      </w:r>
      <w:r w:rsidRPr="00113E1C">
        <w:rPr>
          <w:i/>
        </w:rPr>
        <w:t>Équipe d</w:t>
      </w:r>
      <w:r w:rsidR="003815EA" w:rsidRPr="00113E1C">
        <w:rPr>
          <w:i/>
        </w:rPr>
        <w:t>’</w:t>
      </w:r>
      <w:r w:rsidRPr="00113E1C">
        <w:rPr>
          <w:i/>
        </w:rPr>
        <w:t>experts chargée de la partie 7 de présenter un nouveau questionnaire d</w:t>
      </w:r>
      <w:r w:rsidR="003815EA" w:rsidRPr="00113E1C">
        <w:rPr>
          <w:i/>
        </w:rPr>
        <w:t>’</w:t>
      </w:r>
      <w:r w:rsidRPr="00113E1C">
        <w:rPr>
          <w:i/>
        </w:rPr>
        <w:t>enquête lors de sa douz</w:t>
      </w:r>
      <w:r w:rsidR="003815EA" w:rsidRPr="00113E1C">
        <w:rPr>
          <w:i/>
        </w:rPr>
        <w:t>ième session</w:t>
      </w:r>
      <w:r w:rsidRPr="00113E1C">
        <w:rPr>
          <w:i/>
        </w:rPr>
        <w:t>, comme indiqué au paragraphe 10,</w:t>
      </w:r>
    </w:p>
    <w:p w14:paraId="3ACA9233" w14:textId="77777777" w:rsidR="003815EA" w:rsidRPr="00113E1C" w:rsidRDefault="00B13AF0" w:rsidP="00113E1C">
      <w:pPr>
        <w:pStyle w:val="ONUMFS"/>
        <w:numPr>
          <w:ilvl w:val="0"/>
          <w:numId w:val="9"/>
        </w:numPr>
        <w:ind w:left="6100"/>
        <w:rPr>
          <w:i/>
        </w:rPr>
      </w:pPr>
      <w:proofErr w:type="gramStart"/>
      <w:r w:rsidRPr="00113E1C">
        <w:rPr>
          <w:i/>
        </w:rPr>
        <w:t>à</w:t>
      </w:r>
      <w:proofErr w:type="gramEnd"/>
      <w:r w:rsidRPr="00113E1C">
        <w:rPr>
          <w:i/>
        </w:rPr>
        <w:t xml:space="preserve"> approuver la modification de la description de la tâche n° 50 visée au paragraphe 14</w:t>
      </w:r>
      <w:r w:rsidR="00113E1C">
        <w:rPr>
          <w:i/>
        </w:rPr>
        <w:t xml:space="preserve">; </w:t>
      </w:r>
      <w:r w:rsidRPr="00113E1C">
        <w:rPr>
          <w:i/>
        </w:rPr>
        <w:t xml:space="preserve"> et</w:t>
      </w:r>
    </w:p>
    <w:p w14:paraId="085787FF" w14:textId="77777777" w:rsidR="003815EA" w:rsidRPr="00113E1C" w:rsidRDefault="00113E1C" w:rsidP="00113E1C">
      <w:pPr>
        <w:pStyle w:val="ONUMFS"/>
        <w:numPr>
          <w:ilvl w:val="0"/>
          <w:numId w:val="9"/>
        </w:numPr>
        <w:ind w:left="6100"/>
        <w:rPr>
          <w:i/>
        </w:rPr>
      </w:pPr>
      <w:r>
        <w:rPr>
          <w:i/>
        </w:rPr>
        <w:tab/>
      </w:r>
      <w:proofErr w:type="gramStart"/>
      <w:r w:rsidR="00B13AF0" w:rsidRPr="00113E1C">
        <w:rPr>
          <w:i/>
        </w:rPr>
        <w:t>à</w:t>
      </w:r>
      <w:proofErr w:type="gramEnd"/>
      <w:r w:rsidR="00B13AF0" w:rsidRPr="00113E1C">
        <w:rPr>
          <w:i/>
        </w:rPr>
        <w:t xml:space="preserve"> examiner et à approuver le programme de travail mis à jour présenté au paragraphe 15.</w:t>
      </w:r>
    </w:p>
    <w:p w14:paraId="2108F078" w14:textId="77777777" w:rsidR="00B13AF0" w:rsidRPr="002B67F3" w:rsidRDefault="00B13AF0" w:rsidP="00113E1C">
      <w:pPr>
        <w:pStyle w:val="Endofdocument"/>
        <w:spacing w:before="720"/>
      </w:pPr>
      <w:r>
        <w:rPr>
          <w:sz w:val="22"/>
        </w:rPr>
        <w:t>[L</w:t>
      </w:r>
      <w:r w:rsidR="003815EA">
        <w:rPr>
          <w:sz w:val="22"/>
        </w:rPr>
        <w:t>’</w:t>
      </w:r>
      <w:r>
        <w:rPr>
          <w:sz w:val="22"/>
        </w:rPr>
        <w:t>annexe suit]</w:t>
      </w:r>
    </w:p>
    <w:sectPr w:rsidR="00B13AF0" w:rsidRPr="002B67F3" w:rsidSect="00B13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5AC6" w14:textId="77777777" w:rsidR="00E302C2" w:rsidRDefault="00E302C2">
      <w:r>
        <w:separator/>
      </w:r>
    </w:p>
  </w:endnote>
  <w:endnote w:type="continuationSeparator" w:id="0">
    <w:p w14:paraId="7735B4D3" w14:textId="77777777" w:rsidR="00E302C2" w:rsidRPr="009D30E6" w:rsidRDefault="00E302C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266F67D" w14:textId="77777777" w:rsidR="00E302C2" w:rsidRPr="009D30E6" w:rsidRDefault="00E302C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7AD9F99A" w14:textId="77777777" w:rsidR="00E302C2" w:rsidRPr="009D30E6" w:rsidRDefault="00E302C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52D" w14:textId="77777777" w:rsidR="0014264F" w:rsidRDefault="0014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BB12" w14:textId="77777777" w:rsidR="00533626" w:rsidRDefault="0053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DAA6" w14:textId="77777777" w:rsidR="00533626" w:rsidRDefault="0053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E6DC" w14:textId="77777777" w:rsidR="00E302C2" w:rsidRDefault="00E302C2">
      <w:r>
        <w:separator/>
      </w:r>
    </w:p>
  </w:footnote>
  <w:footnote w:type="continuationSeparator" w:id="0">
    <w:p w14:paraId="0B20506C" w14:textId="77777777" w:rsidR="00E302C2" w:rsidRDefault="00E302C2" w:rsidP="007461F1">
      <w:r>
        <w:separator/>
      </w:r>
    </w:p>
    <w:p w14:paraId="71BA0271" w14:textId="77777777" w:rsidR="00E302C2" w:rsidRPr="009D30E6" w:rsidRDefault="00E302C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29158D1" w14:textId="77777777" w:rsidR="00E302C2" w:rsidRPr="009D30E6" w:rsidRDefault="00E302C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395" w14:textId="77777777" w:rsidR="0014264F" w:rsidRDefault="00142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49BA" w14:textId="77777777" w:rsidR="00F16975" w:rsidRPr="00B45C15" w:rsidRDefault="00B13AF0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B00945">
      <w:rPr>
        <w:caps/>
      </w:rPr>
      <w:t>WS/11/</w:t>
    </w:r>
    <w:r>
      <w:rPr>
        <w:caps/>
      </w:rPr>
      <w:t>24</w:t>
    </w:r>
  </w:p>
  <w:p w14:paraId="2D454B86" w14:textId="77777777" w:rsidR="00574036" w:rsidRDefault="00F16975" w:rsidP="00B00945">
    <w:pPr>
      <w:spacing w:after="480"/>
      <w:jc w:val="right"/>
    </w:pPr>
    <w:proofErr w:type="gramStart"/>
    <w:r>
      <w:t>page</w:t>
    </w:r>
    <w:proofErr w:type="gramEnd"/>
    <w:r w:rsidR="001426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77D3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154B" w14:textId="77777777" w:rsidR="0014264F" w:rsidRDefault="00142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10D"/>
    <w:multiLevelType w:val="multilevel"/>
    <w:tmpl w:val="0816ACB2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05A67"/>
    <w:multiLevelType w:val="multilevel"/>
    <w:tmpl w:val="F2843E9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 w16cid:durableId="875506558">
    <w:abstractNumId w:val="2"/>
  </w:num>
  <w:num w:numId="2" w16cid:durableId="826751709">
    <w:abstractNumId w:val="6"/>
  </w:num>
  <w:num w:numId="3" w16cid:durableId="178550424">
    <w:abstractNumId w:val="0"/>
  </w:num>
  <w:num w:numId="4" w16cid:durableId="606541549">
    <w:abstractNumId w:val="7"/>
  </w:num>
  <w:num w:numId="5" w16cid:durableId="1557888835">
    <w:abstractNumId w:val="1"/>
  </w:num>
  <w:num w:numId="6" w16cid:durableId="1900750049">
    <w:abstractNumId w:val="3"/>
  </w:num>
  <w:num w:numId="7" w16cid:durableId="1149593258">
    <w:abstractNumId w:val="4"/>
  </w:num>
  <w:num w:numId="8" w16cid:durableId="1191994218">
    <w:abstractNumId w:val="5"/>
  </w:num>
  <w:num w:numId="9" w16cid:durableId="1100177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F0"/>
    <w:rsid w:val="00011B7D"/>
    <w:rsid w:val="00075432"/>
    <w:rsid w:val="000943EA"/>
    <w:rsid w:val="0009458A"/>
    <w:rsid w:val="000F5E56"/>
    <w:rsid w:val="00113E1C"/>
    <w:rsid w:val="001362EE"/>
    <w:rsid w:val="0014264F"/>
    <w:rsid w:val="001832A6"/>
    <w:rsid w:val="00195C6E"/>
    <w:rsid w:val="001A3325"/>
    <w:rsid w:val="001B266A"/>
    <w:rsid w:val="001B488E"/>
    <w:rsid w:val="001C6508"/>
    <w:rsid w:val="001D3D56"/>
    <w:rsid w:val="00240654"/>
    <w:rsid w:val="002634C4"/>
    <w:rsid w:val="002956DE"/>
    <w:rsid w:val="002C173D"/>
    <w:rsid w:val="002E4D1A"/>
    <w:rsid w:val="002F16BC"/>
    <w:rsid w:val="002F4E68"/>
    <w:rsid w:val="00322C0B"/>
    <w:rsid w:val="003815EA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D6961"/>
    <w:rsid w:val="007F07CB"/>
    <w:rsid w:val="00810CEF"/>
    <w:rsid w:val="0081208D"/>
    <w:rsid w:val="00877D38"/>
    <w:rsid w:val="00881D2C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B4911"/>
    <w:rsid w:val="00AC0AE4"/>
    <w:rsid w:val="00AD61DB"/>
    <w:rsid w:val="00B00945"/>
    <w:rsid w:val="00B1090C"/>
    <w:rsid w:val="00B13AF0"/>
    <w:rsid w:val="00B35AF5"/>
    <w:rsid w:val="00B45C15"/>
    <w:rsid w:val="00B95EF1"/>
    <w:rsid w:val="00BE0BE0"/>
    <w:rsid w:val="00C664C8"/>
    <w:rsid w:val="00CF0460"/>
    <w:rsid w:val="00D43E0F"/>
    <w:rsid w:val="00D45252"/>
    <w:rsid w:val="00D45974"/>
    <w:rsid w:val="00D71B4D"/>
    <w:rsid w:val="00D75C1E"/>
    <w:rsid w:val="00D93D55"/>
    <w:rsid w:val="00DB1C48"/>
    <w:rsid w:val="00DD4917"/>
    <w:rsid w:val="00DD6A16"/>
    <w:rsid w:val="00E0091A"/>
    <w:rsid w:val="00E203AA"/>
    <w:rsid w:val="00E302C2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43406"/>
  <w15:docId w15:val="{D21823B8-9F92-4248-BB87-2EDF82A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B13AF0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B13AF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B13AF0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B13AF0"/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14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5B16-7E1A-4592-AD14-DBDFF213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4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CWS/11/24</vt:lpstr>
    </vt:vector>
  </TitlesOfParts>
  <Company>WIPO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CWS/11/24</dc:title>
  <dc:creator>WIPO</dc:creator>
  <cp:keywords>FOR OFFICIAL USE ONLY</cp:keywords>
  <cp:lastModifiedBy>SEILER Joséphine</cp:lastModifiedBy>
  <cp:revision>4</cp:revision>
  <cp:lastPrinted>2023-11-09T15:44:00Z</cp:lastPrinted>
  <dcterms:created xsi:type="dcterms:W3CDTF">2023-11-09T15:44:00Z</dcterms:created>
  <dcterms:modified xsi:type="dcterms:W3CDTF">2023-11-09T15:47:00Z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2023-11-09T11:33:59Z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ec7ea217-ff79-4b57-9afb-d3bdb893ece5</vt:lpwstr>
  </property>
  <property fmtid="{D5CDD505-2E9C-101B-9397-08002B2CF9AE}" pid="13" name="MSIP_Label_20773ee6-353b-4fb9-a59d-0b94c8c67bea_ContentBits">
    <vt:lpwstr>0</vt:lpwstr>
  </property>
</Properties>
</file>