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B185" w14:textId="77777777" w:rsidR="00076F3F" w:rsidRPr="0063436D" w:rsidRDefault="00076F3F" w:rsidP="00401237">
      <w:pPr>
        <w:pStyle w:val="Heading1-notTOC"/>
        <w:jc w:val="left"/>
        <w:rPr>
          <w:szCs w:val="20"/>
          <w:lang w:val="fr-FR"/>
        </w:rPr>
      </w:pPr>
      <w:bookmarkStart w:id="0" w:name="_Toc386180539"/>
      <w:bookmarkStart w:id="1" w:name="_Toc386180708"/>
      <w:bookmarkStart w:id="2" w:name="_Toc386180725"/>
      <w:bookmarkStart w:id="3" w:name="_Toc532458218"/>
    </w:p>
    <w:p w14:paraId="59DD11B5" w14:textId="3F8D77D9" w:rsidR="00076F3F" w:rsidRPr="0063436D" w:rsidRDefault="00D227E2" w:rsidP="00EA6B30">
      <w:pPr>
        <w:pStyle w:val="Heading1-notTOC"/>
        <w:rPr>
          <w:sz w:val="21"/>
          <w:szCs w:val="21"/>
          <w:lang w:val="fr-FR"/>
        </w:rPr>
      </w:pPr>
      <w:r w:rsidRPr="0063436D">
        <w:rPr>
          <w:sz w:val="21"/>
          <w:szCs w:val="21"/>
          <w:lang w:val="fr-FR"/>
        </w:rPr>
        <w:t>NORME</w:t>
      </w:r>
      <w:r w:rsidR="0008761A" w:rsidRPr="0063436D">
        <w:rPr>
          <w:sz w:val="21"/>
          <w:szCs w:val="21"/>
          <w:lang w:val="fr-FR"/>
        </w:rPr>
        <w:t xml:space="preserve"> ST</w:t>
      </w:r>
      <w:bookmarkEnd w:id="0"/>
      <w:bookmarkEnd w:id="1"/>
      <w:bookmarkEnd w:id="2"/>
      <w:bookmarkEnd w:id="3"/>
      <w:r w:rsidR="00D6774E" w:rsidRPr="0063436D">
        <w:rPr>
          <w:sz w:val="21"/>
          <w:szCs w:val="21"/>
          <w:lang w:val="fr-FR"/>
        </w:rPr>
        <w:t>.</w:t>
      </w:r>
      <w:r w:rsidR="00D6774E">
        <w:rPr>
          <w:sz w:val="21"/>
          <w:szCs w:val="21"/>
          <w:lang w:val="fr-FR"/>
        </w:rPr>
        <w:t>61</w:t>
      </w:r>
    </w:p>
    <w:p w14:paraId="10FD3728" w14:textId="77777777" w:rsidR="0046773C" w:rsidRPr="0063436D" w:rsidRDefault="008E2F6E" w:rsidP="008E2F6E">
      <w:pPr>
        <w:pStyle w:val="TitleCAPS"/>
        <w:rPr>
          <w:caps w:val="0"/>
          <w:sz w:val="17"/>
          <w:szCs w:val="17"/>
          <w:lang w:val="fr-FR"/>
        </w:rPr>
      </w:pPr>
      <w:r w:rsidRPr="0063436D">
        <w:rPr>
          <w:caps w:val="0"/>
          <w:sz w:val="17"/>
          <w:szCs w:val="17"/>
          <w:lang w:val="fr-FR"/>
        </w:rPr>
        <w:t>RECOMMANDATION CONCERNANT L</w:t>
      </w:r>
      <w:r w:rsidR="0046773C" w:rsidRPr="0063436D">
        <w:rPr>
          <w:caps w:val="0"/>
          <w:sz w:val="17"/>
          <w:szCs w:val="17"/>
          <w:lang w:val="fr-FR"/>
        </w:rPr>
        <w:t>’</w:t>
      </w:r>
      <w:r w:rsidRPr="0063436D">
        <w:rPr>
          <w:caps w:val="0"/>
          <w:sz w:val="17"/>
          <w:szCs w:val="17"/>
          <w:lang w:val="fr-FR"/>
        </w:rPr>
        <w:t>ÉCHANGE DE DONNÉES SUR LA SITUATION JURIDIQUE DES MARQUES</w:t>
      </w:r>
    </w:p>
    <w:p w14:paraId="07152D66" w14:textId="0ED621A4" w:rsidR="00BB382E" w:rsidRDefault="00BB382E">
      <w:pPr>
        <w:spacing w:line="240" w:lineRule="auto"/>
        <w:rPr>
          <w:b/>
          <w:sz w:val="20"/>
          <w:lang w:val="fr-FR"/>
        </w:rPr>
      </w:pPr>
      <w:bookmarkStart w:id="4" w:name="_Toc531267024"/>
      <w:bookmarkStart w:id="5" w:name="_Toc531267108"/>
      <w:bookmarkStart w:id="6" w:name="_Toc480358877"/>
    </w:p>
    <w:p w14:paraId="527B4FE9" w14:textId="77777777" w:rsidR="00076F3F" w:rsidRPr="0063436D" w:rsidRDefault="00784306" w:rsidP="00C63026">
      <w:pPr>
        <w:pStyle w:val="Heading1"/>
        <w:keepNext w:val="0"/>
        <w:widowControl w:val="0"/>
        <w:kinsoku w:val="0"/>
        <w:spacing w:before="0" w:after="340"/>
        <w:jc w:val="center"/>
        <w:rPr>
          <w:bCs w:val="0"/>
          <w:caps w:val="0"/>
          <w:kern w:val="0"/>
          <w:sz w:val="20"/>
          <w:szCs w:val="20"/>
          <w:lang w:val="fr-FR"/>
        </w:rPr>
      </w:pPr>
      <w:r w:rsidRPr="0063436D">
        <w:rPr>
          <w:bCs w:val="0"/>
          <w:caps w:val="0"/>
          <w:kern w:val="0"/>
          <w:sz w:val="20"/>
          <w:szCs w:val="20"/>
          <w:lang w:val="fr-FR"/>
        </w:rPr>
        <w:t>ANNEX</w:t>
      </w:r>
      <w:r w:rsidR="00EC4A1D" w:rsidRPr="0063436D">
        <w:rPr>
          <w:bCs w:val="0"/>
          <w:caps w:val="0"/>
          <w:kern w:val="0"/>
          <w:sz w:val="20"/>
          <w:szCs w:val="20"/>
          <w:lang w:val="fr-FR"/>
        </w:rPr>
        <w:t>E</w:t>
      </w:r>
      <w:r w:rsidR="007C78A5" w:rsidRPr="0063436D">
        <w:rPr>
          <w:bCs w:val="0"/>
          <w:caps w:val="0"/>
          <w:kern w:val="0"/>
          <w:sz w:val="20"/>
          <w:szCs w:val="20"/>
          <w:lang w:val="fr-FR"/>
        </w:rPr>
        <w:t> </w:t>
      </w:r>
      <w:r w:rsidRPr="0063436D">
        <w:rPr>
          <w:bCs w:val="0"/>
          <w:caps w:val="0"/>
          <w:kern w:val="0"/>
          <w:sz w:val="20"/>
          <w:szCs w:val="20"/>
          <w:lang w:val="fr-FR"/>
        </w:rPr>
        <w:t>II</w:t>
      </w:r>
      <w:bookmarkEnd w:id="4"/>
      <w:bookmarkEnd w:id="5"/>
    </w:p>
    <w:p w14:paraId="5FB57DC7" w14:textId="77777777" w:rsidR="00076F3F" w:rsidRPr="0063436D" w:rsidRDefault="00243C74" w:rsidP="00243C74">
      <w:pPr>
        <w:widowControl w:val="0"/>
        <w:kinsoku w:val="0"/>
        <w:spacing w:after="340"/>
        <w:ind w:right="11"/>
        <w:jc w:val="center"/>
        <w:rPr>
          <w:rFonts w:eastAsia="Batang"/>
          <w:sz w:val="17"/>
          <w:szCs w:val="17"/>
          <w:lang w:val="fr-FR" w:eastAsia="en-US"/>
        </w:rPr>
      </w:pPr>
      <w:r w:rsidRPr="0063436D">
        <w:rPr>
          <w:rFonts w:eastAsia="Batang"/>
          <w:sz w:val="17"/>
          <w:szCs w:val="17"/>
          <w:lang w:val="fr-FR" w:eastAsia="en-US"/>
        </w:rPr>
        <w:t>DONNÉES SUPPLÉMENTAIRES RELATIVES AUX ÉVÉNEMENTS</w:t>
      </w:r>
    </w:p>
    <w:sdt>
      <w:sdtPr>
        <w:rPr>
          <w:rFonts w:eastAsia="Batang" w:cs="Times New Roman"/>
          <w:i/>
          <w:sz w:val="17"/>
          <w:szCs w:val="17"/>
          <w:lang w:val="fr-FR"/>
        </w:rPr>
        <w:alias w:val="Status"/>
        <w:tag w:val=""/>
        <w:id w:val="210583567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p w14:paraId="3524A80D" w14:textId="5A0DD358" w:rsidR="00076F3F" w:rsidRPr="0063436D" w:rsidRDefault="00B3218C" w:rsidP="00442430">
          <w:pPr>
            <w:spacing w:after="340"/>
            <w:jc w:val="center"/>
            <w:rPr>
              <w:rFonts w:eastAsia="Times New Roman" w:cs="Times New Roman"/>
              <w:i/>
              <w:sz w:val="17"/>
              <w:szCs w:val="17"/>
              <w:lang w:val="fr-FR" w:eastAsia="en-US"/>
            </w:rPr>
          </w:pPr>
          <w:r>
            <w:rPr>
              <w:rFonts w:eastAsia="Batang" w:cs="Times New Roman"/>
              <w:i/>
              <w:sz w:val="17"/>
              <w:szCs w:val="17"/>
              <w:lang w:val="fr-FR"/>
            </w:rPr>
            <w:t>Proposition présentée pour approbation par le Comité des normes de l’OMPI à sa onzième session le 4 décembre 2023</w:t>
          </w:r>
        </w:p>
      </w:sdtContent>
    </w:sdt>
    <w:p w14:paraId="5A4FC20E" w14:textId="77777777" w:rsidR="00076F3F" w:rsidRPr="0063436D" w:rsidRDefault="004F1079" w:rsidP="004F1079">
      <w:pPr>
        <w:pStyle w:val="ListParagraph"/>
        <w:numPr>
          <w:ilvl w:val="0"/>
          <w:numId w:val="7"/>
        </w:numPr>
        <w:spacing w:after="200" w:line="240" w:lineRule="auto"/>
        <w:ind w:left="0" w:firstLine="0"/>
        <w:contextualSpacing w:val="0"/>
        <w:jc w:val="both"/>
        <w:rPr>
          <w:sz w:val="17"/>
          <w:szCs w:val="17"/>
          <w:lang w:val="fr-FR"/>
        </w:rPr>
      </w:pPr>
      <w:r w:rsidRPr="0063436D">
        <w:rPr>
          <w:sz w:val="17"/>
          <w:szCs w:val="17"/>
          <w:lang w:val="fr-FR"/>
        </w:rPr>
        <w:t>Chaque code de situation peut être accompagné de données supplémentaires concernant les événemen</w:t>
      </w:r>
      <w:r w:rsidR="00B66A4C" w:rsidRPr="0063436D">
        <w:rPr>
          <w:sz w:val="17"/>
          <w:szCs w:val="17"/>
          <w:lang w:val="fr-FR"/>
        </w:rPr>
        <w:t>ts.  Il</w:t>
      </w:r>
      <w:r w:rsidRPr="0063436D">
        <w:rPr>
          <w:sz w:val="17"/>
          <w:szCs w:val="17"/>
          <w:lang w:val="fr-FR"/>
        </w:rPr>
        <w:t xml:space="preserve"> existe des données supplémentaires propres aux événements relevant d</w:t>
      </w:r>
      <w:r w:rsidR="0046773C" w:rsidRPr="0063436D">
        <w:rPr>
          <w:sz w:val="17"/>
          <w:szCs w:val="17"/>
          <w:lang w:val="fr-FR"/>
        </w:rPr>
        <w:t>’</w:t>
      </w:r>
      <w:r w:rsidRPr="0063436D">
        <w:rPr>
          <w:sz w:val="17"/>
          <w:szCs w:val="17"/>
          <w:lang w:val="fr-FR"/>
        </w:rPr>
        <w:t>une catégorie particulière et des données supplémentaires communes à tous les événemen</w:t>
      </w:r>
      <w:r w:rsidR="00B66A4C" w:rsidRPr="0063436D">
        <w:rPr>
          <w:sz w:val="17"/>
          <w:szCs w:val="17"/>
          <w:lang w:val="fr-FR"/>
        </w:rPr>
        <w:t>ts.  Le</w:t>
      </w:r>
      <w:r w:rsidR="0042309B" w:rsidRPr="0063436D">
        <w:rPr>
          <w:sz w:val="17"/>
          <w:szCs w:val="17"/>
          <w:lang w:val="fr-FR"/>
        </w:rPr>
        <w:t>s données</w:t>
      </w:r>
      <w:r w:rsidR="00784306" w:rsidRPr="0063436D">
        <w:rPr>
          <w:sz w:val="17"/>
          <w:szCs w:val="17"/>
          <w:lang w:val="fr-FR"/>
        </w:rPr>
        <w:t xml:space="preserve"> suppl</w:t>
      </w:r>
      <w:r w:rsidR="0042309B" w:rsidRPr="0063436D">
        <w:rPr>
          <w:sz w:val="17"/>
          <w:szCs w:val="17"/>
          <w:lang w:val="fr-FR"/>
        </w:rPr>
        <w:t>é</w:t>
      </w:r>
      <w:r w:rsidR="00784306" w:rsidRPr="0063436D">
        <w:rPr>
          <w:sz w:val="17"/>
          <w:szCs w:val="17"/>
          <w:lang w:val="fr-FR"/>
        </w:rPr>
        <w:t>menta</w:t>
      </w:r>
      <w:r w:rsidR="0042309B" w:rsidRPr="0063436D">
        <w:rPr>
          <w:sz w:val="17"/>
          <w:szCs w:val="17"/>
          <w:lang w:val="fr-FR"/>
        </w:rPr>
        <w:t xml:space="preserve">ires communes comprennent </w:t>
      </w:r>
      <w:r w:rsidR="00784306" w:rsidRPr="0063436D">
        <w:rPr>
          <w:sz w:val="17"/>
          <w:szCs w:val="17"/>
          <w:lang w:val="fr-FR"/>
        </w:rPr>
        <w:t>1)</w:t>
      </w:r>
      <w:r w:rsidR="0042309B" w:rsidRPr="0063436D">
        <w:rPr>
          <w:sz w:val="17"/>
          <w:szCs w:val="17"/>
          <w:lang w:val="fr-FR"/>
        </w:rPr>
        <w:t> le pays ou la ré</w:t>
      </w:r>
      <w:r w:rsidR="00784306" w:rsidRPr="0063436D">
        <w:rPr>
          <w:sz w:val="17"/>
          <w:szCs w:val="17"/>
          <w:lang w:val="fr-FR"/>
        </w:rPr>
        <w:t>gion</w:t>
      </w:r>
      <w:r w:rsidR="0042309B" w:rsidRPr="0063436D">
        <w:rPr>
          <w:sz w:val="17"/>
          <w:szCs w:val="17"/>
          <w:lang w:val="fr-FR"/>
        </w:rPr>
        <w:t xml:space="preserve"> où l</w:t>
      </w:r>
      <w:r w:rsidR="0046773C" w:rsidRPr="0063436D">
        <w:rPr>
          <w:sz w:val="17"/>
          <w:szCs w:val="17"/>
          <w:lang w:val="fr-FR"/>
        </w:rPr>
        <w:t>’</w:t>
      </w:r>
      <w:r w:rsidR="0042309B" w:rsidRPr="0063436D">
        <w:rPr>
          <w:sz w:val="17"/>
          <w:szCs w:val="17"/>
          <w:lang w:val="fr-FR"/>
        </w:rPr>
        <w:t>événement produit ses effets</w:t>
      </w:r>
      <w:r w:rsidR="00784306" w:rsidRPr="0063436D">
        <w:rPr>
          <w:sz w:val="17"/>
          <w:szCs w:val="17"/>
          <w:lang w:val="fr-FR"/>
        </w:rPr>
        <w:t>, 2)</w:t>
      </w:r>
      <w:r w:rsidR="0042309B" w:rsidRPr="0063436D">
        <w:rPr>
          <w:sz w:val="17"/>
          <w:szCs w:val="17"/>
          <w:lang w:val="fr-FR"/>
        </w:rPr>
        <w:t> le numéro du bulletin,</w:t>
      </w:r>
      <w:r w:rsidR="00784306" w:rsidRPr="0063436D">
        <w:rPr>
          <w:sz w:val="17"/>
          <w:szCs w:val="17"/>
          <w:lang w:val="fr-FR"/>
        </w:rPr>
        <w:t xml:space="preserve"> 3)</w:t>
      </w:r>
      <w:r w:rsidR="0042309B" w:rsidRPr="0063436D">
        <w:rPr>
          <w:sz w:val="17"/>
          <w:szCs w:val="17"/>
          <w:lang w:val="fr-FR"/>
        </w:rPr>
        <w:t> les</w:t>
      </w:r>
      <w:r w:rsidR="00784306" w:rsidRPr="0063436D">
        <w:rPr>
          <w:sz w:val="17"/>
          <w:szCs w:val="17"/>
          <w:lang w:val="fr-FR"/>
        </w:rPr>
        <w:t xml:space="preserve"> comment</w:t>
      </w:r>
      <w:r w:rsidR="0042309B" w:rsidRPr="0063436D">
        <w:rPr>
          <w:sz w:val="17"/>
          <w:szCs w:val="17"/>
          <w:lang w:val="fr-FR"/>
        </w:rPr>
        <w:t>aires</w:t>
      </w:r>
      <w:r w:rsidR="00784306" w:rsidRPr="0063436D">
        <w:rPr>
          <w:sz w:val="17"/>
          <w:szCs w:val="17"/>
          <w:lang w:val="fr-FR"/>
        </w:rPr>
        <w:t xml:space="preserve"> (text</w:t>
      </w:r>
      <w:r w:rsidR="0042309B" w:rsidRPr="0063436D">
        <w:rPr>
          <w:sz w:val="17"/>
          <w:szCs w:val="17"/>
          <w:lang w:val="fr-FR"/>
        </w:rPr>
        <w:t>e libre</w:t>
      </w:r>
      <w:r w:rsidR="00784306" w:rsidRPr="0063436D">
        <w:rPr>
          <w:sz w:val="17"/>
          <w:szCs w:val="17"/>
          <w:lang w:val="fr-FR"/>
        </w:rPr>
        <w:t>)</w:t>
      </w:r>
      <w:r w:rsidR="0042309B" w:rsidRPr="0063436D">
        <w:rPr>
          <w:sz w:val="17"/>
          <w:szCs w:val="17"/>
          <w:lang w:val="fr-FR"/>
        </w:rPr>
        <w:t xml:space="preserve">, </w:t>
      </w:r>
      <w:r w:rsidR="00784306" w:rsidRPr="0063436D">
        <w:rPr>
          <w:sz w:val="17"/>
          <w:szCs w:val="17"/>
          <w:lang w:val="fr-FR"/>
        </w:rPr>
        <w:t>4)</w:t>
      </w:r>
      <w:r w:rsidR="0042309B" w:rsidRPr="0063436D">
        <w:rPr>
          <w:sz w:val="17"/>
          <w:szCs w:val="17"/>
          <w:lang w:val="fr-FR"/>
        </w:rPr>
        <w:t> la date d</w:t>
      </w:r>
      <w:r w:rsidR="0046773C" w:rsidRPr="0063436D">
        <w:rPr>
          <w:sz w:val="17"/>
          <w:szCs w:val="17"/>
          <w:lang w:val="fr-FR"/>
        </w:rPr>
        <w:t>’</w:t>
      </w:r>
      <w:r w:rsidR="0042309B" w:rsidRPr="0063436D">
        <w:rPr>
          <w:sz w:val="17"/>
          <w:szCs w:val="17"/>
          <w:lang w:val="fr-FR"/>
        </w:rPr>
        <w:t>un événement antérieur pertinent et</w:t>
      </w:r>
      <w:r w:rsidR="00784306" w:rsidRPr="0063436D">
        <w:rPr>
          <w:sz w:val="17"/>
          <w:szCs w:val="17"/>
          <w:lang w:val="fr-FR"/>
        </w:rPr>
        <w:t xml:space="preserve"> 5)</w:t>
      </w:r>
      <w:r w:rsidR="0042309B" w:rsidRPr="0063436D">
        <w:rPr>
          <w:sz w:val="17"/>
          <w:szCs w:val="17"/>
          <w:lang w:val="fr-FR"/>
        </w:rPr>
        <w:t xml:space="preserve"> une règle </w:t>
      </w:r>
      <w:r w:rsidR="00F34E7D" w:rsidRPr="0063436D">
        <w:rPr>
          <w:sz w:val="17"/>
          <w:szCs w:val="17"/>
          <w:lang w:val="fr-FR"/>
        </w:rPr>
        <w:t>pertinen</w:t>
      </w:r>
      <w:r w:rsidR="00B66A4C" w:rsidRPr="0063436D">
        <w:rPr>
          <w:sz w:val="17"/>
          <w:szCs w:val="17"/>
          <w:lang w:val="fr-FR"/>
        </w:rPr>
        <w:t>te.  L’é</w:t>
      </w:r>
      <w:r w:rsidRPr="0063436D">
        <w:rPr>
          <w:sz w:val="17"/>
          <w:szCs w:val="17"/>
          <w:lang w:val="fr-FR"/>
        </w:rPr>
        <w:t>lément “pays ou région où l</w:t>
      </w:r>
      <w:r w:rsidR="0046773C" w:rsidRPr="0063436D">
        <w:rPr>
          <w:sz w:val="17"/>
          <w:szCs w:val="17"/>
          <w:lang w:val="fr-FR"/>
        </w:rPr>
        <w:t>’</w:t>
      </w:r>
      <w:r w:rsidRPr="0063436D">
        <w:rPr>
          <w:sz w:val="17"/>
          <w:szCs w:val="17"/>
          <w:lang w:val="fr-FR"/>
        </w:rPr>
        <w:t xml:space="preserve">événement produit ses effets” est particulièrement indiqué </w:t>
      </w:r>
      <w:proofErr w:type="gramStart"/>
      <w:r w:rsidRPr="0063436D">
        <w:rPr>
          <w:sz w:val="17"/>
          <w:szCs w:val="17"/>
          <w:lang w:val="fr-FR"/>
        </w:rPr>
        <w:t>pour</w:t>
      </w:r>
      <w:proofErr w:type="gramEnd"/>
      <w:r w:rsidRPr="0063436D">
        <w:rPr>
          <w:sz w:val="17"/>
          <w:szCs w:val="17"/>
          <w:lang w:val="fr-FR"/>
        </w:rPr>
        <w:t xml:space="preserve"> les offices régionaux où l</w:t>
      </w:r>
      <w:r w:rsidR="0046773C" w:rsidRPr="0063436D">
        <w:rPr>
          <w:sz w:val="17"/>
          <w:szCs w:val="17"/>
          <w:lang w:val="fr-FR"/>
        </w:rPr>
        <w:t>’</w:t>
      </w:r>
      <w:r w:rsidRPr="0063436D">
        <w:rPr>
          <w:sz w:val="17"/>
          <w:szCs w:val="17"/>
          <w:lang w:val="fr-FR"/>
        </w:rPr>
        <w:t>effet d</w:t>
      </w:r>
      <w:r w:rsidR="0046773C" w:rsidRPr="0063436D">
        <w:rPr>
          <w:sz w:val="17"/>
          <w:szCs w:val="17"/>
          <w:lang w:val="fr-FR"/>
        </w:rPr>
        <w:t>’</w:t>
      </w:r>
      <w:r w:rsidRPr="0063436D">
        <w:rPr>
          <w:sz w:val="17"/>
          <w:szCs w:val="17"/>
          <w:lang w:val="fr-FR"/>
        </w:rPr>
        <w:t>un événement, tel que la suspension pour cause de non</w:t>
      </w:r>
      <w:r w:rsidR="0046773C" w:rsidRPr="0063436D">
        <w:rPr>
          <w:sz w:val="17"/>
          <w:szCs w:val="17"/>
          <w:lang w:val="fr-FR"/>
        </w:rPr>
        <w:t>-</w:t>
      </w:r>
      <w:r w:rsidRPr="0063436D">
        <w:rPr>
          <w:sz w:val="17"/>
          <w:szCs w:val="17"/>
          <w:lang w:val="fr-FR"/>
        </w:rPr>
        <w:t>paiement des taxes de renouvellement, produit ses effets uniquement dans certains des pays où le droit de propriété industrielle est act</w:t>
      </w:r>
      <w:r w:rsidR="00B66A4C" w:rsidRPr="0063436D">
        <w:rPr>
          <w:sz w:val="17"/>
          <w:szCs w:val="17"/>
          <w:lang w:val="fr-FR"/>
        </w:rPr>
        <w:t>if.  Le</w:t>
      </w:r>
      <w:r w:rsidRPr="0063436D">
        <w:rPr>
          <w:sz w:val="17"/>
          <w:szCs w:val="17"/>
          <w:lang w:val="fr-FR"/>
        </w:rPr>
        <w:t xml:space="preserve"> “numéro du bulletin” correspond au volume du bulletin national ou régional où les données relatives à l</w:t>
      </w:r>
      <w:r w:rsidR="0046773C" w:rsidRPr="0063436D">
        <w:rPr>
          <w:sz w:val="17"/>
          <w:szCs w:val="17"/>
          <w:lang w:val="fr-FR"/>
        </w:rPr>
        <w:t>’</w:t>
      </w:r>
      <w:r w:rsidRPr="0063436D">
        <w:rPr>
          <w:sz w:val="17"/>
          <w:szCs w:val="17"/>
          <w:lang w:val="fr-FR"/>
        </w:rPr>
        <w:t>événement sont publié</w:t>
      </w:r>
      <w:r w:rsidR="00B66A4C" w:rsidRPr="0063436D">
        <w:rPr>
          <w:sz w:val="17"/>
          <w:szCs w:val="17"/>
          <w:lang w:val="fr-FR"/>
        </w:rPr>
        <w:t>es.  Le</w:t>
      </w:r>
      <w:r w:rsidRPr="0063436D">
        <w:rPr>
          <w:sz w:val="17"/>
          <w:szCs w:val="17"/>
          <w:lang w:val="fr-FR"/>
        </w:rPr>
        <w:t>s offices de propriété industrielle pourront fournir des données connexes supplémentaires non prévues ici dans la rubrique “commentaires”.</w:t>
      </w:r>
      <w:r w:rsidR="00784306" w:rsidRPr="0063436D">
        <w:rPr>
          <w:sz w:val="17"/>
          <w:lang w:val="fr-FR"/>
        </w:rPr>
        <w:t xml:space="preserve"> </w:t>
      </w:r>
      <w:r w:rsidR="00EC77DA" w:rsidRPr="0063436D">
        <w:rPr>
          <w:sz w:val="17"/>
          <w:szCs w:val="17"/>
          <w:lang w:val="fr-FR"/>
        </w:rPr>
        <w:t xml:space="preserve"> </w:t>
      </w:r>
      <w:r w:rsidR="005D6F65" w:rsidRPr="0063436D">
        <w:rPr>
          <w:sz w:val="17"/>
          <w:szCs w:val="17"/>
          <w:lang w:val="fr-FR"/>
        </w:rPr>
        <w:t xml:space="preserve">La </w:t>
      </w:r>
      <w:r w:rsidR="007D1481" w:rsidRPr="0063436D">
        <w:rPr>
          <w:sz w:val="16"/>
          <w:szCs w:val="16"/>
          <w:lang w:val="fr-FR"/>
        </w:rPr>
        <w:t>“</w:t>
      </w:r>
      <w:r w:rsidR="005D6F65" w:rsidRPr="0063436D">
        <w:rPr>
          <w:sz w:val="17"/>
          <w:szCs w:val="17"/>
          <w:lang w:val="fr-FR"/>
        </w:rPr>
        <w:t>date d</w:t>
      </w:r>
      <w:r w:rsidR="0046773C" w:rsidRPr="0063436D">
        <w:rPr>
          <w:sz w:val="17"/>
          <w:szCs w:val="17"/>
          <w:lang w:val="fr-FR"/>
        </w:rPr>
        <w:t>’</w:t>
      </w:r>
      <w:r w:rsidR="005D6F65" w:rsidRPr="0063436D">
        <w:rPr>
          <w:sz w:val="17"/>
          <w:szCs w:val="17"/>
          <w:lang w:val="fr-FR"/>
        </w:rPr>
        <w:t>un événement antérieur pertinent</w:t>
      </w:r>
      <w:r w:rsidR="006611DD" w:rsidRPr="0063436D">
        <w:rPr>
          <w:sz w:val="16"/>
          <w:szCs w:val="16"/>
          <w:lang w:val="fr-FR"/>
        </w:rPr>
        <w:t>”</w:t>
      </w:r>
      <w:r w:rsidR="00784306" w:rsidRPr="0063436D">
        <w:rPr>
          <w:sz w:val="17"/>
          <w:szCs w:val="17"/>
          <w:lang w:val="fr-FR"/>
        </w:rPr>
        <w:t xml:space="preserve"> </w:t>
      </w:r>
      <w:r w:rsidR="005D6F65" w:rsidRPr="0063436D">
        <w:rPr>
          <w:sz w:val="17"/>
          <w:szCs w:val="17"/>
          <w:lang w:val="fr-FR"/>
        </w:rPr>
        <w:t xml:space="preserve">désigne la </w:t>
      </w:r>
      <w:r w:rsidR="00784306" w:rsidRPr="0063436D">
        <w:rPr>
          <w:sz w:val="17"/>
          <w:szCs w:val="17"/>
          <w:lang w:val="fr-FR"/>
        </w:rPr>
        <w:t xml:space="preserve">date </w:t>
      </w:r>
      <w:r w:rsidR="005D6F65" w:rsidRPr="0063436D">
        <w:rPr>
          <w:sz w:val="17"/>
          <w:szCs w:val="17"/>
          <w:lang w:val="fr-FR"/>
        </w:rPr>
        <w:t>d</w:t>
      </w:r>
      <w:r w:rsidR="0046773C" w:rsidRPr="0063436D">
        <w:rPr>
          <w:sz w:val="17"/>
          <w:szCs w:val="17"/>
          <w:lang w:val="fr-FR"/>
        </w:rPr>
        <w:t>’</w:t>
      </w:r>
      <w:r w:rsidR="005D6F65" w:rsidRPr="0063436D">
        <w:rPr>
          <w:sz w:val="17"/>
          <w:szCs w:val="17"/>
          <w:lang w:val="fr-FR"/>
        </w:rPr>
        <w:t>un événement antérieur pertinent pour l</w:t>
      </w:r>
      <w:r w:rsidR="0046773C" w:rsidRPr="0063436D">
        <w:rPr>
          <w:sz w:val="17"/>
          <w:szCs w:val="17"/>
          <w:lang w:val="fr-FR"/>
        </w:rPr>
        <w:t>’</w:t>
      </w:r>
      <w:r w:rsidR="005D6F65" w:rsidRPr="0063436D">
        <w:rPr>
          <w:sz w:val="17"/>
          <w:szCs w:val="17"/>
          <w:lang w:val="fr-FR"/>
        </w:rPr>
        <w:t>événement actuel</w:t>
      </w:r>
      <w:r w:rsidR="00784306" w:rsidRPr="0063436D">
        <w:rPr>
          <w:sz w:val="17"/>
          <w:szCs w:val="17"/>
          <w:lang w:val="fr-FR"/>
        </w:rPr>
        <w:t xml:space="preserve">, </w:t>
      </w:r>
      <w:r w:rsidR="005D6F65" w:rsidRPr="0063436D">
        <w:rPr>
          <w:sz w:val="17"/>
          <w:szCs w:val="17"/>
          <w:lang w:val="fr-FR"/>
        </w:rPr>
        <w:t>tel</w:t>
      </w:r>
      <w:r w:rsidR="00F34E7D" w:rsidRPr="0063436D">
        <w:rPr>
          <w:sz w:val="17"/>
          <w:szCs w:val="17"/>
          <w:lang w:val="fr-FR"/>
        </w:rPr>
        <w:t xml:space="preserve">le la date de </w:t>
      </w:r>
      <w:r w:rsidR="005D6F65" w:rsidRPr="0063436D">
        <w:rPr>
          <w:sz w:val="17"/>
          <w:szCs w:val="17"/>
          <w:lang w:val="fr-FR"/>
        </w:rPr>
        <w:t>début d</w:t>
      </w:r>
      <w:r w:rsidR="0046773C" w:rsidRPr="0063436D">
        <w:rPr>
          <w:sz w:val="17"/>
          <w:szCs w:val="17"/>
          <w:lang w:val="fr-FR"/>
        </w:rPr>
        <w:t>’</w:t>
      </w:r>
      <w:r w:rsidR="005D6F65" w:rsidRPr="0063436D">
        <w:rPr>
          <w:sz w:val="17"/>
          <w:szCs w:val="17"/>
          <w:lang w:val="fr-FR"/>
        </w:rPr>
        <w:t>un</w:t>
      </w:r>
      <w:r w:rsidR="00F34E7D" w:rsidRPr="0063436D">
        <w:rPr>
          <w:sz w:val="17"/>
          <w:szCs w:val="17"/>
          <w:lang w:val="fr-FR"/>
        </w:rPr>
        <w:t xml:space="preserve"> délai de paiement d</w:t>
      </w:r>
      <w:r w:rsidR="0046773C" w:rsidRPr="0063436D">
        <w:rPr>
          <w:sz w:val="17"/>
          <w:szCs w:val="17"/>
          <w:lang w:val="fr-FR"/>
        </w:rPr>
        <w:t>’</w:t>
      </w:r>
      <w:r w:rsidR="00F34E7D" w:rsidRPr="0063436D">
        <w:rPr>
          <w:sz w:val="17"/>
          <w:szCs w:val="17"/>
          <w:lang w:val="fr-FR"/>
        </w:rPr>
        <w:t xml:space="preserve">une taxe qui </w:t>
      </w:r>
      <w:r w:rsidR="00784306" w:rsidRPr="0063436D">
        <w:rPr>
          <w:sz w:val="17"/>
          <w:szCs w:val="17"/>
          <w:lang w:val="fr-FR"/>
        </w:rPr>
        <w:t>a expi</w:t>
      </w:r>
      <w:r w:rsidR="00B66A4C" w:rsidRPr="0063436D">
        <w:rPr>
          <w:sz w:val="17"/>
          <w:szCs w:val="17"/>
          <w:lang w:val="fr-FR"/>
        </w:rPr>
        <w:t>ré.  La</w:t>
      </w:r>
      <w:r w:rsidR="00784306" w:rsidRPr="0063436D">
        <w:rPr>
          <w:sz w:val="17"/>
          <w:szCs w:val="17"/>
          <w:lang w:val="fr-FR"/>
        </w:rPr>
        <w:t xml:space="preserve"> </w:t>
      </w:r>
      <w:r w:rsidR="007D1481" w:rsidRPr="0063436D">
        <w:rPr>
          <w:sz w:val="16"/>
          <w:szCs w:val="16"/>
          <w:lang w:val="fr-FR"/>
        </w:rPr>
        <w:t>“</w:t>
      </w:r>
      <w:r w:rsidR="00784306" w:rsidRPr="0063436D">
        <w:rPr>
          <w:sz w:val="17"/>
          <w:szCs w:val="17"/>
          <w:lang w:val="fr-FR"/>
        </w:rPr>
        <w:t>r</w:t>
      </w:r>
      <w:r w:rsidR="005D6F65" w:rsidRPr="0063436D">
        <w:rPr>
          <w:sz w:val="17"/>
          <w:szCs w:val="17"/>
          <w:lang w:val="fr-FR"/>
        </w:rPr>
        <w:t xml:space="preserve">ègle </w:t>
      </w:r>
      <w:r w:rsidR="00F34E7D" w:rsidRPr="0063436D">
        <w:rPr>
          <w:sz w:val="17"/>
          <w:szCs w:val="17"/>
          <w:lang w:val="fr-FR"/>
        </w:rPr>
        <w:t>pertinente</w:t>
      </w:r>
      <w:r w:rsidR="006611DD" w:rsidRPr="0063436D">
        <w:rPr>
          <w:sz w:val="16"/>
          <w:szCs w:val="16"/>
          <w:lang w:val="fr-FR"/>
        </w:rPr>
        <w:t>”</w:t>
      </w:r>
      <w:r w:rsidR="00784306" w:rsidRPr="0063436D">
        <w:rPr>
          <w:sz w:val="17"/>
          <w:szCs w:val="17"/>
          <w:lang w:val="fr-FR"/>
        </w:rPr>
        <w:t xml:space="preserve"> </w:t>
      </w:r>
      <w:r w:rsidR="005D6F65" w:rsidRPr="0063436D">
        <w:rPr>
          <w:sz w:val="17"/>
          <w:szCs w:val="17"/>
          <w:lang w:val="fr-FR"/>
        </w:rPr>
        <w:t>désigne une règle, une réglementation, une loi ou un autre principe spécifique à un o</w:t>
      </w:r>
      <w:r w:rsidR="00784306" w:rsidRPr="0063436D">
        <w:rPr>
          <w:sz w:val="17"/>
          <w:szCs w:val="17"/>
          <w:lang w:val="fr-FR"/>
        </w:rPr>
        <w:t>ffice</w:t>
      </w:r>
      <w:r w:rsidR="005D6F65" w:rsidRPr="0063436D">
        <w:rPr>
          <w:sz w:val="17"/>
          <w:szCs w:val="17"/>
          <w:lang w:val="fr-FR"/>
        </w:rPr>
        <w:t xml:space="preserve"> qui </w:t>
      </w:r>
      <w:r w:rsidR="00F34E7D" w:rsidRPr="0063436D">
        <w:rPr>
          <w:sz w:val="17"/>
          <w:szCs w:val="17"/>
          <w:lang w:val="fr-FR"/>
        </w:rPr>
        <w:t xml:space="preserve">a été </w:t>
      </w:r>
      <w:r w:rsidR="00784306" w:rsidRPr="0063436D">
        <w:rPr>
          <w:sz w:val="17"/>
          <w:szCs w:val="17"/>
          <w:lang w:val="fr-FR"/>
        </w:rPr>
        <w:t>appli</w:t>
      </w:r>
      <w:r w:rsidR="005D6F65" w:rsidRPr="0063436D">
        <w:rPr>
          <w:sz w:val="17"/>
          <w:szCs w:val="17"/>
          <w:lang w:val="fr-FR"/>
        </w:rPr>
        <w:t xml:space="preserve">qué pour </w:t>
      </w:r>
      <w:r w:rsidR="001D6340" w:rsidRPr="0063436D">
        <w:rPr>
          <w:sz w:val="17"/>
          <w:szCs w:val="17"/>
          <w:lang w:val="fr-FR"/>
        </w:rPr>
        <w:t xml:space="preserve">obtenir le résultat </w:t>
      </w:r>
      <w:r w:rsidR="00AF5A25" w:rsidRPr="0063436D">
        <w:rPr>
          <w:sz w:val="17"/>
          <w:szCs w:val="17"/>
          <w:lang w:val="fr-FR"/>
        </w:rPr>
        <w:t>associé</w:t>
      </w:r>
      <w:r w:rsidR="002A7F58" w:rsidRPr="0063436D">
        <w:rPr>
          <w:sz w:val="17"/>
          <w:szCs w:val="17"/>
          <w:lang w:val="fr-FR"/>
        </w:rPr>
        <w:t xml:space="preserve"> à l</w:t>
      </w:r>
      <w:r w:rsidR="0046773C" w:rsidRPr="0063436D">
        <w:rPr>
          <w:sz w:val="17"/>
          <w:szCs w:val="17"/>
          <w:lang w:val="fr-FR"/>
        </w:rPr>
        <w:t>’</w:t>
      </w:r>
      <w:r w:rsidR="002A7F58" w:rsidRPr="0063436D">
        <w:rPr>
          <w:sz w:val="17"/>
          <w:szCs w:val="17"/>
          <w:lang w:val="fr-FR"/>
        </w:rPr>
        <w:t>événement</w:t>
      </w:r>
      <w:r w:rsidR="00784306" w:rsidRPr="0063436D">
        <w:rPr>
          <w:sz w:val="17"/>
          <w:szCs w:val="17"/>
          <w:lang w:val="fr-FR"/>
        </w:rPr>
        <w:t>.</w:t>
      </w:r>
    </w:p>
    <w:p w14:paraId="40D469EE" w14:textId="77777777" w:rsidR="00076F3F" w:rsidRPr="0063436D" w:rsidRDefault="001D6340" w:rsidP="00784306">
      <w:pPr>
        <w:pStyle w:val="ListParagraph"/>
        <w:numPr>
          <w:ilvl w:val="0"/>
          <w:numId w:val="7"/>
        </w:numPr>
        <w:spacing w:after="200" w:line="240" w:lineRule="auto"/>
        <w:ind w:left="0" w:firstLine="0"/>
        <w:contextualSpacing w:val="0"/>
        <w:jc w:val="both"/>
        <w:rPr>
          <w:sz w:val="17"/>
          <w:szCs w:val="17"/>
          <w:lang w:val="fr-FR"/>
        </w:rPr>
      </w:pPr>
      <w:r w:rsidRPr="0063436D">
        <w:rPr>
          <w:sz w:val="17"/>
          <w:szCs w:val="17"/>
          <w:lang w:val="fr-FR"/>
        </w:rPr>
        <w:t>L</w:t>
      </w:r>
      <w:r w:rsidR="00784306" w:rsidRPr="0063436D">
        <w:rPr>
          <w:sz w:val="17"/>
          <w:szCs w:val="17"/>
          <w:lang w:val="fr-FR"/>
        </w:rPr>
        <w:t xml:space="preserve">e </w:t>
      </w:r>
      <w:r w:rsidRPr="0063436D">
        <w:rPr>
          <w:sz w:val="17"/>
          <w:szCs w:val="17"/>
          <w:lang w:val="fr-FR"/>
        </w:rPr>
        <w:t>t</w:t>
      </w:r>
      <w:r w:rsidR="00784306" w:rsidRPr="0063436D">
        <w:rPr>
          <w:sz w:val="17"/>
          <w:szCs w:val="17"/>
          <w:lang w:val="fr-FR"/>
        </w:rPr>
        <w:t>able</w:t>
      </w:r>
      <w:r w:rsidRPr="0063436D">
        <w:rPr>
          <w:sz w:val="17"/>
          <w:szCs w:val="17"/>
          <w:lang w:val="fr-FR"/>
        </w:rPr>
        <w:t>au ci</w:t>
      </w:r>
      <w:r w:rsidR="0046773C" w:rsidRPr="0063436D">
        <w:rPr>
          <w:sz w:val="17"/>
          <w:szCs w:val="17"/>
          <w:lang w:val="fr-FR"/>
        </w:rPr>
        <w:t>-</w:t>
      </w:r>
      <w:r w:rsidRPr="0063436D">
        <w:rPr>
          <w:sz w:val="17"/>
          <w:szCs w:val="17"/>
          <w:lang w:val="fr-FR"/>
        </w:rPr>
        <w:t xml:space="preserve">après présente les champs de données </w:t>
      </w:r>
      <w:r w:rsidR="00784306" w:rsidRPr="0063436D">
        <w:rPr>
          <w:sz w:val="17"/>
          <w:szCs w:val="17"/>
          <w:lang w:val="fr-FR"/>
        </w:rPr>
        <w:t>suppl</w:t>
      </w:r>
      <w:r w:rsidRPr="0063436D">
        <w:rPr>
          <w:sz w:val="17"/>
          <w:szCs w:val="17"/>
          <w:lang w:val="fr-FR"/>
        </w:rPr>
        <w:t>é</w:t>
      </w:r>
      <w:r w:rsidR="00784306" w:rsidRPr="0063436D">
        <w:rPr>
          <w:sz w:val="17"/>
          <w:szCs w:val="17"/>
          <w:lang w:val="fr-FR"/>
        </w:rPr>
        <w:t>menta</w:t>
      </w:r>
      <w:r w:rsidRPr="0063436D">
        <w:rPr>
          <w:sz w:val="17"/>
          <w:szCs w:val="17"/>
          <w:lang w:val="fr-FR"/>
        </w:rPr>
        <w:t>ires qui peuvent être utilisés pour les</w:t>
      </w:r>
      <w:r w:rsidR="00784306" w:rsidRPr="0063436D">
        <w:rPr>
          <w:sz w:val="17"/>
          <w:szCs w:val="17"/>
          <w:lang w:val="fr-FR"/>
        </w:rPr>
        <w:t xml:space="preserve"> diff</w:t>
      </w:r>
      <w:r w:rsidRPr="0063436D">
        <w:rPr>
          <w:sz w:val="17"/>
          <w:szCs w:val="17"/>
          <w:lang w:val="fr-FR"/>
        </w:rPr>
        <w:t>é</w:t>
      </w:r>
      <w:r w:rsidR="00784306" w:rsidRPr="0063436D">
        <w:rPr>
          <w:sz w:val="17"/>
          <w:szCs w:val="17"/>
          <w:lang w:val="fr-FR"/>
        </w:rPr>
        <w:t>rent</w:t>
      </w:r>
      <w:r w:rsidRPr="0063436D">
        <w:rPr>
          <w:sz w:val="17"/>
          <w:szCs w:val="17"/>
          <w:lang w:val="fr-FR"/>
        </w:rPr>
        <w:t>es</w:t>
      </w:r>
      <w:r w:rsidR="00784306" w:rsidRPr="0063436D">
        <w:rPr>
          <w:sz w:val="17"/>
          <w:szCs w:val="17"/>
          <w:lang w:val="fr-FR"/>
        </w:rPr>
        <w:t xml:space="preserve"> cat</w:t>
      </w:r>
      <w:r w:rsidRPr="0063436D">
        <w:rPr>
          <w:sz w:val="17"/>
          <w:szCs w:val="17"/>
          <w:lang w:val="fr-FR"/>
        </w:rPr>
        <w:t>é</w:t>
      </w:r>
      <w:r w:rsidR="00784306" w:rsidRPr="0063436D">
        <w:rPr>
          <w:sz w:val="17"/>
          <w:szCs w:val="17"/>
          <w:lang w:val="fr-FR"/>
        </w:rPr>
        <w:t>gori</w:t>
      </w:r>
      <w:r w:rsidR="00B66A4C" w:rsidRPr="0063436D">
        <w:rPr>
          <w:sz w:val="17"/>
          <w:szCs w:val="17"/>
          <w:lang w:val="fr-FR"/>
        </w:rPr>
        <w:t>es.  La</w:t>
      </w:r>
      <w:r w:rsidRPr="0063436D">
        <w:rPr>
          <w:sz w:val="17"/>
          <w:szCs w:val="17"/>
          <w:lang w:val="fr-FR"/>
        </w:rPr>
        <w:t xml:space="preserve"> première ligne présente les éléments communs pouvant être utilisés dans </w:t>
      </w:r>
      <w:r w:rsidR="00F34E7D" w:rsidRPr="0063436D">
        <w:rPr>
          <w:sz w:val="17"/>
          <w:szCs w:val="17"/>
          <w:lang w:val="fr-FR"/>
        </w:rPr>
        <w:t>n</w:t>
      </w:r>
      <w:r w:rsidR="0046773C" w:rsidRPr="0063436D">
        <w:rPr>
          <w:sz w:val="17"/>
          <w:szCs w:val="17"/>
          <w:lang w:val="fr-FR"/>
        </w:rPr>
        <w:t>’</w:t>
      </w:r>
      <w:r w:rsidR="00F34E7D" w:rsidRPr="0063436D">
        <w:rPr>
          <w:sz w:val="17"/>
          <w:szCs w:val="17"/>
          <w:lang w:val="fr-FR"/>
        </w:rPr>
        <w:t xml:space="preserve">importe quelle </w:t>
      </w:r>
      <w:r w:rsidR="00784306" w:rsidRPr="0063436D">
        <w:rPr>
          <w:sz w:val="17"/>
          <w:szCs w:val="17"/>
          <w:lang w:val="fr-FR"/>
        </w:rPr>
        <w:t>cat</w:t>
      </w:r>
      <w:r w:rsidRPr="0063436D">
        <w:rPr>
          <w:sz w:val="17"/>
          <w:szCs w:val="17"/>
          <w:lang w:val="fr-FR"/>
        </w:rPr>
        <w:t>é</w:t>
      </w:r>
      <w:r w:rsidR="00784306" w:rsidRPr="0063436D">
        <w:rPr>
          <w:sz w:val="17"/>
          <w:szCs w:val="17"/>
          <w:lang w:val="fr-FR"/>
        </w:rPr>
        <w:t>gor</w:t>
      </w:r>
      <w:r w:rsidRPr="0063436D">
        <w:rPr>
          <w:sz w:val="17"/>
          <w:szCs w:val="17"/>
          <w:lang w:val="fr-FR"/>
        </w:rPr>
        <w:t>ie</w:t>
      </w:r>
      <w:r w:rsidR="00784306" w:rsidRPr="0063436D">
        <w:rPr>
          <w:sz w:val="17"/>
          <w:szCs w:val="17"/>
          <w:lang w:val="fr-FR"/>
        </w:rPr>
        <w:t xml:space="preserve">, </w:t>
      </w:r>
      <w:r w:rsidRPr="0063436D">
        <w:rPr>
          <w:sz w:val="17"/>
          <w:szCs w:val="17"/>
          <w:lang w:val="fr-FR"/>
        </w:rPr>
        <w:t xml:space="preserve">et les lignes suivantes présentent les éléments de données propres à chaque </w:t>
      </w:r>
      <w:r w:rsidR="00784306" w:rsidRPr="0063436D">
        <w:rPr>
          <w:sz w:val="17"/>
          <w:szCs w:val="17"/>
          <w:lang w:val="fr-FR"/>
        </w:rPr>
        <w:t>cat</w:t>
      </w:r>
      <w:r w:rsidRPr="0063436D">
        <w:rPr>
          <w:sz w:val="17"/>
          <w:szCs w:val="17"/>
          <w:lang w:val="fr-FR"/>
        </w:rPr>
        <w:t>é</w:t>
      </w:r>
      <w:r w:rsidR="00784306" w:rsidRPr="0063436D">
        <w:rPr>
          <w:sz w:val="17"/>
          <w:szCs w:val="17"/>
          <w:lang w:val="fr-FR"/>
        </w:rPr>
        <w:t>gor</w:t>
      </w:r>
      <w:r w:rsidR="00B66A4C" w:rsidRPr="0063436D">
        <w:rPr>
          <w:sz w:val="17"/>
          <w:szCs w:val="17"/>
          <w:lang w:val="fr-FR"/>
        </w:rPr>
        <w:t>ie.  No</w:t>
      </w:r>
      <w:r w:rsidR="00784306" w:rsidRPr="0063436D">
        <w:rPr>
          <w:sz w:val="17"/>
          <w:szCs w:val="17"/>
          <w:lang w:val="fr-FR"/>
        </w:rPr>
        <w:t>te</w:t>
      </w:r>
      <w:r w:rsidRPr="0063436D">
        <w:rPr>
          <w:sz w:val="17"/>
          <w:szCs w:val="17"/>
          <w:lang w:val="fr-FR"/>
        </w:rPr>
        <w:t xml:space="preserve">z que les éléments de données </w:t>
      </w:r>
      <w:r w:rsidR="00784306" w:rsidRPr="0063436D">
        <w:rPr>
          <w:sz w:val="17"/>
          <w:szCs w:val="17"/>
          <w:lang w:val="fr-FR"/>
        </w:rPr>
        <w:t>suppl</w:t>
      </w:r>
      <w:r w:rsidRPr="0063436D">
        <w:rPr>
          <w:sz w:val="17"/>
          <w:szCs w:val="17"/>
          <w:lang w:val="fr-FR"/>
        </w:rPr>
        <w:t>é</w:t>
      </w:r>
      <w:r w:rsidR="00784306" w:rsidRPr="0063436D">
        <w:rPr>
          <w:sz w:val="17"/>
          <w:szCs w:val="17"/>
          <w:lang w:val="fr-FR"/>
        </w:rPr>
        <w:t>menta</w:t>
      </w:r>
      <w:r w:rsidRPr="0063436D">
        <w:rPr>
          <w:sz w:val="17"/>
          <w:szCs w:val="17"/>
          <w:lang w:val="fr-FR"/>
        </w:rPr>
        <w:t xml:space="preserve">ires mentionnés dans la présente norme sont des </w:t>
      </w:r>
      <w:r w:rsidR="00784306" w:rsidRPr="0063436D">
        <w:rPr>
          <w:sz w:val="17"/>
          <w:szCs w:val="17"/>
          <w:lang w:val="fr-FR"/>
        </w:rPr>
        <w:t xml:space="preserve">descriptions </w:t>
      </w:r>
      <w:r w:rsidRPr="0063436D">
        <w:rPr>
          <w:sz w:val="17"/>
          <w:szCs w:val="17"/>
          <w:lang w:val="fr-FR"/>
        </w:rPr>
        <w:t xml:space="preserve">générales des </w:t>
      </w:r>
      <w:r w:rsidR="00784306" w:rsidRPr="0063436D">
        <w:rPr>
          <w:sz w:val="17"/>
          <w:szCs w:val="17"/>
          <w:lang w:val="fr-FR"/>
        </w:rPr>
        <w:t xml:space="preserve">types </w:t>
      </w:r>
      <w:r w:rsidRPr="0063436D">
        <w:rPr>
          <w:sz w:val="17"/>
          <w:szCs w:val="17"/>
          <w:lang w:val="fr-FR"/>
        </w:rPr>
        <w:t>de données qui peuvent être fournis</w:t>
      </w:r>
      <w:r w:rsidR="00B10592" w:rsidRPr="0063436D">
        <w:rPr>
          <w:sz w:val="17"/>
          <w:szCs w:val="17"/>
          <w:lang w:val="fr-FR"/>
        </w:rPr>
        <w:t>.</w:t>
      </w:r>
    </w:p>
    <w:p w14:paraId="2FF096F2" w14:textId="77777777" w:rsidR="00784306" w:rsidRPr="0063436D" w:rsidRDefault="00784306" w:rsidP="00442430">
      <w:pPr>
        <w:rPr>
          <w:sz w:val="17"/>
          <w:szCs w:val="17"/>
          <w:lang w:val="fr-FR"/>
        </w:rPr>
      </w:pPr>
      <w:r w:rsidRPr="0063436D">
        <w:rPr>
          <w:sz w:val="17"/>
          <w:szCs w:val="17"/>
          <w:lang w:val="fr-FR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4860"/>
        <w:gridCol w:w="3500"/>
      </w:tblGrid>
      <w:tr w:rsidR="00784306" w:rsidRPr="005E6869" w14:paraId="481E643B" w14:textId="77777777" w:rsidTr="00442430">
        <w:trPr>
          <w:cantSplit/>
          <w:tblHeader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B8054" w14:textId="77777777" w:rsidR="00784306" w:rsidRPr="0063436D" w:rsidRDefault="004F1079" w:rsidP="004F1079">
            <w:pPr>
              <w:spacing w:before="120" w:after="120" w:line="276" w:lineRule="auto"/>
              <w:jc w:val="center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b/>
                <w:sz w:val="17"/>
                <w:szCs w:val="17"/>
                <w:lang w:val="fr-FR" w:eastAsia="en-US"/>
              </w:rPr>
              <w:lastRenderedPageBreak/>
              <w:t>Code de catégorie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D6FC1E" w14:textId="77777777" w:rsidR="00784306" w:rsidRPr="0063436D" w:rsidRDefault="00784306" w:rsidP="002E6B85">
            <w:pPr>
              <w:spacing w:before="120" w:after="120" w:line="276" w:lineRule="auto"/>
              <w:rPr>
                <w:rFonts w:eastAsia="Times New Roman"/>
                <w:b/>
                <w:bCs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b/>
                <w:bCs/>
                <w:sz w:val="17"/>
                <w:szCs w:val="17"/>
                <w:lang w:val="fr-FR" w:eastAsia="en-US"/>
              </w:rPr>
              <w:t>Tit</w:t>
            </w:r>
            <w:r w:rsidR="002E6B85" w:rsidRPr="0063436D">
              <w:rPr>
                <w:rFonts w:eastAsia="Times New Roman"/>
                <w:b/>
                <w:bCs/>
                <w:sz w:val="17"/>
                <w:szCs w:val="17"/>
                <w:lang w:val="fr-FR" w:eastAsia="en-US"/>
              </w:rPr>
              <w:t>re et d</w:t>
            </w:r>
            <w:r w:rsidRPr="0063436D">
              <w:rPr>
                <w:rFonts w:eastAsia="Times New Roman"/>
                <w:b/>
                <w:bCs/>
                <w:sz w:val="17"/>
                <w:szCs w:val="17"/>
                <w:lang w:val="fr-FR" w:eastAsia="en-US"/>
              </w:rPr>
              <w:t>escription</w:t>
            </w:r>
            <w:r w:rsidR="002E6B85" w:rsidRPr="0063436D">
              <w:rPr>
                <w:rFonts w:eastAsia="Times New Roman"/>
                <w:b/>
                <w:bCs/>
                <w:sz w:val="17"/>
                <w:szCs w:val="17"/>
                <w:lang w:val="fr-FR" w:eastAsia="en-US"/>
              </w:rPr>
              <w:t xml:space="preserve"> de la catégorie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2F06D" w14:textId="77777777" w:rsidR="00784306" w:rsidRPr="0063436D" w:rsidRDefault="004F1079" w:rsidP="004F1079">
            <w:pPr>
              <w:spacing w:before="120" w:after="200" w:line="276" w:lineRule="auto"/>
              <w:rPr>
                <w:rFonts w:eastAsia="Times New Roman"/>
                <w:b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b/>
                <w:sz w:val="17"/>
                <w:szCs w:val="17"/>
                <w:lang w:val="fr-FR" w:eastAsia="en-US"/>
              </w:rPr>
              <w:t>Données supplémentaires relatives à l</w:t>
            </w:r>
            <w:r w:rsidR="0046773C" w:rsidRPr="0063436D">
              <w:rPr>
                <w:rFonts w:eastAsia="Times New Roman"/>
                <w:b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b/>
                <w:sz w:val="17"/>
                <w:szCs w:val="17"/>
                <w:lang w:val="fr-FR" w:eastAsia="en-US"/>
              </w:rPr>
              <w:t>événement</w:t>
            </w:r>
          </w:p>
        </w:tc>
      </w:tr>
      <w:tr w:rsidR="00784306" w:rsidRPr="005E6869" w14:paraId="02608CCB" w14:textId="77777777" w:rsidTr="00442430">
        <w:trPr>
          <w:cantSplit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515" w14:textId="77777777" w:rsidR="00784306" w:rsidRPr="0063436D" w:rsidRDefault="001D02A1" w:rsidP="004F1079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proofErr w:type="spellStart"/>
            <w:r>
              <w:rPr>
                <w:rFonts w:eastAsia="Times New Roman"/>
                <w:sz w:val="17"/>
                <w:szCs w:val="17"/>
                <w:lang w:val="fr-FR" w:eastAsia="en-US"/>
              </w:rPr>
              <w:t>n.d</w:t>
            </w:r>
            <w:proofErr w:type="spellEnd"/>
            <w:r>
              <w:rPr>
                <w:rFonts w:eastAsia="Times New Roman"/>
                <w:sz w:val="17"/>
                <w:szCs w:val="17"/>
                <w:lang w:val="fr-FR" w:eastAsia="en-US"/>
              </w:rPr>
              <w:t>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A4D0" w14:textId="77777777" w:rsidR="00076F3F" w:rsidRPr="0063436D" w:rsidRDefault="00095312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Toutes les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cat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é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gories</w:t>
            </w:r>
          </w:p>
          <w:p w14:paraId="35B8A5C4" w14:textId="77777777" w:rsidR="00784306" w:rsidRPr="0063436D" w:rsidRDefault="00F102A1" w:rsidP="00F102A1">
            <w:pPr>
              <w:spacing w:after="200"/>
              <w:rPr>
                <w:sz w:val="17"/>
                <w:szCs w:val="17"/>
                <w:lang w:val="fr-FR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Présente les éléments de données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comm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uns qui peuvent être utilisés dans toutes les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cat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é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gor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ies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20C1" w14:textId="77777777" w:rsidR="00076F3F" w:rsidRPr="0063436D" w:rsidRDefault="00EF53CD" w:rsidP="00EF53CD">
            <w:pPr>
              <w:pStyle w:val="ListParagraph"/>
              <w:numPr>
                <w:ilvl w:val="3"/>
                <w:numId w:val="6"/>
              </w:numPr>
              <w:spacing w:before="120" w:after="200" w:line="240" w:lineRule="auto"/>
              <w:ind w:left="459" w:hanging="425"/>
              <w:contextualSpacing w:val="0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Pays ou région où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événement produit ses effets</w:t>
            </w:r>
          </w:p>
          <w:p w14:paraId="574149B4" w14:textId="77777777" w:rsidR="00076F3F" w:rsidRPr="0063436D" w:rsidRDefault="00EF53CD" w:rsidP="00EF53CD">
            <w:pPr>
              <w:pStyle w:val="ListParagraph"/>
              <w:numPr>
                <w:ilvl w:val="3"/>
                <w:numId w:val="6"/>
              </w:numPr>
              <w:spacing w:before="120" w:after="200" w:line="240" w:lineRule="auto"/>
              <w:ind w:left="459" w:hanging="425"/>
              <w:contextualSpacing w:val="0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Numéro du bulletin</w:t>
            </w:r>
          </w:p>
          <w:p w14:paraId="7EB56411" w14:textId="77777777" w:rsidR="0046773C" w:rsidRPr="0063436D" w:rsidRDefault="00EF53CD" w:rsidP="00EF53CD">
            <w:pPr>
              <w:pStyle w:val="ListParagraph"/>
              <w:numPr>
                <w:ilvl w:val="3"/>
                <w:numId w:val="6"/>
              </w:numPr>
              <w:spacing w:before="120" w:after="200" w:line="240" w:lineRule="auto"/>
              <w:ind w:left="459" w:hanging="425"/>
              <w:contextualSpacing w:val="0"/>
              <w:rPr>
                <w:rStyle w:val="CommentReference"/>
                <w:sz w:val="17"/>
                <w:szCs w:val="17"/>
                <w:lang w:val="fr-FR"/>
              </w:rPr>
            </w:pPr>
            <w:r w:rsidRPr="0063436D">
              <w:rPr>
                <w:rStyle w:val="CommentReference"/>
                <w:sz w:val="17"/>
                <w:szCs w:val="17"/>
                <w:lang w:val="fr-FR"/>
              </w:rPr>
              <w:t>Commentaires (texte libre)</w:t>
            </w:r>
          </w:p>
          <w:p w14:paraId="0FCCCCAD" w14:textId="77777777" w:rsidR="00076F3F" w:rsidRPr="0063436D" w:rsidRDefault="0042309B" w:rsidP="00784306">
            <w:pPr>
              <w:pStyle w:val="ListParagraph"/>
              <w:numPr>
                <w:ilvl w:val="3"/>
                <w:numId w:val="6"/>
              </w:numPr>
              <w:spacing w:before="120" w:after="200" w:line="240" w:lineRule="auto"/>
              <w:ind w:left="459" w:hanging="425"/>
              <w:contextualSpacing w:val="0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Date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événement antérieur pertinent</w:t>
            </w:r>
          </w:p>
          <w:p w14:paraId="13E66F38" w14:textId="77777777" w:rsidR="00784306" w:rsidRPr="003B3A73" w:rsidRDefault="00784306" w:rsidP="003560AE">
            <w:pPr>
              <w:pStyle w:val="ListParagraph"/>
              <w:numPr>
                <w:ilvl w:val="3"/>
                <w:numId w:val="6"/>
              </w:numPr>
              <w:spacing w:before="120" w:after="200" w:line="240" w:lineRule="auto"/>
              <w:ind w:left="459" w:hanging="425"/>
              <w:contextualSpacing w:val="0"/>
              <w:rPr>
                <w:sz w:val="17"/>
                <w:szCs w:val="17"/>
                <w:lang w:val="fr-FR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R</w:t>
            </w:r>
            <w:r w:rsidR="00860EBE" w:rsidRPr="0063436D">
              <w:rPr>
                <w:rFonts w:eastAsia="Times New Roman"/>
                <w:sz w:val="17"/>
                <w:szCs w:val="17"/>
                <w:lang w:val="fr-FR" w:eastAsia="en-US"/>
              </w:rPr>
              <w:t>ègle pertinente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(</w:t>
            </w:r>
            <w:r w:rsidR="00F102A1" w:rsidRPr="0063436D">
              <w:rPr>
                <w:rFonts w:eastAsia="Times New Roman"/>
                <w:sz w:val="17"/>
                <w:szCs w:val="17"/>
                <w:lang w:val="fr-FR" w:eastAsia="en-US"/>
              </w:rPr>
              <w:t>p. ex., numéro de la règle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  <w:p w14:paraId="09668CAE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45BDC64C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72460631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697ECB9C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325AEA9E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16FC7861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4462D178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21010562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481678E0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273E0F2A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017DA622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5AC99CD7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4695073F" w14:textId="77777777" w:rsidR="002D7E14" w:rsidRDefault="002D7E14" w:rsidP="002D7E14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  <w:p w14:paraId="3ED4BCEC" w14:textId="65674A2A" w:rsidR="002D7E14" w:rsidRPr="003B3A73" w:rsidRDefault="002D7E14" w:rsidP="003B3A73">
            <w:pPr>
              <w:spacing w:before="120" w:after="200" w:line="240" w:lineRule="auto"/>
              <w:rPr>
                <w:sz w:val="17"/>
                <w:szCs w:val="17"/>
                <w:lang w:val="fr-FR"/>
              </w:rPr>
            </w:pPr>
          </w:p>
        </w:tc>
      </w:tr>
      <w:tr w:rsidR="00784306" w:rsidRPr="005E6869" w14:paraId="1B390F2A" w14:textId="77777777" w:rsidTr="00442430">
        <w:trPr>
          <w:cantSplit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002B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lastRenderedPageBreak/>
              <w:t xml:space="preserve">A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42D8" w14:textId="77777777" w:rsidR="00076F3F" w:rsidRPr="0063436D" w:rsidRDefault="0008215E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begin"/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instrText xml:space="preserve"> INCLUDETEXT "</w:instrTex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begin"/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instrText xml:space="preserve"> FILENAME  \p </w:instrTex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separate"/>
            </w:r>
            <w:r w:rsidR="00784306" w:rsidRPr="0063436D">
              <w:rPr>
                <w:rFonts w:eastAsia="Times New Roman"/>
                <w:noProof/>
                <w:sz w:val="17"/>
                <w:szCs w:val="17"/>
                <w:lang w:val="fr-FR" w:eastAsia="en-US"/>
              </w:rPr>
              <w:instrText>\\wipogvafs01\usr2\Home\Elliott\- Legal Status TF\TM std\draft std\draft cws8\TM LS annex 2 - supplementary data.docx</w:instrTex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end"/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instrText xml:space="preserve">\\..\\TM LS annex 1 - event list.docx" Acatname  \* MERGEFORMAT </w:instrTex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separate"/>
            </w:r>
            <w:r w:rsidR="000E2B9A" w:rsidRPr="0063436D">
              <w:rPr>
                <w:sz w:val="17"/>
                <w:szCs w:val="17"/>
                <w:lang w:val="fr-FR"/>
              </w:rPr>
              <w:t>Dépôt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="000E2B9A" w:rsidRPr="0063436D">
              <w:rPr>
                <w:sz w:val="17"/>
                <w:szCs w:val="17"/>
                <w:lang w:val="fr-FR"/>
              </w:rPr>
              <w:t>une demande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end"/>
            </w:r>
          </w:p>
          <w:p w14:paraId="34AE456A" w14:textId="1BBE254D" w:rsidR="00784306" w:rsidRPr="0063436D" w:rsidRDefault="00E20687" w:rsidP="00E20687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désigne un groupe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événements en rapport avec le dépôt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deman</w:t>
            </w:r>
            <w:r w:rsidR="00B66A4C" w:rsidRPr="0063436D">
              <w:rPr>
                <w:sz w:val="17"/>
                <w:szCs w:val="17"/>
                <w:lang w:val="fr-FR"/>
              </w:rPr>
              <w:t>de</w:t>
            </w:r>
            <w:r w:rsidR="002D7E14" w:rsidRPr="003B3A73">
              <w:rPr>
                <w:color w:val="000000"/>
                <w:sz w:val="17"/>
                <w:szCs w:val="17"/>
                <w:u w:val="single"/>
                <w:shd w:val="clear" w:color="auto" w:fill="FFFF00"/>
                <w:lang w:val="fr-FR"/>
              </w:rPr>
              <w:t xml:space="preserve"> de marque</w:t>
            </w:r>
            <w:r w:rsidR="00B66A4C" w:rsidRPr="0063436D">
              <w:rPr>
                <w:sz w:val="17"/>
                <w:szCs w:val="17"/>
                <w:lang w:val="fr-FR"/>
              </w:rPr>
              <w:t>.  El</w:t>
            </w:r>
            <w:r w:rsidRPr="0063436D">
              <w:rPr>
                <w:sz w:val="17"/>
                <w:szCs w:val="17"/>
                <w:lang w:val="fr-FR"/>
              </w:rPr>
              <w:t>le englobe tout événement entraînant la création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nouveau numéro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élément, qu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nouvelle demande soit déposée ou non auprès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Pa</w:t>
            </w:r>
            <w:r w:rsidRPr="0063436D">
              <w:rPr>
                <w:sz w:val="17"/>
                <w:szCs w:val="17"/>
                <w:lang w:val="fr-FR"/>
              </w:rPr>
              <w:t>r exemple, elle englobe la réception par un office de propriété industrielle national ou régional ou par le Bureau international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 xml:space="preserve">Organisation </w:t>
            </w:r>
            <w:r w:rsidR="00EC77DA" w:rsidRPr="0063436D">
              <w:rPr>
                <w:sz w:val="17"/>
                <w:szCs w:val="17"/>
                <w:lang w:val="fr-FR"/>
              </w:rPr>
              <w:t>Mondiale</w:t>
            </w:r>
            <w:r w:rsidRPr="0063436D">
              <w:rPr>
                <w:sz w:val="17"/>
                <w:szCs w:val="17"/>
                <w:lang w:val="fr-FR"/>
              </w:rPr>
              <w:t xml:space="preserve"> de la </w:t>
            </w:r>
            <w:r w:rsidR="00EC77DA" w:rsidRPr="0063436D">
              <w:rPr>
                <w:sz w:val="17"/>
                <w:szCs w:val="17"/>
                <w:lang w:val="fr-FR"/>
              </w:rPr>
              <w:t>Propriété Intellectuelle</w:t>
            </w:r>
            <w:r w:rsidRPr="0063436D">
              <w:rPr>
                <w:sz w:val="17"/>
                <w:szCs w:val="17"/>
                <w:lang w:val="fr-FR"/>
              </w:rPr>
              <w:t xml:space="preserve">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demande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marque accompagnée de toute indication ou de tout élément ou document supplémentaire</w:t>
            </w:r>
            <w:r w:rsidR="005F3FE6" w:rsidRPr="0063436D">
              <w:rPr>
                <w:sz w:val="17"/>
                <w:szCs w:val="17"/>
                <w:lang w:val="fr-FR"/>
              </w:rPr>
              <w:t>s</w:t>
            </w:r>
            <w:r w:rsidRPr="0063436D">
              <w:rPr>
                <w:sz w:val="17"/>
                <w:szCs w:val="17"/>
                <w:lang w:val="fr-FR"/>
              </w:rPr>
              <w:t xml:space="preserve"> et des taxes nécessaires pour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obtention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date de dépôt en vertu de la législation nationale, de la législation ou de la convention régionale ou du système de Madrid, selon le c</w:t>
            </w:r>
            <w:r w:rsidR="00B66A4C" w:rsidRPr="0063436D">
              <w:rPr>
                <w:sz w:val="17"/>
                <w:szCs w:val="17"/>
                <w:lang w:val="fr-FR"/>
              </w:rPr>
              <w:t>as.  Ce</w:t>
            </w:r>
            <w:r w:rsidRPr="0063436D">
              <w:rPr>
                <w:sz w:val="17"/>
                <w:szCs w:val="17"/>
                <w:lang w:val="fr-FR"/>
              </w:rPr>
              <w:t>tte catégorie comprend également des événements relatifs à une demande de désignation postérieure, une demande divisionnaire, une demande de continuation ou de transformation.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D18C" w14:textId="77777777" w:rsidR="00076F3F" w:rsidRPr="0063436D" w:rsidRDefault="0044218E" w:rsidP="0044218E">
            <w:pPr>
              <w:pStyle w:val="ListParagraph"/>
              <w:numPr>
                <w:ilvl w:val="0"/>
                <w:numId w:val="29"/>
              </w:numPr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Identification de document connexe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identificateur du document parent)</w:t>
            </w:r>
          </w:p>
          <w:p w14:paraId="39D899C3" w14:textId="77777777" w:rsidR="00076F3F" w:rsidRPr="0063436D" w:rsidRDefault="0044218E" w:rsidP="0044218E">
            <w:pPr>
              <w:pStyle w:val="ListParagraph"/>
              <w:numPr>
                <w:ilvl w:val="0"/>
                <w:numId w:val="29"/>
              </w:numPr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Date de priorité</w:t>
            </w:r>
          </w:p>
          <w:p w14:paraId="458FA6A1" w14:textId="77777777" w:rsidR="00076F3F" w:rsidRPr="0063436D" w:rsidRDefault="00F102A1" w:rsidP="00442430">
            <w:pPr>
              <w:pStyle w:val="ListParagraph"/>
              <w:numPr>
                <w:ilvl w:val="0"/>
                <w:numId w:val="29"/>
              </w:numPr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au dépôt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une demande i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nternational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 ou ré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gional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</w:t>
            </w:r>
          </w:p>
          <w:p w14:paraId="32F851B2" w14:textId="77777777" w:rsidR="00076F3F" w:rsidRPr="0063436D" w:rsidRDefault="00F102A1" w:rsidP="00442430">
            <w:pPr>
              <w:pStyle w:val="ListParagraph"/>
              <w:numPr>
                <w:ilvl w:val="0"/>
                <w:numId w:val="29"/>
              </w:numPr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Données relatives au déposant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(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p. ex.,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n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m, </w:t>
            </w:r>
            <w:r w:rsidR="003F1F42" w:rsidRPr="0063436D">
              <w:rPr>
                <w:rFonts w:eastAsia="Times New Roman"/>
                <w:sz w:val="17"/>
                <w:szCs w:val="17"/>
                <w:lang w:val="fr-FR" w:eastAsia="en-US"/>
              </w:rPr>
              <w:t>coordonnées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  <w:p w14:paraId="75961D5B" w14:textId="77777777" w:rsidR="00784306" w:rsidRPr="00EC27A3" w:rsidRDefault="0044218E" w:rsidP="003B3A73">
            <w:pPr>
              <w:pStyle w:val="ListParagraph"/>
              <w:numPr>
                <w:ilvl w:val="0"/>
                <w:numId w:val="29"/>
              </w:numPr>
              <w:shd w:val="clear" w:color="auto" w:fill="FFFF00"/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</w:pPr>
            <w:r w:rsidRPr="00EC27A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>Demandes divisées</w:t>
            </w:r>
          </w:p>
          <w:p w14:paraId="0366CE09" w14:textId="77777777" w:rsidR="00210BCB" w:rsidRPr="003B3A73" w:rsidRDefault="00210BCB" w:rsidP="003B3A73">
            <w:pPr>
              <w:pStyle w:val="ListParagraph"/>
              <w:numPr>
                <w:ilvl w:val="0"/>
                <w:numId w:val="29"/>
              </w:numPr>
              <w:shd w:val="clear" w:color="auto" w:fill="FFFF00"/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Type de marque (par exemple</w:t>
            </w:r>
            <w:proofErr w:type="gramStart"/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, ,marque</w:t>
            </w:r>
            <w:proofErr w:type="gramEnd"/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 xml:space="preserve"> collective)</w:t>
            </w:r>
          </w:p>
          <w:p w14:paraId="7B62E005" w14:textId="6250CF89" w:rsidR="00210BCB" w:rsidRPr="0063436D" w:rsidRDefault="00210BCB" w:rsidP="003B3A73">
            <w:pPr>
              <w:pStyle w:val="ListParagraph"/>
              <w:numPr>
                <w:ilvl w:val="0"/>
                <w:numId w:val="29"/>
              </w:numPr>
              <w:shd w:val="clear" w:color="auto" w:fill="FFFF00"/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Type de marque (par exemple, marque figurative)</w:t>
            </w:r>
          </w:p>
        </w:tc>
      </w:tr>
      <w:tr w:rsidR="00784306" w:rsidRPr="00384B3A" w14:paraId="5518DA13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6EBC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B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1024" w14:textId="77777777" w:rsidR="0046773C" w:rsidRPr="0063436D" w:rsidRDefault="00E20687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Suspension de la demande</w:t>
            </w:r>
          </w:p>
          <w:p w14:paraId="15E81A02" w14:textId="77777777" w:rsidR="00784306" w:rsidRPr="0063436D" w:rsidRDefault="00E20687" w:rsidP="00E20687">
            <w:pPr>
              <w:spacing w:before="120" w:after="200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des événements liés à la suspension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instruction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deman</w:t>
            </w:r>
            <w:r w:rsidR="00B66A4C" w:rsidRPr="0063436D">
              <w:rPr>
                <w:sz w:val="17"/>
                <w:szCs w:val="17"/>
                <w:lang w:val="fr-FR"/>
              </w:rPr>
              <w:t>de.  El</w:t>
            </w:r>
            <w:r w:rsidRPr="0063436D">
              <w:rPr>
                <w:sz w:val="17"/>
                <w:szCs w:val="17"/>
                <w:lang w:val="fr-FR"/>
              </w:rPr>
              <w:t xml:space="preserve">le englobe par exemple une demande volontairement retirée par le déposant, qui est réputée avoir été retirée, avoir été abandonnée </w:t>
            </w:r>
            <w:proofErr w:type="gramStart"/>
            <w:r w:rsidRPr="0063436D">
              <w:rPr>
                <w:sz w:val="17"/>
                <w:szCs w:val="17"/>
                <w:lang w:val="fr-FR"/>
              </w:rPr>
              <w:t>ou</w:t>
            </w:r>
            <w:proofErr w:type="gramEnd"/>
            <w:r w:rsidRPr="0063436D">
              <w:rPr>
                <w:sz w:val="17"/>
                <w:szCs w:val="17"/>
                <w:lang w:val="fr-FR"/>
              </w:rPr>
              <w:t xml:space="preserve"> avoir expiré ou qui a été rejetée par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faire passer une demande du stade du dépôt,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examen ou de la contestation avant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au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extinction probable ou définitive.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5FB5" w14:textId="77777777" w:rsidR="00784306" w:rsidRPr="00EC27A3" w:rsidRDefault="003560AE" w:rsidP="003B3A73">
            <w:pPr>
              <w:pStyle w:val="ListParagraph"/>
              <w:numPr>
                <w:ilvl w:val="0"/>
                <w:numId w:val="32"/>
              </w:numPr>
              <w:shd w:val="clear" w:color="auto" w:fill="FFFF00"/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</w:pPr>
            <w:r w:rsidRPr="00EC27A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 xml:space="preserve">Motif </w:t>
            </w:r>
            <w:r w:rsidR="006F5353" w:rsidRPr="00EC27A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>de n</w:t>
            </w:r>
            <w:r w:rsidRPr="00EC27A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>on</w:t>
            </w:r>
            <w:r w:rsidR="0046773C" w:rsidRPr="00EC27A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>-</w:t>
            </w:r>
            <w:r w:rsidRPr="00EC27A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>entrée en vigueur</w:t>
            </w:r>
          </w:p>
          <w:p w14:paraId="043A8BFB" w14:textId="283D2312" w:rsidR="00B81D83" w:rsidRPr="0063436D" w:rsidRDefault="00B81D83" w:rsidP="003B3A73">
            <w:pPr>
              <w:pStyle w:val="ListParagraph"/>
              <w:numPr>
                <w:ilvl w:val="0"/>
                <w:numId w:val="32"/>
              </w:numPr>
              <w:shd w:val="clear" w:color="auto" w:fill="FFFF00"/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Informations judiciaires</w:t>
            </w:r>
          </w:p>
        </w:tc>
      </w:tr>
      <w:tr w:rsidR="00784306" w:rsidRPr="00384B3A" w14:paraId="0709F539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E617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lastRenderedPageBreak/>
              <w:t xml:space="preserve">C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DC5F" w14:textId="77777777" w:rsidR="0046773C" w:rsidRPr="0063436D" w:rsidRDefault="0056099D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Réactivation de la demande</w:t>
            </w:r>
          </w:p>
          <w:p w14:paraId="409FDE16" w14:textId="77777777" w:rsidR="00784306" w:rsidRPr="0063436D" w:rsidRDefault="0056099D" w:rsidP="0056099D">
            <w:pPr>
              <w:spacing w:before="120" w:after="200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des événements liés à la réactivation, au rétablissement ou à la restauration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demande après que celle</w:t>
            </w:r>
            <w:r w:rsidR="0046773C" w:rsidRPr="0063436D">
              <w:rPr>
                <w:sz w:val="17"/>
                <w:szCs w:val="17"/>
                <w:lang w:val="fr-FR"/>
              </w:rPr>
              <w:t>-</w:t>
            </w:r>
            <w:r w:rsidRPr="0063436D">
              <w:rPr>
                <w:sz w:val="17"/>
                <w:szCs w:val="17"/>
                <w:lang w:val="fr-FR"/>
              </w:rPr>
              <w:t>ci a été suspendue, lorsque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autori</w:t>
            </w:r>
            <w:r w:rsidR="00B66A4C" w:rsidRPr="0063436D">
              <w:rPr>
                <w:sz w:val="17"/>
                <w:szCs w:val="17"/>
                <w:lang w:val="fr-FR"/>
              </w:rPr>
              <w:t>se.  El</w:t>
            </w:r>
            <w:r w:rsidRPr="0063436D">
              <w:rPr>
                <w:sz w:val="17"/>
                <w:szCs w:val="17"/>
                <w:lang w:val="fr-FR"/>
              </w:rPr>
              <w:t>le comprend par exemple les demandes réactivées à la suite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demande de réactivation après paiement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taxe en suspens,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réponse à une action en suspens ou à une décision ayant abouti à la suspension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instruction, ou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recou</w:t>
            </w:r>
            <w:r w:rsidR="00B66A4C" w:rsidRPr="0063436D">
              <w:rPr>
                <w:sz w:val="17"/>
                <w:szCs w:val="17"/>
                <w:lang w:val="fr-FR"/>
              </w:rPr>
              <w:t>rs.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faire passer une demande du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extinction probable ou définitive au stade du dépôt,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examen ou de la contestation avant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 xml:space="preserve">enregistrement.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C6F6" w14:textId="77777777" w:rsidR="00076F3F" w:rsidRPr="0063436D" w:rsidRDefault="0044218E" w:rsidP="0044218E">
            <w:pPr>
              <w:pStyle w:val="ListParagraph"/>
              <w:numPr>
                <w:ilvl w:val="0"/>
                <w:numId w:val="8"/>
              </w:numPr>
              <w:spacing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Date de suspension</w:t>
            </w:r>
          </w:p>
          <w:p w14:paraId="2BA65544" w14:textId="77777777" w:rsidR="00784306" w:rsidRPr="003B3A73" w:rsidRDefault="0068791F" w:rsidP="003B3A73">
            <w:pPr>
              <w:pStyle w:val="ListParagraph"/>
              <w:numPr>
                <w:ilvl w:val="0"/>
                <w:numId w:val="8"/>
              </w:numPr>
              <w:shd w:val="clear" w:color="auto" w:fill="FFFF00"/>
              <w:spacing w:after="200" w:line="240" w:lineRule="auto"/>
              <w:ind w:left="459" w:hanging="425"/>
              <w:contextualSpacing w:val="0"/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</w:pPr>
            <w:r w:rsidRPr="003B3A7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 xml:space="preserve">Motif </w:t>
            </w:r>
            <w:r w:rsidR="007A488C" w:rsidRPr="003B3A7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>de n</w:t>
            </w:r>
            <w:r w:rsidRPr="003B3A7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>on</w:t>
            </w:r>
            <w:r w:rsidR="0046773C" w:rsidRPr="003B3A7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>-</w:t>
            </w:r>
            <w:r w:rsidRPr="003B3A7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>entrée en vigueur</w:t>
            </w:r>
            <w:r w:rsidR="00784306" w:rsidRPr="003B3A7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 xml:space="preserve"> </w:t>
            </w:r>
          </w:p>
          <w:p w14:paraId="3B38A475" w14:textId="5C7975CB" w:rsidR="00B81D83" w:rsidRPr="0063436D" w:rsidRDefault="00B81D83" w:rsidP="003B3A73">
            <w:pPr>
              <w:pStyle w:val="ListParagraph"/>
              <w:numPr>
                <w:ilvl w:val="0"/>
                <w:numId w:val="8"/>
              </w:numPr>
              <w:shd w:val="clear" w:color="auto" w:fill="FFFF00"/>
              <w:spacing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Motif de réactivation</w:t>
            </w:r>
          </w:p>
        </w:tc>
      </w:tr>
      <w:tr w:rsidR="00784306" w:rsidRPr="005E6869" w14:paraId="0A02F250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195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D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BB9C" w14:textId="77777777" w:rsidR="0046773C" w:rsidRPr="0063436D" w:rsidRDefault="00E07697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Recherche et examen</w:t>
            </w:r>
          </w:p>
          <w:p w14:paraId="3AE31847" w14:textId="77777777" w:rsidR="00784306" w:rsidRPr="0063436D" w:rsidRDefault="00E07697" w:rsidP="00E07697">
            <w:pPr>
              <w:spacing w:after="200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la procédure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examen et aux recherches des droits antérieurs qui précèdent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acceptation ou le rejet de la marq</w:t>
            </w:r>
            <w:r w:rsidR="00B66A4C" w:rsidRPr="0063436D">
              <w:rPr>
                <w:sz w:val="17"/>
                <w:szCs w:val="17"/>
                <w:lang w:val="fr-FR"/>
              </w:rPr>
              <w:t>ue.  El</w:t>
            </w:r>
            <w:r w:rsidRPr="0063436D">
              <w:rPr>
                <w:sz w:val="17"/>
                <w:szCs w:val="17"/>
                <w:lang w:val="fr-FR"/>
              </w:rPr>
              <w:t>le englobe par exemple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examen quant à la forme ou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examen quant au fo</w:t>
            </w:r>
            <w:r w:rsidR="00B66A4C" w:rsidRPr="0063436D">
              <w:rPr>
                <w:sz w:val="17"/>
                <w:szCs w:val="17"/>
                <w:lang w:val="fr-FR"/>
              </w:rPr>
              <w:t>nd.  El</w:t>
            </w:r>
            <w:r w:rsidRPr="0063436D">
              <w:rPr>
                <w:sz w:val="17"/>
                <w:szCs w:val="17"/>
                <w:lang w:val="fr-FR"/>
              </w:rPr>
              <w:t>le comprend également la demande de recherche des droits antérieurs et la déclaration selon laquelle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a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intention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enregistrer la marque ou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octroyer un droit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faire passer une demande du stade du dépôt ou de la contestation avant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au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 xml:space="preserve">examen.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3602" w14:textId="77777777" w:rsidR="00076F3F" w:rsidRPr="0063436D" w:rsidRDefault="000865CD" w:rsidP="00442430">
            <w:pPr>
              <w:pStyle w:val="ListParagraph"/>
              <w:numPr>
                <w:ilvl w:val="0"/>
                <w:numId w:val="31"/>
              </w:numPr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Catégorie </w:t>
            </w:r>
            <w:r w:rsidR="002A5182" w:rsidRPr="0063436D">
              <w:rPr>
                <w:sz w:val="16"/>
                <w:szCs w:val="16"/>
                <w:lang w:val="fr-FR"/>
              </w:rPr>
              <w:t>“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origine de la recherche</w:t>
            </w:r>
            <w:r w:rsidR="002A5182" w:rsidRPr="0063436D">
              <w:rPr>
                <w:sz w:val="16"/>
                <w:szCs w:val="16"/>
                <w:lang w:val="fr-FR"/>
              </w:rPr>
              <w:t>”</w:t>
            </w:r>
          </w:p>
          <w:p w14:paraId="3C4FB8E1" w14:textId="77777777" w:rsidR="00076F3F" w:rsidRPr="0063436D" w:rsidRDefault="00EA5A94" w:rsidP="00EA5A94">
            <w:pPr>
              <w:pStyle w:val="ListParagraph"/>
              <w:numPr>
                <w:ilvl w:val="0"/>
                <w:numId w:val="31"/>
              </w:numPr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Demandeur de la recherche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déposant, tiers, ou office de manière indépendante)</w:t>
            </w:r>
          </w:p>
          <w:p w14:paraId="59745485" w14:textId="77777777" w:rsidR="00076F3F" w:rsidRPr="0063436D" w:rsidRDefault="00EA5A94" w:rsidP="00EA5A94">
            <w:pPr>
              <w:pStyle w:val="ListParagraph"/>
              <w:numPr>
                <w:ilvl w:val="0"/>
                <w:numId w:val="31"/>
              </w:numPr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Demandeur de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examen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déposant, tiers, ou office de manière indépendante)</w:t>
            </w:r>
          </w:p>
          <w:p w14:paraId="5EDB68C7" w14:textId="77777777" w:rsidR="00076F3F" w:rsidRPr="0063436D" w:rsidRDefault="003F1F42" w:rsidP="00442430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à la p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ublication</w:t>
            </w:r>
          </w:p>
          <w:p w14:paraId="224F7ACE" w14:textId="77777777" w:rsidR="00076F3F" w:rsidRPr="0063436D" w:rsidRDefault="003F1F42" w:rsidP="00EA5A94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à la p</w:t>
            </w:r>
            <w:r w:rsidR="00EA5A94" w:rsidRPr="0063436D">
              <w:rPr>
                <w:rFonts w:eastAsia="Times New Roman"/>
                <w:sz w:val="17"/>
                <w:szCs w:val="17"/>
                <w:lang w:val="fr-FR" w:eastAsia="en-US"/>
              </w:rPr>
              <w:t>riorit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é</w:t>
            </w:r>
          </w:p>
          <w:p w14:paraId="5E26E283" w14:textId="77777777" w:rsidR="00076F3F" w:rsidRPr="0063436D" w:rsidRDefault="000865CD" w:rsidP="00442430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aux d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ocuments 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connexes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(</w:t>
            </w:r>
            <w:r w:rsidR="003149C7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p. ex., données relatives au dépôt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r</w:t>
            </w:r>
            <w:r w:rsidR="003149C7" w:rsidRPr="0063436D">
              <w:rPr>
                <w:rFonts w:eastAsia="Times New Roman"/>
                <w:sz w:val="17"/>
                <w:szCs w:val="17"/>
                <w:lang w:val="fr-FR" w:eastAsia="en-US"/>
              </w:rPr>
              <w:t>é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gional</w:t>
            </w:r>
            <w:r w:rsidR="003149C7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, données relatives au dépôt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international)</w:t>
            </w:r>
          </w:p>
          <w:p w14:paraId="2CC29678" w14:textId="77777777" w:rsidR="00784306" w:rsidRPr="00EC27A3" w:rsidRDefault="00EA5A94" w:rsidP="003B3A73">
            <w:pPr>
              <w:pStyle w:val="ListParagraph"/>
              <w:numPr>
                <w:ilvl w:val="0"/>
                <w:numId w:val="31"/>
              </w:numPr>
              <w:shd w:val="clear" w:color="auto" w:fill="FFFF00"/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</w:pPr>
            <w:r w:rsidRPr="00EC27A3">
              <w:rPr>
                <w:rFonts w:eastAsia="Times New Roman"/>
                <w:sz w:val="17"/>
                <w:szCs w:val="17"/>
                <w:u w:val="single"/>
                <w:lang w:val="fr-FR" w:eastAsia="en-US"/>
              </w:rPr>
              <w:t>Données relatives aux demandes</w:t>
            </w:r>
          </w:p>
          <w:p w14:paraId="6CAA6E6B" w14:textId="77777777" w:rsidR="00B81D83" w:rsidRPr="003B3A73" w:rsidRDefault="00B81D83" w:rsidP="003B3A73">
            <w:pPr>
              <w:pStyle w:val="ListParagraph"/>
              <w:numPr>
                <w:ilvl w:val="0"/>
                <w:numId w:val="31"/>
              </w:numPr>
              <w:shd w:val="clear" w:color="auto" w:fill="FFFF00"/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Type d’examen (par exemple, examen quant au fond)</w:t>
            </w:r>
          </w:p>
          <w:p w14:paraId="7383FB8E" w14:textId="77777777" w:rsidR="00B81D83" w:rsidRPr="003B3A73" w:rsidRDefault="00B81D83" w:rsidP="003B3A73">
            <w:pPr>
              <w:pStyle w:val="ListParagraph"/>
              <w:numPr>
                <w:ilvl w:val="0"/>
                <w:numId w:val="31"/>
              </w:numPr>
              <w:shd w:val="clear" w:color="auto" w:fill="FFFF00"/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Données du rapport d’examen</w:t>
            </w:r>
          </w:p>
          <w:p w14:paraId="14CCA5D7" w14:textId="696F279C" w:rsidR="00B81D83" w:rsidRPr="0063436D" w:rsidRDefault="00B81D83" w:rsidP="003B3A73">
            <w:pPr>
              <w:pStyle w:val="ListParagraph"/>
              <w:numPr>
                <w:ilvl w:val="0"/>
                <w:numId w:val="31"/>
              </w:numPr>
              <w:shd w:val="clear" w:color="auto" w:fill="FFFF00"/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Données du rapport de recherche</w:t>
            </w:r>
          </w:p>
        </w:tc>
      </w:tr>
      <w:tr w:rsidR="00784306" w:rsidRPr="005E6869" w14:paraId="77FE9E80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AC4C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E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B328" w14:textId="77777777" w:rsidR="00076F3F" w:rsidRPr="0063436D" w:rsidRDefault="001949CC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Demande de réexamen avant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enregistrement</w:t>
            </w:r>
          </w:p>
          <w:p w14:paraId="4BD1CD50" w14:textId="77777777" w:rsidR="00784306" w:rsidRPr="0063436D" w:rsidRDefault="001949CC" w:rsidP="001949CC">
            <w:pPr>
              <w:spacing w:after="200"/>
              <w:ind w:hanging="14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la demande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réexamen avant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</w:t>
            </w:r>
            <w:r w:rsidR="00B66A4C" w:rsidRPr="0063436D">
              <w:rPr>
                <w:sz w:val="17"/>
                <w:szCs w:val="17"/>
                <w:lang w:val="fr-FR"/>
              </w:rPr>
              <w:t>nt.  El</w:t>
            </w:r>
            <w:r w:rsidRPr="0063436D">
              <w:rPr>
                <w:sz w:val="17"/>
                <w:szCs w:val="17"/>
                <w:lang w:val="fr-FR"/>
              </w:rPr>
              <w:t>le englobe par exemple les demandes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opposition, de réexamen ou de limitation avant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</w:t>
            </w:r>
            <w:r w:rsidR="00B66A4C" w:rsidRPr="0063436D">
              <w:rPr>
                <w:sz w:val="17"/>
                <w:szCs w:val="17"/>
                <w:lang w:val="fr-FR"/>
              </w:rPr>
              <w:t>nt.  El</w:t>
            </w:r>
            <w:r w:rsidRPr="0063436D">
              <w:rPr>
                <w:sz w:val="17"/>
                <w:szCs w:val="17"/>
                <w:lang w:val="fr-FR"/>
              </w:rPr>
              <w:t>le comprend également les cas où ces demandes ont été déclarées irrecevables, ont été rejetées ou ont été retiré</w:t>
            </w:r>
            <w:r w:rsidR="00B66A4C" w:rsidRPr="0063436D">
              <w:rPr>
                <w:sz w:val="17"/>
                <w:szCs w:val="17"/>
                <w:lang w:val="fr-FR"/>
              </w:rPr>
              <w:t>es.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faire passer une demande du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examen ou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extinction probable ou définitive au stade de la contestation avant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505A" w14:textId="77777777" w:rsidR="0046773C" w:rsidRPr="0063436D" w:rsidRDefault="00EA5A94" w:rsidP="00EA5A94">
            <w:pPr>
              <w:pStyle w:val="ListParagraph"/>
              <w:numPr>
                <w:ilvl w:val="0"/>
                <w:numId w:val="30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concernant le tribunal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nom du tribunal, organe de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office)</w:t>
            </w:r>
          </w:p>
          <w:p w14:paraId="021D61D1" w14:textId="77777777" w:rsidR="0046773C" w:rsidRPr="0063436D" w:rsidRDefault="00EA5A94" w:rsidP="00EA5A94">
            <w:pPr>
              <w:pStyle w:val="ListParagraph"/>
              <w:numPr>
                <w:ilvl w:val="0"/>
                <w:numId w:val="30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Nom de la ou des parties</w:t>
            </w:r>
          </w:p>
          <w:p w14:paraId="3C3E4F97" w14:textId="77777777" w:rsidR="00076F3F" w:rsidRPr="0063436D" w:rsidRDefault="00784306" w:rsidP="00784306">
            <w:pPr>
              <w:pStyle w:val="ListParagraph"/>
              <w:numPr>
                <w:ilvl w:val="0"/>
                <w:numId w:val="30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br w:type="page"/>
            </w:r>
            <w:r w:rsidR="003149C7"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au(x) mandataire(s) (p. ex., nom(s) et coordonnées)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br w:type="page"/>
            </w:r>
          </w:p>
          <w:p w14:paraId="3D802455" w14:textId="77777777" w:rsidR="00784306" w:rsidRPr="0063436D" w:rsidRDefault="00F75855" w:rsidP="00F75855">
            <w:pPr>
              <w:pStyle w:val="ListParagraph"/>
              <w:numPr>
                <w:ilvl w:val="0"/>
                <w:numId w:val="30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Données relatives à la procédure de réexamen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(</w:t>
            </w:r>
            <w:r w:rsidR="003F1F42" w:rsidRPr="0063436D">
              <w:rPr>
                <w:rFonts w:eastAsia="Times New Roman"/>
                <w:sz w:val="17"/>
                <w:szCs w:val="17"/>
                <w:lang w:val="fr-FR" w:eastAsia="en-US"/>
              </w:rPr>
              <w:t>p.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="003F1F42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ex., date,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r</w:t>
            </w:r>
            <w:r w:rsidR="003F1F42" w:rsidRPr="0063436D">
              <w:rPr>
                <w:rFonts w:eastAsia="Times New Roman"/>
                <w:sz w:val="17"/>
                <w:szCs w:val="17"/>
                <w:lang w:val="fr-FR" w:eastAsia="en-US"/>
              </w:rPr>
              <w:t>é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f</w:t>
            </w:r>
            <w:r w:rsidR="003F1F42" w:rsidRPr="0063436D">
              <w:rPr>
                <w:rFonts w:eastAsia="Times New Roman"/>
                <w:sz w:val="17"/>
                <w:szCs w:val="17"/>
                <w:lang w:val="fr-FR" w:eastAsia="en-US"/>
              </w:rPr>
              <w:t>é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rence, langue</w:t>
            </w:r>
            <w:r w:rsidR="003F1F42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de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="003F1F42" w:rsidRPr="0063436D">
              <w:rPr>
                <w:rFonts w:eastAsia="Times New Roman"/>
                <w:sz w:val="17"/>
                <w:szCs w:val="17"/>
                <w:lang w:val="fr-FR" w:eastAsia="en-US"/>
              </w:rPr>
              <w:t>opposition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</w:tc>
      </w:tr>
      <w:tr w:rsidR="00784306" w:rsidRPr="005E6869" w14:paraId="278C1429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9B98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lastRenderedPageBreak/>
              <w:t xml:space="preserve">F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033D" w14:textId="77777777" w:rsidR="0046773C" w:rsidRPr="0063436D" w:rsidRDefault="005B615F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Enregistrement de la marque</w:t>
            </w:r>
          </w:p>
          <w:p w14:paraId="5F9A2016" w14:textId="77777777" w:rsidR="00784306" w:rsidRPr="0063436D" w:rsidRDefault="00A66B7C" w:rsidP="00A66B7C">
            <w:pPr>
              <w:spacing w:after="200"/>
              <w:ind w:hanging="14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qui se rapportent à la date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effet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octroi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industrielle ou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inscription de la marque au registre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Il</w:t>
            </w:r>
            <w:r w:rsidRPr="0063436D">
              <w:rPr>
                <w:sz w:val="17"/>
                <w:szCs w:val="17"/>
                <w:lang w:val="fr-FR"/>
              </w:rPr>
              <w:t xml:space="preserve"> peut s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agir par exemple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marque ou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octroi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industrielle à la suite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examen,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recours,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réexamen avant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ou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irrecevabilité, du rejet ou du retrait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demande de réexamen avant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</w:t>
            </w:r>
            <w:r w:rsidR="00B66A4C" w:rsidRPr="0063436D">
              <w:rPr>
                <w:sz w:val="17"/>
                <w:szCs w:val="17"/>
                <w:lang w:val="fr-FR"/>
              </w:rPr>
              <w:t>nt.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faire passer une demande du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examen ou de la contestation avant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au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 xml:space="preserve">enregistrement.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DF88" w14:textId="77777777" w:rsidR="00076F3F" w:rsidRPr="0063436D" w:rsidRDefault="00EA5A94" w:rsidP="00EA5A94">
            <w:pPr>
              <w:pStyle w:val="ListParagraph"/>
              <w:numPr>
                <w:ilvl w:val="0"/>
                <w:numId w:val="28"/>
              </w:numPr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Nom du titulaire inscrit</w:t>
            </w:r>
          </w:p>
          <w:p w14:paraId="130541B2" w14:textId="77777777" w:rsidR="00076F3F" w:rsidRPr="0063436D" w:rsidRDefault="00F2378A" w:rsidP="00F2378A">
            <w:pPr>
              <w:pStyle w:val="ListParagraph"/>
              <w:numPr>
                <w:ilvl w:val="0"/>
                <w:numId w:val="28"/>
              </w:numPr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Renvoi à une décision de réexamen avant la délivrance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ordonnance du tribunal à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issue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un réexamen avant la délivrance)</w:t>
            </w:r>
          </w:p>
          <w:p w14:paraId="4BB6029C" w14:textId="7D51C4A7" w:rsidR="00076F3F" w:rsidRDefault="00F75855" w:rsidP="00F2378A">
            <w:pPr>
              <w:pStyle w:val="ListParagraph"/>
              <w:numPr>
                <w:ilvl w:val="0"/>
                <w:numId w:val="28"/>
              </w:numPr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à la p</w:t>
            </w:r>
            <w:r w:rsidR="00F2378A" w:rsidRPr="0063436D">
              <w:rPr>
                <w:rFonts w:eastAsia="Times New Roman"/>
                <w:sz w:val="17"/>
                <w:szCs w:val="17"/>
                <w:lang w:val="fr-FR" w:eastAsia="en-US"/>
              </w:rPr>
              <w:t>riorit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é</w:t>
            </w:r>
          </w:p>
          <w:p w14:paraId="057FFE59" w14:textId="147BC1EC" w:rsidR="00784306" w:rsidRPr="003B3A73" w:rsidRDefault="003B3A73" w:rsidP="003B3A73">
            <w:pPr>
              <w:pStyle w:val="ListParagraph"/>
              <w:numPr>
                <w:ilvl w:val="0"/>
                <w:numId w:val="28"/>
              </w:numPr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>
              <w:rPr>
                <w:rFonts w:eastAsia="Times New Roman"/>
                <w:sz w:val="17"/>
                <w:szCs w:val="17"/>
                <w:lang w:val="fr-FR" w:eastAsia="en-US"/>
              </w:rPr>
              <w:t>Données de classement</w:t>
            </w:r>
          </w:p>
          <w:p w14:paraId="447BABF1" w14:textId="77777777" w:rsidR="00B81D83" w:rsidRPr="003B3A73" w:rsidRDefault="00B81D83" w:rsidP="003B3A73">
            <w:pPr>
              <w:pStyle w:val="ListParagraph"/>
              <w:numPr>
                <w:ilvl w:val="0"/>
                <w:numId w:val="28"/>
              </w:numPr>
              <w:shd w:val="clear" w:color="auto" w:fill="FFFF00"/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Type de marque (par exemple, marque collective)</w:t>
            </w:r>
          </w:p>
          <w:p w14:paraId="208EF650" w14:textId="412D5BF1" w:rsidR="00B81D83" w:rsidRPr="0063436D" w:rsidRDefault="00B81D83" w:rsidP="003B3A73">
            <w:pPr>
              <w:pStyle w:val="ListParagraph"/>
              <w:numPr>
                <w:ilvl w:val="0"/>
                <w:numId w:val="28"/>
              </w:numPr>
              <w:shd w:val="clear" w:color="auto" w:fill="FFFF00"/>
              <w:spacing w:before="120" w:after="200" w:line="240" w:lineRule="auto"/>
              <w:ind w:left="461" w:hanging="432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Type de marque (par exemple, marque figurative)</w:t>
            </w:r>
          </w:p>
        </w:tc>
      </w:tr>
      <w:tr w:rsidR="00784306" w:rsidRPr="00384B3A" w14:paraId="0A0E71E5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2C1B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H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DF07" w14:textId="77777777" w:rsidR="0046773C" w:rsidRPr="0063436D" w:rsidRDefault="00A66B7C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Suspension du droit de propriété industrielle</w:t>
            </w:r>
          </w:p>
          <w:p w14:paraId="725ED380" w14:textId="77777777" w:rsidR="00784306" w:rsidRPr="0063436D" w:rsidRDefault="00A66B7C" w:rsidP="00A66B7C">
            <w:pPr>
              <w:spacing w:before="120" w:after="200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la suspension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El</w:t>
            </w:r>
            <w:r w:rsidRPr="0063436D">
              <w:rPr>
                <w:sz w:val="17"/>
                <w:szCs w:val="17"/>
                <w:lang w:val="fr-FR"/>
              </w:rPr>
              <w:t>le englobe par exemple la suspension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industrielle à la suite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réexamen,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recours,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refus de rétablissement du droit,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déchéance ou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expirati</w:t>
            </w:r>
            <w:r w:rsidR="00B66A4C" w:rsidRPr="0063436D">
              <w:rPr>
                <w:sz w:val="17"/>
                <w:szCs w:val="17"/>
                <w:lang w:val="fr-FR"/>
              </w:rPr>
              <w:t>on.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faire passer un droit de propriété industrielle du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ou de la contestation après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au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 xml:space="preserve">extinction probable ou définitive.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CC0A" w14:textId="77777777" w:rsidR="00076F3F" w:rsidRPr="0063436D" w:rsidRDefault="00D659A0" w:rsidP="00784306">
            <w:pPr>
              <w:pStyle w:val="ListParagraph"/>
              <w:numPr>
                <w:ilvl w:val="0"/>
                <w:numId w:val="27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Date de début de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ffet 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juridique</w:t>
            </w:r>
          </w:p>
          <w:p w14:paraId="76745CE4" w14:textId="6ACB41FD" w:rsidR="00076F3F" w:rsidRDefault="00F2378A" w:rsidP="00F2378A">
            <w:pPr>
              <w:pStyle w:val="ListParagraph"/>
              <w:numPr>
                <w:ilvl w:val="0"/>
                <w:numId w:val="27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Catégorie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autorité décisionnaire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tribunal national, office de propriété industrielle)</w:t>
            </w:r>
          </w:p>
          <w:p w14:paraId="01C57234" w14:textId="2B3EF02E" w:rsidR="00784306" w:rsidRPr="003B3A73" w:rsidRDefault="003B3A73" w:rsidP="003B3A73">
            <w:pPr>
              <w:pStyle w:val="ListParagraph"/>
              <w:numPr>
                <w:ilvl w:val="0"/>
                <w:numId w:val="27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>
              <w:rPr>
                <w:rFonts w:eastAsia="Times New Roman"/>
                <w:sz w:val="17"/>
                <w:szCs w:val="17"/>
                <w:lang w:val="fr-FR" w:eastAsia="en-US"/>
              </w:rPr>
              <w:t>Motif de non-entrée en vigueur</w:t>
            </w:r>
          </w:p>
          <w:p w14:paraId="691C9F0C" w14:textId="72786EA2" w:rsidR="00B81D83" w:rsidRPr="0063436D" w:rsidRDefault="00B81D83" w:rsidP="003B3A73">
            <w:pPr>
              <w:pStyle w:val="ListParagraph"/>
              <w:numPr>
                <w:ilvl w:val="0"/>
                <w:numId w:val="27"/>
              </w:numPr>
              <w:shd w:val="clear" w:color="auto" w:fill="FFFF00"/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Informations judiciaires</w:t>
            </w:r>
          </w:p>
        </w:tc>
      </w:tr>
      <w:tr w:rsidR="00784306" w:rsidRPr="0063436D" w14:paraId="672FE6AB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0C32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K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C83C" w14:textId="77777777" w:rsidR="0046773C" w:rsidRPr="0063436D" w:rsidRDefault="00EF3B02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Réactivation du droit de propriété industrielle</w:t>
            </w:r>
          </w:p>
          <w:p w14:paraId="6242791E" w14:textId="77777777" w:rsidR="00784306" w:rsidRPr="0063436D" w:rsidRDefault="00EF3B02" w:rsidP="00EF3B02">
            <w:pPr>
              <w:spacing w:after="200"/>
              <w:ind w:hanging="14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la réactivation, au rétablissement ou à la restauration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industrielle après sa suspensi</w:t>
            </w:r>
            <w:r w:rsidR="00B66A4C" w:rsidRPr="0063436D">
              <w:rPr>
                <w:sz w:val="17"/>
                <w:szCs w:val="17"/>
                <w:lang w:val="fr-FR"/>
              </w:rPr>
              <w:t>on.  El</w:t>
            </w:r>
            <w:r w:rsidRPr="0063436D">
              <w:rPr>
                <w:sz w:val="17"/>
                <w:szCs w:val="17"/>
                <w:lang w:val="fr-FR"/>
              </w:rPr>
              <w:t xml:space="preserve">le comprend par exemple la demande de réactivation et la décision de réactiver un droit de propriété industrielle, </w:t>
            </w:r>
            <w:r w:rsidR="0046773C" w:rsidRPr="0063436D">
              <w:rPr>
                <w:sz w:val="17"/>
                <w:szCs w:val="17"/>
                <w:lang w:val="fr-FR"/>
              </w:rPr>
              <w:t>y compris</w:t>
            </w:r>
            <w:r w:rsidRPr="0063436D">
              <w:rPr>
                <w:sz w:val="17"/>
                <w:szCs w:val="17"/>
                <w:lang w:val="fr-FR"/>
              </w:rPr>
              <w:t xml:space="preserve"> à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issue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recou</w:t>
            </w:r>
            <w:r w:rsidR="00B66A4C" w:rsidRPr="0063436D">
              <w:rPr>
                <w:sz w:val="17"/>
                <w:szCs w:val="17"/>
                <w:lang w:val="fr-FR"/>
              </w:rPr>
              <w:t>rs.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faire passer un droit de propriété industrielle du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extinction probable ou définitive au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ou de la contestation après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 xml:space="preserve">enregistrement.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4D24" w14:textId="77777777" w:rsidR="00076F3F" w:rsidRPr="0063436D" w:rsidRDefault="00F2378A" w:rsidP="00F2378A">
            <w:pPr>
              <w:pStyle w:val="ListParagraph"/>
              <w:numPr>
                <w:ilvl w:val="0"/>
                <w:numId w:val="26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Catégorie de motif de rétablissement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ex., </w:t>
            </w:r>
            <w:proofErr w:type="gramStart"/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suite au</w:t>
            </w:r>
            <w:proofErr w:type="gramEnd"/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paiement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une taxe)</w:t>
            </w:r>
          </w:p>
          <w:p w14:paraId="03F51E5F" w14:textId="77777777" w:rsidR="00076F3F" w:rsidRPr="0063436D" w:rsidRDefault="00F2378A" w:rsidP="00F2378A">
            <w:pPr>
              <w:pStyle w:val="ListParagraph"/>
              <w:numPr>
                <w:ilvl w:val="0"/>
                <w:numId w:val="26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Date de cessation</w:t>
            </w:r>
          </w:p>
          <w:p w14:paraId="6D9AD024" w14:textId="77777777" w:rsidR="00784306" w:rsidRPr="0063436D" w:rsidRDefault="00F2378A" w:rsidP="00F2378A">
            <w:pPr>
              <w:pStyle w:val="ListParagraph"/>
              <w:numPr>
                <w:ilvl w:val="0"/>
                <w:numId w:val="26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Date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expiration</w:t>
            </w:r>
          </w:p>
        </w:tc>
      </w:tr>
      <w:tr w:rsidR="00784306" w:rsidRPr="005E6869" w14:paraId="1C9FCC76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160C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lastRenderedPageBreak/>
              <w:t xml:space="preserve">L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A1BA" w14:textId="77777777" w:rsidR="0046773C" w:rsidRPr="0063436D" w:rsidRDefault="00B85AFC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Demande de réexamen du droit de propriété industrielle</w:t>
            </w:r>
          </w:p>
          <w:p w14:paraId="58F42E77" w14:textId="77777777" w:rsidR="00784306" w:rsidRPr="0063436D" w:rsidRDefault="00B85AFC" w:rsidP="00B85AFC">
            <w:pPr>
              <w:spacing w:after="200"/>
              <w:ind w:hanging="14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une demande de réexamen à la suite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marque ou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octroi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El</w:t>
            </w:r>
            <w:r w:rsidRPr="0063436D">
              <w:rPr>
                <w:sz w:val="17"/>
                <w:szCs w:val="17"/>
                <w:lang w:val="fr-FR"/>
              </w:rPr>
              <w:t>le englobe par exemple les demandes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opposition après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enregistrement, de réexamen après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 xml:space="preserve">enregistrement, de limitation, de </w:t>
            </w:r>
            <w:proofErr w:type="spellStart"/>
            <w:r w:rsidRPr="0063436D">
              <w:rPr>
                <w:sz w:val="17"/>
                <w:szCs w:val="17"/>
                <w:lang w:val="fr-FR"/>
              </w:rPr>
              <w:t>redélivrance</w:t>
            </w:r>
            <w:proofErr w:type="spellEnd"/>
            <w:r w:rsidRPr="0063436D">
              <w:rPr>
                <w:sz w:val="17"/>
                <w:szCs w:val="17"/>
                <w:lang w:val="fr-FR"/>
              </w:rPr>
              <w:t>, de renonciation ou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invalidati</w:t>
            </w:r>
            <w:r w:rsidR="00B66A4C" w:rsidRPr="0063436D">
              <w:rPr>
                <w:sz w:val="17"/>
                <w:szCs w:val="17"/>
                <w:lang w:val="fr-FR"/>
              </w:rPr>
              <w:t>on.  El</w:t>
            </w:r>
            <w:r w:rsidRPr="0063436D">
              <w:rPr>
                <w:sz w:val="17"/>
                <w:szCs w:val="17"/>
                <w:lang w:val="fr-FR"/>
              </w:rPr>
              <w:t>le comprend également les cas où ces demandes ont été déclarées irrecevables, ont été rejetées ou ont été retiré</w:t>
            </w:r>
            <w:r w:rsidR="00B66A4C" w:rsidRPr="0063436D">
              <w:rPr>
                <w:sz w:val="17"/>
                <w:szCs w:val="17"/>
                <w:lang w:val="fr-FR"/>
              </w:rPr>
              <w:t>es.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faire passer un droit de propriété industrielle du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ou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extinction probable ou définitive au stade de la contestation après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 xml:space="preserve">enregistrement.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7987" w14:textId="77777777" w:rsidR="0046773C" w:rsidRPr="0063436D" w:rsidRDefault="00F2378A" w:rsidP="00F2378A">
            <w:pPr>
              <w:pStyle w:val="ListParagraph"/>
              <w:numPr>
                <w:ilvl w:val="0"/>
                <w:numId w:val="25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Nom de la ou des parties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br w:type="page"/>
            </w:r>
          </w:p>
          <w:p w14:paraId="75EDF1E7" w14:textId="2890DF1E" w:rsidR="00076F3F" w:rsidRDefault="00F75855" w:rsidP="00784306">
            <w:pPr>
              <w:pStyle w:val="ListParagraph"/>
              <w:numPr>
                <w:ilvl w:val="0"/>
                <w:numId w:val="25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au</w:t>
            </w:r>
            <w:r w:rsidR="003149C7" w:rsidRPr="0063436D">
              <w:rPr>
                <w:rFonts w:eastAsia="Times New Roman"/>
                <w:sz w:val="17"/>
                <w:szCs w:val="17"/>
                <w:lang w:val="fr-FR" w:eastAsia="en-US"/>
              </w:rPr>
              <w:t>(x)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mandataire</w:t>
            </w:r>
            <w:r w:rsidR="003149C7" w:rsidRPr="0063436D">
              <w:rPr>
                <w:rFonts w:eastAsia="Times New Roman"/>
                <w:sz w:val="17"/>
                <w:szCs w:val="17"/>
                <w:lang w:val="fr-FR" w:eastAsia="en-US"/>
              </w:rPr>
              <w:t>(s)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(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p. ex., nom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(s) 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et coordonnées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  <w:p w14:paraId="58CC4389" w14:textId="1A5368BA" w:rsidR="003B3A73" w:rsidRPr="0063436D" w:rsidRDefault="003B3A73" w:rsidP="00784306">
            <w:pPr>
              <w:pStyle w:val="ListParagraph"/>
              <w:numPr>
                <w:ilvl w:val="0"/>
                <w:numId w:val="25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>
              <w:rPr>
                <w:rFonts w:eastAsia="Times New Roman"/>
                <w:sz w:val="17"/>
                <w:szCs w:val="17"/>
                <w:lang w:val="fr-FR" w:eastAsia="en-US"/>
              </w:rPr>
              <w:t>Données relatives à la procédure de réexamen (p. ex., date, référence, langue de l’opposition)</w:t>
            </w:r>
          </w:p>
          <w:p w14:paraId="44661E28" w14:textId="210ACFD2" w:rsidR="00B81D83" w:rsidRPr="0063436D" w:rsidRDefault="00B81D83" w:rsidP="003B3A73">
            <w:pPr>
              <w:pStyle w:val="ListParagraph"/>
              <w:numPr>
                <w:ilvl w:val="0"/>
                <w:numId w:val="25"/>
              </w:numPr>
              <w:shd w:val="clear" w:color="auto" w:fill="FFFF00"/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Motif de demande de réexamen du droit de propriété industrielle</w:t>
            </w:r>
          </w:p>
        </w:tc>
      </w:tr>
      <w:tr w:rsidR="00784306" w:rsidRPr="005E6869" w14:paraId="40B4CC6F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7BDF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M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EBE9" w14:textId="77777777" w:rsidR="00E4686F" w:rsidRPr="0063436D" w:rsidRDefault="00E4686F" w:rsidP="00E4686F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Maintien du droit de propriété industrielle</w:t>
            </w:r>
          </w:p>
          <w:p w14:paraId="7A5E1193" w14:textId="77777777" w:rsidR="00784306" w:rsidRPr="0063436D" w:rsidRDefault="00E4686F" w:rsidP="00E4686F">
            <w:pPr>
              <w:spacing w:before="120" w:after="200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au maintien dans son intégralité ou sous une forme modifiée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industrielle octroyé, à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issue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contestation après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</w:t>
            </w:r>
            <w:r w:rsidR="00B66A4C" w:rsidRPr="0063436D">
              <w:rPr>
                <w:sz w:val="17"/>
                <w:szCs w:val="17"/>
                <w:lang w:val="fr-FR"/>
              </w:rPr>
              <w:t>nt.  El</w:t>
            </w:r>
            <w:r w:rsidRPr="0063436D">
              <w:rPr>
                <w:sz w:val="17"/>
                <w:szCs w:val="17"/>
                <w:lang w:val="fr-FR"/>
              </w:rPr>
              <w:t>le englobe par exemple un droit de propriété industrielle maintenu dans son intégralité ou sous une forme modifiée à la suite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recours,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réexamen ou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irrecevabilité, du rejet ou du retrait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demande de réexamen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faire passer un droit de propriété industrielle du stade de la contestation après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au stade de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 xml:space="preserve">enregistrement.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1CA2" w14:textId="77777777" w:rsidR="00076F3F" w:rsidRPr="0063436D" w:rsidRDefault="00F2378A" w:rsidP="00F2378A">
            <w:pPr>
              <w:pStyle w:val="ListParagraph"/>
              <w:numPr>
                <w:ilvl w:val="0"/>
                <w:numId w:val="9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au réexamen du droit de propriété industrielle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informations sur la décision de justice)</w:t>
            </w:r>
          </w:p>
          <w:p w14:paraId="5BB81970" w14:textId="77777777" w:rsidR="00784306" w:rsidRPr="0063436D" w:rsidRDefault="00F2378A" w:rsidP="00F2378A">
            <w:pPr>
              <w:pStyle w:val="ListParagraph"/>
              <w:numPr>
                <w:ilvl w:val="0"/>
                <w:numId w:val="9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Catégorie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autorité décisionnaire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tribunal national, office de propriété industrielle)</w:t>
            </w:r>
          </w:p>
        </w:tc>
      </w:tr>
      <w:tr w:rsidR="00784306" w:rsidRPr="005E6869" w14:paraId="67A5EC08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83A1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N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B85D" w14:textId="77777777" w:rsidR="00076F3F" w:rsidRPr="0063436D" w:rsidRDefault="00CA7EE6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Extinction</w:t>
            </w:r>
          </w:p>
          <w:p w14:paraId="7986B1CE" w14:textId="77777777" w:rsidR="00784306" w:rsidRPr="0063436D" w:rsidRDefault="00CA7EE6" w:rsidP="00CA7EE6">
            <w:pPr>
              <w:spacing w:after="200"/>
              <w:ind w:hanging="14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extinction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demande ou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industrielle sans possibilité de réactivati</w:t>
            </w:r>
            <w:r w:rsidR="00B66A4C" w:rsidRPr="0063436D">
              <w:rPr>
                <w:sz w:val="17"/>
                <w:szCs w:val="17"/>
                <w:lang w:val="fr-FR"/>
              </w:rPr>
              <w:t>on.  El</w:t>
            </w:r>
            <w:r w:rsidRPr="0063436D">
              <w:rPr>
                <w:sz w:val="17"/>
                <w:szCs w:val="17"/>
                <w:lang w:val="fr-FR"/>
              </w:rPr>
              <w:t>le englobe par exemple une demande ou un droit de propriété industrielle auquel il a été mis fin de manière définitive par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de propriété industrielle ou un tribun</w:t>
            </w:r>
            <w:r w:rsidR="00B66A4C" w:rsidRPr="0063436D">
              <w:rPr>
                <w:sz w:val="17"/>
                <w:szCs w:val="17"/>
                <w:lang w:val="fr-FR"/>
              </w:rPr>
              <w:t>al.  To</w:t>
            </w:r>
            <w:r w:rsidRPr="0063436D">
              <w:rPr>
                <w:sz w:val="17"/>
                <w:szCs w:val="17"/>
                <w:lang w:val="fr-FR"/>
              </w:rPr>
              <w:t xml:space="preserve">us les offices de propriété industrielle ne prévoient pas les événements relevant de cette catégorie.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2CDD" w14:textId="77777777" w:rsidR="00784306" w:rsidRPr="0063436D" w:rsidRDefault="003560AE" w:rsidP="006F5353">
            <w:pPr>
              <w:pStyle w:val="ListParagraph"/>
              <w:numPr>
                <w:ilvl w:val="0"/>
                <w:numId w:val="33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Motif </w:t>
            </w:r>
            <w:r w:rsidR="006F5353" w:rsidRPr="0063436D">
              <w:rPr>
                <w:rFonts w:eastAsia="Times New Roman"/>
                <w:sz w:val="17"/>
                <w:szCs w:val="17"/>
                <w:lang w:val="fr-FR" w:eastAsia="en-US"/>
              </w:rPr>
              <w:t>de n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on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-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entrée en vigueur</w:t>
            </w:r>
          </w:p>
        </w:tc>
      </w:tr>
      <w:tr w:rsidR="00784306" w:rsidRPr="0063436D" w14:paraId="67BF44F4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CF43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lastRenderedPageBreak/>
              <w:t xml:space="preserve">P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2DCE" w14:textId="77777777" w:rsidR="0046773C" w:rsidRPr="0063436D" w:rsidRDefault="00AB2742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Modification de document</w:t>
            </w:r>
          </w:p>
          <w:p w14:paraId="55522A53" w14:textId="77777777" w:rsidR="00784306" w:rsidRPr="0063436D" w:rsidRDefault="00AB2742" w:rsidP="00AB2742">
            <w:pPr>
              <w:spacing w:after="200"/>
              <w:ind w:hanging="14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la modification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demande,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titre de propriété industrielle ou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autre document hormis les modifications survenant dans le cadre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réexamen avant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enregistrement ou du réexamen du droit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El</w:t>
            </w:r>
            <w:r w:rsidRPr="0063436D">
              <w:rPr>
                <w:sz w:val="17"/>
                <w:szCs w:val="17"/>
                <w:lang w:val="fr-FR"/>
              </w:rPr>
              <w:t>le englobe par exemple les modifications et corrections apportées aux demandes et aux titres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survenir à tout stade du traitement.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A0F9" w14:textId="77777777" w:rsidR="00076F3F" w:rsidRPr="0063436D" w:rsidRDefault="00F2378A" w:rsidP="00F2378A">
            <w:pPr>
              <w:pStyle w:val="ListParagraph"/>
              <w:numPr>
                <w:ilvl w:val="0"/>
                <w:numId w:val="23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Identification de la publication</w:t>
            </w:r>
          </w:p>
          <w:p w14:paraId="33E23CBC" w14:textId="53EC5B6E" w:rsidR="00076F3F" w:rsidRPr="0063436D" w:rsidRDefault="00F2378A" w:rsidP="00F2378A">
            <w:pPr>
              <w:pStyle w:val="ListParagraph"/>
              <w:numPr>
                <w:ilvl w:val="0"/>
                <w:numId w:val="23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Catégorie de partie de document modifiée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</w:t>
            </w:r>
            <w:r w:rsidRPr="003B3A73">
              <w:rPr>
                <w:rFonts w:eastAsia="Times New Roman"/>
                <w:strike/>
                <w:color w:val="FFFFFF"/>
                <w:sz w:val="17"/>
                <w:szCs w:val="17"/>
                <w:shd w:val="clear" w:color="auto" w:fill="800080"/>
                <w:lang w:val="fr-FR" w:eastAsia="en-US"/>
              </w:rPr>
              <w:t xml:space="preserve"> données bibliographiques, revendication de priorité, mémoire, revendications, dessins</w:t>
            </w:r>
            <w:r w:rsidR="00A24A92" w:rsidRPr="003B3A73">
              <w:rPr>
                <w:rFonts w:eastAsia="Times New Roman"/>
                <w:color w:val="000000"/>
                <w:sz w:val="17"/>
                <w:szCs w:val="17"/>
                <w:u w:val="single"/>
                <w:shd w:val="clear" w:color="auto" w:fill="FFFF00"/>
                <w:lang w:val="fr-FR" w:eastAsia="en-US"/>
              </w:rPr>
              <w:t xml:space="preserve"> texte, logo, etc.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  <w:p w14:paraId="0940CEB1" w14:textId="77777777" w:rsidR="00076F3F" w:rsidRPr="0063436D" w:rsidRDefault="00F2378A" w:rsidP="00F2378A">
            <w:pPr>
              <w:pStyle w:val="ListParagraph"/>
              <w:numPr>
                <w:ilvl w:val="0"/>
                <w:numId w:val="23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Catégorie de modification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modification ou correction)</w:t>
            </w:r>
          </w:p>
          <w:p w14:paraId="16462057" w14:textId="77777777" w:rsidR="00076F3F" w:rsidRPr="0063436D" w:rsidRDefault="00F2378A" w:rsidP="00F2378A">
            <w:pPr>
              <w:pStyle w:val="ListParagraph"/>
              <w:numPr>
                <w:ilvl w:val="0"/>
                <w:numId w:val="23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Contenu précédemment publié (de manière indue)</w:t>
            </w:r>
          </w:p>
          <w:p w14:paraId="1B535A63" w14:textId="77777777" w:rsidR="00784306" w:rsidRPr="0063436D" w:rsidRDefault="00F2378A" w:rsidP="00F2378A">
            <w:pPr>
              <w:pStyle w:val="ListParagraph"/>
              <w:numPr>
                <w:ilvl w:val="0"/>
                <w:numId w:val="23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Nouveau contenu (corrigé)</w:t>
            </w:r>
          </w:p>
        </w:tc>
      </w:tr>
      <w:tr w:rsidR="00784306" w:rsidRPr="0063436D" w14:paraId="5B9629BC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3F4D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Q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2DB6" w14:textId="77777777" w:rsidR="0046773C" w:rsidRPr="0063436D" w:rsidRDefault="00051D0A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Publication du document</w:t>
            </w:r>
          </w:p>
          <w:p w14:paraId="3058768F" w14:textId="77777777" w:rsidR="00784306" w:rsidRPr="0063436D" w:rsidRDefault="00051D0A" w:rsidP="00051D0A">
            <w:pPr>
              <w:spacing w:after="200"/>
              <w:ind w:hanging="20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la publication de documents par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El</w:t>
            </w:r>
            <w:r w:rsidRPr="0063436D">
              <w:rPr>
                <w:sz w:val="17"/>
                <w:szCs w:val="17"/>
                <w:lang w:val="fr-FR"/>
              </w:rPr>
              <w:t>le englobe par exemple la publication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demande,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titre de propriété industrielle ou de données bibliographiques par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</w:t>
            </w:r>
            <w:r w:rsidR="00B66A4C" w:rsidRPr="0063436D">
              <w:rPr>
                <w:sz w:val="17"/>
                <w:szCs w:val="17"/>
                <w:lang w:val="fr-FR"/>
              </w:rPr>
              <w:t>ce.  Le</w:t>
            </w:r>
            <w:r w:rsidRPr="0063436D">
              <w:rPr>
                <w:sz w:val="17"/>
                <w:szCs w:val="17"/>
                <w:lang w:val="fr-FR"/>
              </w:rPr>
              <w:t xml:space="preserve">s événements relevant de cette catégorie peuvent survenir à tout stade du traitement.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24D0" w14:textId="77777777" w:rsidR="00784306" w:rsidRPr="0063436D" w:rsidRDefault="00F2378A" w:rsidP="00F2378A">
            <w:pPr>
              <w:pStyle w:val="ListParagraph"/>
              <w:numPr>
                <w:ilvl w:val="0"/>
                <w:numId w:val="22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Identification de la publication</w:t>
            </w:r>
          </w:p>
        </w:tc>
      </w:tr>
      <w:tr w:rsidR="00784306" w:rsidRPr="005E6869" w14:paraId="2B571AE3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F9E6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R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B5E8" w14:textId="77777777" w:rsidR="00076F3F" w:rsidRPr="0063436D" w:rsidRDefault="00D930B8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Modification des données concernant les parties</w:t>
            </w:r>
          </w:p>
          <w:p w14:paraId="76D57ED0" w14:textId="77777777" w:rsidR="00784306" w:rsidRPr="0063436D" w:rsidRDefault="00D930B8" w:rsidP="00D930B8">
            <w:pPr>
              <w:spacing w:after="200"/>
              <w:ind w:hanging="20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inscription par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de propriété industrielle de modifications apportées aux données concernant les parti</w:t>
            </w:r>
            <w:r w:rsidR="00B66A4C" w:rsidRPr="0063436D">
              <w:rPr>
                <w:sz w:val="17"/>
                <w:szCs w:val="17"/>
                <w:lang w:val="fr-FR"/>
              </w:rPr>
              <w:t>es.  El</w:t>
            </w:r>
            <w:r w:rsidRPr="0063436D">
              <w:rPr>
                <w:sz w:val="17"/>
                <w:szCs w:val="17"/>
                <w:lang w:val="fr-FR"/>
              </w:rPr>
              <w:t>le englobe par exemple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inscription par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de modifications relatives à une partie concernée par la demande ou par le droit de propriété industrielle, telle que le déposant, le titulaire ou le mandatai</w:t>
            </w:r>
            <w:r w:rsidR="00B66A4C" w:rsidRPr="0063436D">
              <w:rPr>
                <w:sz w:val="17"/>
                <w:szCs w:val="17"/>
                <w:lang w:val="fr-FR"/>
              </w:rPr>
              <w:t>re.  El</w:t>
            </w:r>
            <w:r w:rsidRPr="0063436D">
              <w:rPr>
                <w:sz w:val="17"/>
                <w:szCs w:val="17"/>
                <w:lang w:val="fr-FR"/>
              </w:rPr>
              <w:t>le comprend également les événements liés à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inscription de changements de coordonné</w:t>
            </w:r>
            <w:r w:rsidR="00B66A4C" w:rsidRPr="0063436D">
              <w:rPr>
                <w:sz w:val="17"/>
                <w:szCs w:val="17"/>
                <w:lang w:val="fr-FR"/>
              </w:rPr>
              <w:t>es.  Le</w:t>
            </w:r>
            <w:r w:rsidRPr="0063436D">
              <w:rPr>
                <w:sz w:val="17"/>
                <w:szCs w:val="17"/>
                <w:lang w:val="fr-FR"/>
              </w:rPr>
              <w:t xml:space="preserve">s événements relevant de cette catégorie peuvent survenir à tout stade du traitement.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E360" w14:textId="77777777" w:rsidR="00076F3F" w:rsidRPr="0063436D" w:rsidRDefault="00784306" w:rsidP="00784306">
            <w:pPr>
              <w:pStyle w:val="ListParagraph"/>
              <w:numPr>
                <w:ilvl w:val="0"/>
                <w:numId w:val="24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Cat</w:t>
            </w:r>
            <w:r w:rsidR="00A3455C" w:rsidRPr="0063436D">
              <w:rPr>
                <w:rFonts w:eastAsia="Times New Roman"/>
                <w:sz w:val="17"/>
                <w:szCs w:val="17"/>
                <w:lang w:val="fr-FR" w:eastAsia="en-US"/>
              </w:rPr>
              <w:t>é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gor</w:t>
            </w:r>
            <w:r w:rsidR="00A3455C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ie de modification des données relatives aux parties 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(</w:t>
            </w:r>
            <w:r w:rsidR="00A3455C" w:rsidRPr="0063436D">
              <w:rPr>
                <w:rFonts w:eastAsia="Times New Roman"/>
                <w:sz w:val="17"/>
                <w:szCs w:val="17"/>
                <w:lang w:val="fr-FR" w:eastAsia="en-US"/>
              </w:rPr>
              <w:t>p. ex., changement de titulaire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, change</w:t>
            </w:r>
            <w:r w:rsidR="00A3455C" w:rsidRPr="0063436D">
              <w:rPr>
                <w:rFonts w:eastAsia="Times New Roman"/>
                <w:sz w:val="17"/>
                <w:szCs w:val="17"/>
                <w:lang w:val="fr-FR" w:eastAsia="en-US"/>
              </w:rPr>
              <w:t>ment de mandataire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, </w:t>
            </w:r>
            <w:r w:rsidR="00A3455C" w:rsidRPr="0063436D">
              <w:rPr>
                <w:rFonts w:eastAsia="Times New Roman"/>
                <w:sz w:val="17"/>
                <w:szCs w:val="17"/>
                <w:lang w:val="fr-FR" w:eastAsia="en-US"/>
              </w:rPr>
              <w:t>changement de coordonnées du titulaire, changement de coordonnées du mandataire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  <w:p w14:paraId="7415D6C7" w14:textId="77777777" w:rsidR="00076F3F" w:rsidRPr="0063436D" w:rsidRDefault="000C6F3C" w:rsidP="00784306">
            <w:pPr>
              <w:pStyle w:val="ListParagraph"/>
              <w:numPr>
                <w:ilvl w:val="0"/>
                <w:numId w:val="24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à la partie précédente (p. ex., nom, coordonnées, code de pays)</w:t>
            </w:r>
          </w:p>
          <w:p w14:paraId="04DD88B5" w14:textId="77777777" w:rsidR="00076F3F" w:rsidRPr="0063436D" w:rsidRDefault="00BB70C2" w:rsidP="00784306">
            <w:pPr>
              <w:pStyle w:val="ListParagraph"/>
              <w:numPr>
                <w:ilvl w:val="0"/>
                <w:numId w:val="24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Données relatives à la nouvelle partie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(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p. ex.,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n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m, co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ordonnées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, code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de pays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  <w:p w14:paraId="41D23755" w14:textId="0CE56EAE" w:rsidR="00076F3F" w:rsidRDefault="00BB70C2" w:rsidP="00784306">
            <w:pPr>
              <w:pStyle w:val="ListParagraph"/>
              <w:numPr>
                <w:ilvl w:val="0"/>
                <w:numId w:val="24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au t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ransfer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t de titularité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(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y compris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le numéro du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document 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de cession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  <w:p w14:paraId="590884D5" w14:textId="2EC33F65" w:rsidR="00784306" w:rsidRPr="003B3A73" w:rsidRDefault="003B3A73" w:rsidP="003B3A73">
            <w:pPr>
              <w:pStyle w:val="ListParagraph"/>
              <w:numPr>
                <w:ilvl w:val="0"/>
                <w:numId w:val="24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>
              <w:rPr>
                <w:rFonts w:eastAsia="Times New Roman"/>
                <w:sz w:val="17"/>
                <w:szCs w:val="17"/>
                <w:lang w:val="fr-FR" w:eastAsia="en-US"/>
              </w:rPr>
              <w:t>Détails de l’action judiciaire (le cas échéant)</w:t>
            </w:r>
          </w:p>
          <w:p w14:paraId="38A19ED5" w14:textId="2C05CC37" w:rsidR="00A24A92" w:rsidRPr="0063436D" w:rsidRDefault="00A24A92" w:rsidP="003B3A73">
            <w:pPr>
              <w:pStyle w:val="ListParagraph"/>
              <w:numPr>
                <w:ilvl w:val="0"/>
                <w:numId w:val="24"/>
              </w:numPr>
              <w:shd w:val="clear" w:color="auto" w:fill="FFFF00"/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3B3A73">
              <w:rPr>
                <w:rFonts w:eastAsia="Times New Roman"/>
                <w:color w:val="000000"/>
                <w:sz w:val="17"/>
                <w:szCs w:val="17"/>
                <w:u w:val="single"/>
                <w:lang w:val="fr-FR" w:eastAsia="en-US"/>
              </w:rPr>
              <w:t>Liste des produits et services transférés</w:t>
            </w:r>
          </w:p>
        </w:tc>
      </w:tr>
      <w:tr w:rsidR="00784306" w:rsidRPr="005E6869" w14:paraId="2285FB6F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3135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lastRenderedPageBreak/>
              <w:t xml:space="preserve">S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A7AE" w14:textId="77777777" w:rsidR="009F23FA" w:rsidRPr="0063436D" w:rsidRDefault="009F23FA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Informations concernant les licences</w:t>
            </w:r>
          </w:p>
          <w:p w14:paraId="38D0877E" w14:textId="77777777" w:rsidR="00784306" w:rsidRPr="0063436D" w:rsidRDefault="009F23FA" w:rsidP="009F23FA">
            <w:pPr>
              <w:spacing w:before="120" w:after="200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inscription par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de propriété industrielle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informations relatives aux licences et aux modifications apportées à ces inscriptio</w:t>
            </w:r>
            <w:r w:rsidR="00B66A4C" w:rsidRPr="0063436D">
              <w:rPr>
                <w:sz w:val="17"/>
                <w:szCs w:val="17"/>
                <w:lang w:val="fr-FR"/>
              </w:rPr>
              <w:t>ns.  El</w:t>
            </w:r>
            <w:r w:rsidRPr="0063436D">
              <w:rPr>
                <w:sz w:val="17"/>
                <w:szCs w:val="17"/>
                <w:lang w:val="fr-FR"/>
              </w:rPr>
              <w:t>le englobe par exemple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inscription par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de la propriété industrielle du fait qu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licence, un nantissement ou une sûreté réelle a été conclu, modifié, annulé ou cé</w:t>
            </w:r>
            <w:r w:rsidR="00B66A4C" w:rsidRPr="0063436D">
              <w:rPr>
                <w:sz w:val="17"/>
                <w:szCs w:val="17"/>
                <w:lang w:val="fr-FR"/>
              </w:rPr>
              <w:t>dé.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survenir à tout stade du traitement.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B8FA" w14:textId="77777777" w:rsidR="00076F3F" w:rsidRPr="0063436D" w:rsidRDefault="009D5BF9" w:rsidP="00784306">
            <w:pPr>
              <w:pStyle w:val="ListParagraph"/>
              <w:numPr>
                <w:ilvl w:val="0"/>
                <w:numId w:val="21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à la licence (p. ex., numéro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enregistrement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, </w:t>
            </w:r>
            <w:r w:rsidR="00C33859" w:rsidRPr="0063436D">
              <w:rPr>
                <w:rFonts w:eastAsia="Times New Roman"/>
                <w:sz w:val="17"/>
                <w:szCs w:val="17"/>
                <w:lang w:val="fr-FR" w:eastAsia="en-US"/>
              </w:rPr>
              <w:t>type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="00C33859" w:rsidRPr="0063436D">
              <w:rPr>
                <w:rFonts w:eastAsia="Times New Roman"/>
                <w:sz w:val="17"/>
                <w:szCs w:val="17"/>
                <w:lang w:val="fr-FR" w:eastAsia="en-US"/>
              </w:rPr>
              <w:t>inscription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, statu</w:t>
            </w:r>
            <w:r w:rsidR="00C33859" w:rsidRPr="0063436D">
              <w:rPr>
                <w:rFonts w:eastAsia="Times New Roman"/>
                <w:sz w:val="17"/>
                <w:szCs w:val="17"/>
                <w:lang w:val="fr-FR" w:eastAsia="en-US"/>
              </w:rPr>
              <w:t>t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, dates</w:t>
            </w:r>
            <w:r w:rsidR="00C33859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de début et de fin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  <w:p w14:paraId="71C71E3E" w14:textId="77777777" w:rsidR="00076F3F" w:rsidRPr="0063436D" w:rsidRDefault="00CC746E" w:rsidP="00784306">
            <w:pPr>
              <w:pStyle w:val="ListParagraph"/>
              <w:numPr>
                <w:ilvl w:val="0"/>
                <w:numId w:val="21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au(x) donneur(s) de licence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(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p. ex., nom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, co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ordonnées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, code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de pays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  <w:p w14:paraId="7EE01F0A" w14:textId="77777777" w:rsidR="00076F3F" w:rsidRPr="0063436D" w:rsidRDefault="00CC746E" w:rsidP="00784306">
            <w:pPr>
              <w:pStyle w:val="ListParagraph"/>
              <w:numPr>
                <w:ilvl w:val="0"/>
                <w:numId w:val="21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au(x) preneur(s) de licence (p. ex., nom, coordonnées, code de pays)</w:t>
            </w:r>
          </w:p>
          <w:p w14:paraId="7713BFD6" w14:textId="77777777" w:rsidR="00076F3F" w:rsidRPr="0063436D" w:rsidRDefault="00F2378A" w:rsidP="00F2378A">
            <w:pPr>
              <w:pStyle w:val="ListParagraph"/>
              <w:numPr>
                <w:ilvl w:val="0"/>
                <w:numId w:val="21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Catégorie de modification des données relatives à la licence (clauses qui ont été modifiées)</w:t>
            </w:r>
          </w:p>
          <w:p w14:paraId="4BB362A9" w14:textId="77777777" w:rsidR="00076F3F" w:rsidRPr="0063436D" w:rsidRDefault="00F2378A" w:rsidP="00F2378A">
            <w:pPr>
              <w:pStyle w:val="ListParagraph"/>
              <w:numPr>
                <w:ilvl w:val="0"/>
                <w:numId w:val="21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Territoire sur lequel la licence est valable</w:t>
            </w:r>
          </w:p>
          <w:p w14:paraId="3BDCD938" w14:textId="77777777" w:rsidR="00784306" w:rsidRPr="0063436D" w:rsidRDefault="00F2378A" w:rsidP="00AC118B">
            <w:pPr>
              <w:pStyle w:val="ListParagraph"/>
              <w:numPr>
                <w:ilvl w:val="0"/>
                <w:numId w:val="21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Détails de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="00AC118B" w:rsidRPr="0063436D">
              <w:rPr>
                <w:rFonts w:eastAsia="Times New Roman"/>
                <w:sz w:val="17"/>
                <w:szCs w:val="17"/>
                <w:lang w:val="fr-FR" w:eastAsia="en-US"/>
              </w:rPr>
              <w:t>action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judiciaire (le cas échéant)</w:t>
            </w:r>
          </w:p>
        </w:tc>
      </w:tr>
      <w:tr w:rsidR="00784306" w:rsidRPr="005E6869" w14:paraId="3AF50082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8CBF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T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3070" w14:textId="77777777" w:rsidR="00076F3F" w:rsidRPr="0063436D" w:rsidRDefault="001D4893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Adaptation de procédure administrative</w:t>
            </w:r>
          </w:p>
          <w:p w14:paraId="3006033E" w14:textId="77777777" w:rsidR="00784306" w:rsidRPr="0063436D" w:rsidRDefault="001D4893" w:rsidP="001D4893">
            <w:pPr>
              <w:spacing w:after="200"/>
              <w:ind w:hanging="14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Cette catégorie regroupe les événements liés à l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adaptation d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une procédure administrative conduite par l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office de propriété industriel</w:t>
            </w:r>
            <w:r w:rsidR="00B66A4C" w:rsidRPr="0063436D">
              <w:rPr>
                <w:sz w:val="17"/>
                <w:szCs w:val="17"/>
                <w:shd w:val="clear" w:color="auto" w:fill="FFFFFF"/>
                <w:lang w:val="fr-FR"/>
              </w:rPr>
              <w:t>le.  El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le englobe par exemple l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octroi d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une prorogation d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un délai ou la poursuite d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une procédure nécessai</w:t>
            </w:r>
            <w:r w:rsidR="00B66A4C" w:rsidRPr="0063436D">
              <w:rPr>
                <w:sz w:val="17"/>
                <w:szCs w:val="17"/>
                <w:shd w:val="clear" w:color="auto" w:fill="FFFFFF"/>
                <w:lang w:val="fr-FR"/>
              </w:rPr>
              <w:t>re.  El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le comprend également la suspension ou l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interruption d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une procédure administrative, ou la reprise d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une procédure administrative suspendue ou interromp</w:t>
            </w:r>
            <w:r w:rsidR="00B66A4C" w:rsidRPr="0063436D">
              <w:rPr>
                <w:sz w:val="17"/>
                <w:szCs w:val="17"/>
                <w:shd w:val="clear" w:color="auto" w:fill="FFFFFF"/>
                <w:lang w:val="fr-FR"/>
              </w:rPr>
              <w:t>ue.  Le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s événements relevant de cette catégorie peuvent survenir à tout stade du traitement.</w:t>
            </w:r>
            <w:r w:rsidRPr="0063436D">
              <w:rPr>
                <w:sz w:val="17"/>
                <w:shd w:val="clear" w:color="auto" w:fill="FFFFFF"/>
                <w:lang w:val="fr-FR"/>
              </w:rPr>
              <w:t xml:space="preserve"> </w:t>
            </w:r>
            <w:r w:rsidR="00EC77DA" w:rsidRPr="0063436D">
              <w:rPr>
                <w:sz w:val="17"/>
                <w:szCs w:val="17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3118" w14:textId="77777777" w:rsidR="00076F3F" w:rsidRPr="0063436D" w:rsidRDefault="00F2378A" w:rsidP="00F2378A">
            <w:pPr>
              <w:pStyle w:val="ListParagraph"/>
              <w:numPr>
                <w:ilvl w:val="0"/>
                <w:numId w:val="20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Catégorie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adaptation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prorogation de délai, suspension, reprise, interruption, retard dans les services de communication, prorogation de droit, perturbation du travail de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office, irrégularité de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office)</w:t>
            </w:r>
          </w:p>
          <w:p w14:paraId="1BE3622D" w14:textId="77777777" w:rsidR="00076F3F" w:rsidRPr="0063436D" w:rsidRDefault="00F2378A" w:rsidP="00F2378A">
            <w:pPr>
              <w:pStyle w:val="ListParagraph"/>
              <w:numPr>
                <w:ilvl w:val="0"/>
                <w:numId w:val="20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Motif de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adaptation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catastrophe naturelle, retard de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office, retard de la justice, retard imputable au déposant ou au titulaire)</w:t>
            </w:r>
          </w:p>
          <w:p w14:paraId="7D3A26F2" w14:textId="77777777" w:rsidR="00784306" w:rsidRPr="0063436D" w:rsidRDefault="00F2378A" w:rsidP="00F2378A">
            <w:pPr>
              <w:pStyle w:val="ListParagraph"/>
              <w:numPr>
                <w:ilvl w:val="0"/>
                <w:numId w:val="20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Dates de début et de fin (date à laquelle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adaptation commence et date à laquelle elle se termine)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</w:t>
            </w:r>
          </w:p>
        </w:tc>
      </w:tr>
      <w:tr w:rsidR="00784306" w:rsidRPr="005E6869" w14:paraId="498A7F24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58F6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U 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B81F" w14:textId="77777777" w:rsidR="00076F3F" w:rsidRPr="0063436D" w:rsidRDefault="001D4893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Paiement</w:t>
            </w:r>
          </w:p>
          <w:p w14:paraId="42CA6689" w14:textId="77777777" w:rsidR="00784306" w:rsidRPr="0063436D" w:rsidRDefault="001D4893" w:rsidP="001D4893">
            <w:pPr>
              <w:spacing w:after="200"/>
              <w:ind w:hanging="14"/>
              <w:rPr>
                <w:sz w:val="17"/>
                <w:szCs w:val="17"/>
                <w:shd w:val="clear" w:color="auto" w:fill="FFFFFF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au paiement de tax</w:t>
            </w:r>
            <w:r w:rsidR="00B66A4C" w:rsidRPr="0063436D">
              <w:rPr>
                <w:sz w:val="17"/>
                <w:szCs w:val="17"/>
                <w:lang w:val="fr-FR"/>
              </w:rPr>
              <w:t>es.  El</w:t>
            </w:r>
            <w:r w:rsidRPr="0063436D">
              <w:rPr>
                <w:sz w:val="17"/>
                <w:szCs w:val="17"/>
                <w:lang w:val="fr-FR"/>
              </w:rPr>
              <w:t>le englobe par exemple le paiement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taxe de renouvellement, de maintien en vigueur ou de désignati</w:t>
            </w:r>
            <w:r w:rsidR="00B66A4C" w:rsidRPr="0063436D">
              <w:rPr>
                <w:sz w:val="17"/>
                <w:szCs w:val="17"/>
                <w:lang w:val="fr-FR"/>
              </w:rPr>
              <w:t>on.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survenir à tout stade du traitement.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778C" w14:textId="77777777" w:rsidR="00076F3F" w:rsidRPr="0063436D" w:rsidRDefault="00F2378A" w:rsidP="00F2378A">
            <w:pPr>
              <w:pStyle w:val="ListParagraph"/>
              <w:numPr>
                <w:ilvl w:val="0"/>
                <w:numId w:val="19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Catégorie de taxe (p.</w:t>
            </w:r>
            <w:r w:rsidR="00EC77DA" w:rsidRPr="0063436D">
              <w:rPr>
                <w:rFonts w:eastAsia="Times New Roman"/>
                <w:sz w:val="17"/>
                <w:szCs w:val="17"/>
                <w:lang w:val="fr-FR" w:eastAsia="en-US"/>
              </w:rPr>
              <w:t> 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ex., taxe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enregistrement, taxe de maintien en vigueur, taxe de renouvellement, taxe de désignation)</w:t>
            </w:r>
          </w:p>
          <w:p w14:paraId="641337A2" w14:textId="77777777" w:rsidR="0046773C" w:rsidRPr="0063436D" w:rsidRDefault="009D5BF9" w:rsidP="00784306">
            <w:pPr>
              <w:pStyle w:val="ListParagraph"/>
              <w:numPr>
                <w:ilvl w:val="0"/>
                <w:numId w:val="19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au paiement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(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p. ex., état du 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pa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ie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ment, 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année de paiement de la taxe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  <w:p w14:paraId="504A32C5" w14:textId="77777777" w:rsidR="00784306" w:rsidRPr="0063436D" w:rsidRDefault="00F75855" w:rsidP="009D5BF9">
            <w:pPr>
              <w:pStyle w:val="ListParagraph"/>
              <w:numPr>
                <w:ilvl w:val="0"/>
                <w:numId w:val="19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Données relatives au renouvellement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(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p. ex.,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</w:t>
            </w:r>
            <w:r w:rsidR="009D5BF9" w:rsidRPr="0063436D">
              <w:rPr>
                <w:rFonts w:eastAsia="Times New Roman"/>
                <w:sz w:val="17"/>
                <w:szCs w:val="17"/>
                <w:lang w:val="fr-FR" w:eastAsia="en-US"/>
              </w:rPr>
              <w:t>durée du renouvellement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, </w:t>
            </w:r>
            <w:r w:rsidR="009D5BF9" w:rsidRPr="0063436D">
              <w:rPr>
                <w:rFonts w:eastAsia="Times New Roman"/>
                <w:sz w:val="17"/>
                <w:szCs w:val="17"/>
                <w:lang w:val="fr-FR" w:eastAsia="en-US"/>
              </w:rPr>
              <w:t>modifications de la portée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, date</w:t>
            </w:r>
            <w:r w:rsidR="009D5BF9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="009D5BF9" w:rsidRPr="0063436D">
              <w:rPr>
                <w:rFonts w:eastAsia="Times New Roman"/>
                <w:sz w:val="17"/>
                <w:szCs w:val="17"/>
                <w:lang w:val="fr-FR" w:eastAsia="en-US"/>
              </w:rPr>
              <w:t>échéance de la prochaine taxe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)</w:t>
            </w:r>
          </w:p>
        </w:tc>
      </w:tr>
      <w:tr w:rsidR="00784306" w:rsidRPr="0063436D" w14:paraId="53D25E6B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5E2B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lastRenderedPageBreak/>
              <w:t>V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8C82" w14:textId="77777777" w:rsidR="00076F3F" w:rsidRPr="0063436D" w:rsidRDefault="0008215E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begin"/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instrText xml:space="preserve"> INCLUDETEXT "</w:instrTex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begin"/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instrText xml:space="preserve"> FILENAME  \p </w:instrTex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separate"/>
            </w:r>
            <w:r w:rsidR="00784306" w:rsidRPr="0063436D">
              <w:rPr>
                <w:rFonts w:eastAsia="Times New Roman"/>
                <w:noProof/>
                <w:sz w:val="17"/>
                <w:szCs w:val="17"/>
                <w:lang w:val="fr-FR" w:eastAsia="en-US"/>
              </w:rPr>
              <w:instrText>\\wipogvafs01\usr2\Home\Elliott\- Legal Status TF\TM std\draft std\draft cws8\TM LS annex 2 - supplementary data.docx</w:instrTex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end"/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instrText xml:space="preserve">\\..\\TM LS annex 1 - event list.docx" Vcatname  \* MERGEFORMAT </w:instrTex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separate"/>
            </w:r>
            <w:r w:rsidR="00484495" w:rsidRPr="0063436D">
              <w:rPr>
                <w:sz w:val="17"/>
                <w:szCs w:val="17"/>
                <w:lang w:val="fr-FR"/>
              </w:rPr>
              <w:t>Recours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fldChar w:fldCharType="end"/>
            </w:r>
          </w:p>
          <w:p w14:paraId="5E1C3EDA" w14:textId="77777777" w:rsidR="00784306" w:rsidRPr="0063436D" w:rsidRDefault="001D4893" w:rsidP="001D4893">
            <w:pPr>
              <w:spacing w:after="200"/>
              <w:ind w:hanging="14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un recours contre une décision prise au cours du traitement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El</w:t>
            </w:r>
            <w:r w:rsidRPr="0063436D">
              <w:rPr>
                <w:sz w:val="17"/>
                <w:szCs w:val="17"/>
                <w:lang w:val="fr-FR"/>
              </w:rPr>
              <w:t>le englobe par exemple une demande présentée par le déposant, le titulaire ou un tiers en vue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introduire un recours administratif ou judiciaire contre toute décision prise au cours du traitement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industrielle et le résultat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tel recours sur la procédu</w:t>
            </w:r>
            <w:r w:rsidR="00B66A4C" w:rsidRPr="0063436D">
              <w:rPr>
                <w:sz w:val="17"/>
                <w:szCs w:val="17"/>
                <w:lang w:val="fr-FR"/>
              </w:rPr>
              <w:t>re.  Le</w:t>
            </w:r>
            <w:r w:rsidRPr="0063436D">
              <w:rPr>
                <w:sz w:val="17"/>
                <w:szCs w:val="17"/>
                <w:lang w:val="fr-FR"/>
              </w:rPr>
              <w:t xml:space="preserve"> résultat du recours quant au fond peut être relié à un événement relevant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autre catégorie, par exemple demande suspendue, demande réactivée, droit de propriété industrielle octroyé, droit de propriété industrielle suspendu ou droit de propriété industrielle mainte</w:t>
            </w:r>
            <w:r w:rsidR="00B66A4C" w:rsidRPr="0063436D">
              <w:rPr>
                <w:sz w:val="17"/>
                <w:szCs w:val="17"/>
                <w:lang w:val="fr-FR"/>
              </w:rPr>
              <w:t>nu.  Le</w:t>
            </w:r>
            <w:r w:rsidRPr="0063436D">
              <w:rPr>
                <w:sz w:val="17"/>
                <w:szCs w:val="17"/>
                <w:lang w:val="fr-FR"/>
              </w:rPr>
              <w:t xml:space="preserve">s événements relevant de cette catégorie peuvent survenir à tout stade du traitement.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130C" w14:textId="77777777" w:rsidR="00076F3F" w:rsidRPr="0063436D" w:rsidRDefault="00F2378A" w:rsidP="00F2378A">
            <w:pPr>
              <w:pStyle w:val="ListParagraph"/>
              <w:numPr>
                <w:ilvl w:val="0"/>
                <w:numId w:val="16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Organe de recours</w:t>
            </w:r>
          </w:p>
          <w:p w14:paraId="3D7BBC1B" w14:textId="77777777" w:rsidR="0046773C" w:rsidRPr="0063436D" w:rsidRDefault="00F2378A" w:rsidP="00F2378A">
            <w:pPr>
              <w:pStyle w:val="ListParagraph"/>
              <w:numPr>
                <w:ilvl w:val="0"/>
                <w:numId w:val="16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Décision contestée</w:t>
            </w:r>
          </w:p>
          <w:p w14:paraId="4EEC1E51" w14:textId="77777777" w:rsidR="00076F3F" w:rsidRPr="0063436D" w:rsidRDefault="00F2378A" w:rsidP="00F2378A">
            <w:pPr>
              <w:pStyle w:val="ListParagraph"/>
              <w:numPr>
                <w:ilvl w:val="0"/>
                <w:numId w:val="16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Détails de la décision sur le recours</w:t>
            </w:r>
          </w:p>
          <w:p w14:paraId="5353E057" w14:textId="77777777" w:rsidR="00784306" w:rsidRPr="0063436D" w:rsidRDefault="00F2378A" w:rsidP="00F2378A">
            <w:pPr>
              <w:pStyle w:val="ListParagraph"/>
              <w:numPr>
                <w:ilvl w:val="0"/>
                <w:numId w:val="16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Citation de la décision</w:t>
            </w:r>
          </w:p>
        </w:tc>
      </w:tr>
      <w:tr w:rsidR="00784306" w:rsidRPr="005E6869" w14:paraId="79D63F53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0F87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W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9406" w14:textId="77777777" w:rsidR="00076F3F" w:rsidRPr="0063436D" w:rsidRDefault="001D32AB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Divers</w:t>
            </w:r>
          </w:p>
          <w:p w14:paraId="504065D2" w14:textId="77777777" w:rsidR="00784306" w:rsidRPr="0063436D" w:rsidRDefault="001D32AB" w:rsidP="001D32AB">
            <w:pPr>
              <w:spacing w:after="200"/>
              <w:ind w:hanging="14"/>
              <w:rPr>
                <w:sz w:val="17"/>
                <w:szCs w:val="17"/>
                <w:lang w:val="fr-FR"/>
              </w:rPr>
            </w:pP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Cette catégorie recouvre les événements qui ne peuvent pas être classés dans une autre catégor</w:t>
            </w:r>
            <w:r w:rsidR="00B66A4C" w:rsidRPr="0063436D">
              <w:rPr>
                <w:sz w:val="17"/>
                <w:szCs w:val="17"/>
                <w:shd w:val="clear" w:color="auto" w:fill="FFFFFF"/>
                <w:lang w:val="fr-FR"/>
              </w:rPr>
              <w:t>ie.  Il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 xml:space="preserve"> est recommandé de l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utiliser en dernier recours pour les cas inhabituels, lorsqu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une interprétation large de la description de toutes les autres catégories ne permettrait pas de décrire correctement l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événement national, régional ou international considéré (p. ex., événements relevant d</w:t>
            </w:r>
            <w:r w:rsidR="0046773C" w:rsidRPr="0063436D">
              <w:rPr>
                <w:sz w:val="17"/>
                <w:szCs w:val="17"/>
                <w:shd w:val="clear" w:color="auto" w:fill="FFFFFF"/>
                <w:lang w:val="fr-FR"/>
              </w:rPr>
              <w:t>’</w:t>
            </w:r>
            <w:r w:rsidRPr="0063436D">
              <w:rPr>
                <w:sz w:val="17"/>
                <w:szCs w:val="17"/>
                <w:shd w:val="clear" w:color="auto" w:fill="FFFFFF"/>
                <w:lang w:val="fr-FR"/>
              </w:rPr>
              <w:t>anciens systèmes ou éléments provisoires ou à caractère interne).</w:t>
            </w:r>
            <w:r w:rsidRPr="0063436D">
              <w:rPr>
                <w:sz w:val="17"/>
                <w:shd w:val="clear" w:color="auto" w:fill="FFFFFF"/>
                <w:lang w:val="fr-FR"/>
              </w:rPr>
              <w:t xml:space="preserve"> </w:t>
            </w:r>
            <w:r w:rsidR="00EC77DA" w:rsidRPr="0063436D">
              <w:rPr>
                <w:sz w:val="17"/>
                <w:szCs w:val="17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F199B" w14:textId="77777777" w:rsidR="00784306" w:rsidRPr="0063436D" w:rsidRDefault="00F75855" w:rsidP="00F75855">
            <w:pPr>
              <w:pStyle w:val="ListParagraph"/>
              <w:numPr>
                <w:ilvl w:val="0"/>
                <w:numId w:val="17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Description de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événement n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ational 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ou ré</w:t>
            </w:r>
            <w:r w:rsidR="00784306" w:rsidRPr="0063436D">
              <w:rPr>
                <w:rFonts w:eastAsia="Times New Roman"/>
                <w:sz w:val="17"/>
                <w:szCs w:val="17"/>
                <w:lang w:val="fr-FR" w:eastAsia="en-US"/>
              </w:rPr>
              <w:t>gional</w:t>
            </w:r>
          </w:p>
        </w:tc>
      </w:tr>
      <w:tr w:rsidR="00784306" w:rsidRPr="0063436D" w14:paraId="7320BE92" w14:textId="77777777" w:rsidTr="00442430">
        <w:trPr>
          <w:cantSplit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4233" w14:textId="77777777" w:rsidR="00784306" w:rsidRPr="0063436D" w:rsidRDefault="00784306" w:rsidP="00442430">
            <w:pPr>
              <w:spacing w:before="120" w:after="120" w:line="276" w:lineRule="auto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Y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5980" w14:textId="77777777" w:rsidR="0046773C" w:rsidRPr="0063436D" w:rsidRDefault="001D32AB" w:rsidP="00442430">
            <w:pPr>
              <w:spacing w:before="120" w:after="20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Correction et suppression d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informations relatives aux événements</w:t>
            </w:r>
          </w:p>
          <w:p w14:paraId="0A16351B" w14:textId="77777777" w:rsidR="00784306" w:rsidRPr="0063436D" w:rsidRDefault="001D32AB" w:rsidP="00E82ED9">
            <w:pPr>
              <w:spacing w:after="200"/>
              <w:ind w:hanging="14"/>
              <w:rPr>
                <w:sz w:val="17"/>
                <w:szCs w:val="17"/>
                <w:shd w:val="clear" w:color="auto" w:fill="FFFFFF"/>
                <w:lang w:val="fr-FR"/>
              </w:rPr>
            </w:pPr>
            <w:r w:rsidRPr="0063436D">
              <w:rPr>
                <w:sz w:val="17"/>
                <w:szCs w:val="17"/>
                <w:lang w:val="fr-FR"/>
              </w:rPr>
              <w:t>Cette catégorie regroupe les événements liés à la correction ou à la suppression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informations erronées précédemment fournies par l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office de propriété industriel</w:t>
            </w:r>
            <w:r w:rsidR="00B66A4C" w:rsidRPr="0063436D">
              <w:rPr>
                <w:sz w:val="17"/>
                <w:szCs w:val="17"/>
                <w:lang w:val="fr-FR"/>
              </w:rPr>
              <w:t>le.  El</w:t>
            </w:r>
            <w:r w:rsidRPr="0063436D">
              <w:rPr>
                <w:sz w:val="17"/>
                <w:szCs w:val="17"/>
                <w:lang w:val="fr-FR"/>
              </w:rPr>
              <w:t>le englobe par exemple la correction du code de situation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une demande ou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droit de propriété industrielle communiqué conformément à la présente norme ou la correction ou la suppression d</w:t>
            </w:r>
            <w:r w:rsidR="0046773C" w:rsidRPr="0063436D">
              <w:rPr>
                <w:sz w:val="17"/>
                <w:szCs w:val="17"/>
                <w:lang w:val="fr-FR"/>
              </w:rPr>
              <w:t>’</w:t>
            </w:r>
            <w:r w:rsidRPr="0063436D">
              <w:rPr>
                <w:sz w:val="17"/>
                <w:szCs w:val="17"/>
                <w:lang w:val="fr-FR"/>
              </w:rPr>
              <w:t>un événement annoncé par erreur dans un bulletin, un registre ou une autre publicati</w:t>
            </w:r>
            <w:r w:rsidR="00B66A4C" w:rsidRPr="0063436D">
              <w:rPr>
                <w:sz w:val="17"/>
                <w:szCs w:val="17"/>
                <w:lang w:val="fr-FR"/>
              </w:rPr>
              <w:t>on.  Le</w:t>
            </w:r>
            <w:r w:rsidRPr="0063436D">
              <w:rPr>
                <w:sz w:val="17"/>
                <w:szCs w:val="17"/>
                <w:lang w:val="fr-FR"/>
              </w:rPr>
              <w:t>s événements relevant de cette catégorie peuvent survenir à tout stade du traitement.</w:t>
            </w:r>
            <w:r w:rsidR="00E82ED9" w:rsidRPr="0063436D">
              <w:rPr>
                <w:sz w:val="17"/>
                <w:lang w:val="fr-FR"/>
              </w:rPr>
              <w:t xml:space="preserve"> </w:t>
            </w:r>
            <w:r w:rsidR="00EC77DA" w:rsidRPr="0063436D">
              <w:rPr>
                <w:sz w:val="17"/>
                <w:szCs w:val="17"/>
                <w:lang w:val="fr-FR"/>
              </w:rPr>
              <w:t xml:space="preserve">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09BA" w14:textId="77777777" w:rsidR="00076F3F" w:rsidRPr="0063436D" w:rsidRDefault="00F2378A" w:rsidP="00F2378A">
            <w:pPr>
              <w:pStyle w:val="ListParagraph"/>
              <w:numPr>
                <w:ilvl w:val="0"/>
                <w:numId w:val="18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Identification de l</w:t>
            </w:r>
            <w:r w:rsidR="0046773C" w:rsidRPr="0063436D">
              <w:rPr>
                <w:rFonts w:eastAsia="Times New Roman"/>
                <w:sz w:val="17"/>
                <w:szCs w:val="17"/>
                <w:lang w:val="fr-FR" w:eastAsia="en-US"/>
              </w:rPr>
              <w:t>’</w:t>
            </w: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événement (code de situation et </w:t>
            </w:r>
            <w:proofErr w:type="gramStart"/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date;  ou</w:t>
            </w:r>
            <w:proofErr w:type="gramEnd"/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 xml:space="preserve"> identificateur unique)</w:t>
            </w:r>
          </w:p>
          <w:p w14:paraId="4981F1E5" w14:textId="77777777" w:rsidR="00076F3F" w:rsidRPr="0063436D" w:rsidRDefault="00F2378A" w:rsidP="00F2378A">
            <w:pPr>
              <w:pStyle w:val="ListParagraph"/>
              <w:numPr>
                <w:ilvl w:val="0"/>
                <w:numId w:val="18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Contenu précédemment publié (de manière indue)</w:t>
            </w:r>
          </w:p>
          <w:p w14:paraId="1929C96B" w14:textId="77777777" w:rsidR="00784306" w:rsidRPr="0063436D" w:rsidRDefault="007A6FF3" w:rsidP="007A6FF3">
            <w:pPr>
              <w:pStyle w:val="ListParagraph"/>
              <w:numPr>
                <w:ilvl w:val="0"/>
                <w:numId w:val="18"/>
              </w:numPr>
              <w:spacing w:before="120" w:after="200" w:line="240" w:lineRule="auto"/>
              <w:ind w:left="459" w:hanging="425"/>
              <w:contextualSpacing w:val="0"/>
              <w:rPr>
                <w:rFonts w:eastAsia="Times New Roman"/>
                <w:sz w:val="17"/>
                <w:szCs w:val="17"/>
                <w:lang w:val="fr-FR" w:eastAsia="en-US"/>
              </w:rPr>
            </w:pPr>
            <w:r w:rsidRPr="0063436D">
              <w:rPr>
                <w:rFonts w:eastAsia="Times New Roman"/>
                <w:sz w:val="17"/>
                <w:szCs w:val="17"/>
                <w:lang w:val="fr-FR" w:eastAsia="en-US"/>
              </w:rPr>
              <w:t>Nouveau contenu (corrigé)</w:t>
            </w:r>
          </w:p>
        </w:tc>
      </w:tr>
      <w:bookmarkEnd w:id="6"/>
    </w:tbl>
    <w:p w14:paraId="26D24D8B" w14:textId="5F1FA376" w:rsidR="00AE3195" w:rsidRDefault="00AE3195" w:rsidP="009318C9">
      <w:pPr>
        <w:pStyle w:val="Endofdocument-Annex"/>
        <w:rPr>
          <w:sz w:val="17"/>
          <w:lang w:val="fr-FR"/>
        </w:rPr>
      </w:pPr>
    </w:p>
    <w:p w14:paraId="6E2B8CC8" w14:textId="797949B2" w:rsidR="00AE3195" w:rsidRPr="005E6869" w:rsidRDefault="00AE3195" w:rsidP="005E6869">
      <w:pPr>
        <w:pStyle w:val="Endofdocument-Annex"/>
        <w:spacing w:before="480"/>
        <w:rPr>
          <w:sz w:val="17"/>
          <w:szCs w:val="17"/>
          <w:lang w:val="fr-FR"/>
        </w:rPr>
      </w:pPr>
      <w:r w:rsidRPr="003B3A73">
        <w:rPr>
          <w:lang w:val="fr-FR"/>
        </w:rPr>
        <w:lastRenderedPageBreak/>
        <w:t>[Fin de l’annexe</w:t>
      </w:r>
      <w:r w:rsidR="00D914E3">
        <w:rPr>
          <w:lang w:val="fr-FR"/>
        </w:rPr>
        <w:t xml:space="preserve"> et du document</w:t>
      </w:r>
      <w:r w:rsidRPr="003B3A73">
        <w:rPr>
          <w:lang w:val="fr-FR"/>
        </w:rPr>
        <w:t>]</w:t>
      </w:r>
      <w:bookmarkStart w:id="7" w:name="_ANNEX_III"/>
      <w:bookmarkEnd w:id="7"/>
    </w:p>
    <w:sectPr w:rsidR="00AE3195" w:rsidRPr="005E6869" w:rsidSect="004424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2" w:right="1138" w:bottom="1411" w:left="1411" w:header="504" w:footer="102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4861" w14:textId="77777777" w:rsidR="004E595F" w:rsidRDefault="004E595F">
      <w:r>
        <w:separator/>
      </w:r>
    </w:p>
  </w:endnote>
  <w:endnote w:type="continuationSeparator" w:id="0">
    <w:p w14:paraId="064E208E" w14:textId="77777777" w:rsidR="004E595F" w:rsidRDefault="004E595F" w:rsidP="00A326CA">
      <w:r>
        <w:separator/>
      </w:r>
    </w:p>
    <w:p w14:paraId="7E43A613" w14:textId="77777777" w:rsidR="004E595F" w:rsidRPr="00A326CA" w:rsidRDefault="004E595F" w:rsidP="00A326CA">
      <w:r>
        <w:t>[Endnote continued from previous page]</w:t>
      </w:r>
    </w:p>
  </w:endnote>
  <w:endnote w:type="continuationNotice" w:id="1">
    <w:p w14:paraId="35C2EA71" w14:textId="77777777" w:rsidR="004E595F" w:rsidRPr="00A326CA" w:rsidRDefault="004E595F" w:rsidP="00A326CA">
      <w:pPr>
        <w:spacing w:before="60"/>
        <w:jc w:val="right"/>
        <w:rPr>
          <w:szCs w:val="17"/>
        </w:rPr>
      </w:pPr>
      <w:r w:rsidRPr="000C7343">
        <w:rPr>
          <w:szCs w:val="17"/>
        </w:rPr>
        <w:t>[Endnot</w:t>
      </w:r>
      <w:r>
        <w:rPr>
          <w:szCs w:val="17"/>
        </w:rPr>
        <w:t xml:space="preserve">e </w:t>
      </w:r>
      <w:proofErr w:type="gramStart"/>
      <w:r>
        <w:rPr>
          <w:szCs w:val="17"/>
        </w:rPr>
        <w:t>continued on</w:t>
      </w:r>
      <w:proofErr w:type="gramEnd"/>
      <w:r>
        <w:rPr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87B7" w14:textId="105969C0" w:rsidR="009318C9" w:rsidRDefault="00931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41E2" w14:textId="527E559A" w:rsidR="009318C9" w:rsidRDefault="009318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D265" w14:textId="513AA950" w:rsidR="00451CFB" w:rsidRDefault="00451CFB" w:rsidP="00F034A5">
    <w:pPr>
      <w:pStyle w:val="Footer"/>
      <w:tabs>
        <w:tab w:val="clear" w:pos="4320"/>
        <w:tab w:val="clear" w:pos="8640"/>
        <w:tab w:val="left" w:pos="2490"/>
      </w:tabs>
    </w:pPr>
    <w:r>
      <w:tab/>
    </w:r>
  </w:p>
  <w:p w14:paraId="7C3F6E50" w14:textId="77777777" w:rsidR="00451CFB" w:rsidRPr="00FC3CF4" w:rsidRDefault="00451CFB" w:rsidP="00FC3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9CD6" w14:textId="77777777" w:rsidR="004E595F" w:rsidRDefault="004E595F">
      <w:r>
        <w:separator/>
      </w:r>
    </w:p>
  </w:footnote>
  <w:footnote w:type="continuationSeparator" w:id="0">
    <w:p w14:paraId="3340971A" w14:textId="77777777" w:rsidR="004E595F" w:rsidRDefault="004E595F" w:rsidP="00A326CA">
      <w:r>
        <w:separator/>
      </w:r>
    </w:p>
    <w:p w14:paraId="4FF197A9" w14:textId="77777777" w:rsidR="004E595F" w:rsidRPr="00A326CA" w:rsidRDefault="004E595F" w:rsidP="00A326CA">
      <w:pPr>
        <w:spacing w:after="60"/>
        <w:rPr>
          <w:szCs w:val="17"/>
        </w:rPr>
      </w:pPr>
      <w:r w:rsidRPr="00ED77FB">
        <w:rPr>
          <w:szCs w:val="17"/>
        </w:rPr>
        <w:t>[Footnot</w:t>
      </w:r>
      <w:r>
        <w:rPr>
          <w:szCs w:val="17"/>
        </w:rPr>
        <w:t>e continued from previous page]</w:t>
      </w:r>
    </w:p>
  </w:footnote>
  <w:footnote w:type="continuationNotice" w:id="1">
    <w:p w14:paraId="6F451B04" w14:textId="77777777" w:rsidR="004E595F" w:rsidRPr="00A326CA" w:rsidRDefault="004E595F" w:rsidP="00A326CA">
      <w:pPr>
        <w:spacing w:before="60"/>
        <w:jc w:val="right"/>
        <w:rPr>
          <w:szCs w:val="17"/>
        </w:rPr>
      </w:pPr>
      <w:r w:rsidRPr="000C7343">
        <w:rPr>
          <w:szCs w:val="17"/>
        </w:rPr>
        <w:t>[F</w:t>
      </w:r>
      <w:r>
        <w:rPr>
          <w:szCs w:val="17"/>
        </w:rPr>
        <w:t xml:space="preserve">ootnote </w:t>
      </w:r>
      <w:proofErr w:type="gramStart"/>
      <w:r>
        <w:rPr>
          <w:szCs w:val="17"/>
        </w:rPr>
        <w:t>continued on</w:t>
      </w:r>
      <w:proofErr w:type="gramEnd"/>
      <w:r>
        <w:rPr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3B51" w14:textId="544726E4" w:rsidR="00451CFB" w:rsidRPr="00ED67EC" w:rsidRDefault="00451CFB" w:rsidP="00DC339E">
    <w:pPr>
      <w:pStyle w:val="Header"/>
      <w:spacing w:line="240" w:lineRule="auto"/>
      <w:jc w:val="right"/>
      <w:rPr>
        <w:sz w:val="22"/>
        <w:szCs w:val="18"/>
        <w:lang w:val="fr-CH"/>
      </w:rPr>
    </w:pPr>
    <w:r w:rsidRPr="00ED67EC">
      <w:rPr>
        <w:sz w:val="22"/>
        <w:szCs w:val="18"/>
        <w:lang w:val="fr-CH"/>
      </w:rPr>
      <w:t>C</w:t>
    </w:r>
    <w:r>
      <w:rPr>
        <w:sz w:val="22"/>
        <w:szCs w:val="18"/>
        <w:lang w:val="fr-CH"/>
      </w:rPr>
      <w:t>WS/</w:t>
    </w:r>
    <w:r w:rsidR="002D7E14">
      <w:rPr>
        <w:sz w:val="22"/>
        <w:szCs w:val="18"/>
        <w:lang w:val="fr-CH"/>
      </w:rPr>
      <w:t>11/9</w:t>
    </w:r>
  </w:p>
  <w:p w14:paraId="245F5C15" w14:textId="517C5A13" w:rsidR="00451CFB" w:rsidRPr="00DC339E" w:rsidRDefault="00451CFB" w:rsidP="00DC339E">
    <w:pPr>
      <w:pStyle w:val="Header"/>
      <w:spacing w:line="240" w:lineRule="auto"/>
      <w:jc w:val="right"/>
      <w:rPr>
        <w:sz w:val="22"/>
        <w:szCs w:val="18"/>
        <w:lang w:val="fr-CH"/>
      </w:rPr>
    </w:pPr>
    <w:r>
      <w:rPr>
        <w:sz w:val="22"/>
        <w:szCs w:val="18"/>
        <w:lang w:val="fr-CH"/>
      </w:rPr>
      <w:t>Annexe</w:t>
    </w:r>
    <w:r w:rsidRPr="00ED67EC">
      <w:rPr>
        <w:sz w:val="22"/>
        <w:szCs w:val="18"/>
        <w:lang w:val="fr-CH"/>
      </w:rPr>
      <w:t xml:space="preserve">, page </w:t>
    </w:r>
    <w:sdt>
      <w:sdtPr>
        <w:rPr>
          <w:sz w:val="22"/>
          <w:szCs w:val="18"/>
          <w:lang w:val="fr-CH"/>
        </w:rPr>
        <w:id w:val="1751620228"/>
        <w:docPartObj>
          <w:docPartGallery w:val="Page Numbers (Top of Page)"/>
          <w:docPartUnique/>
        </w:docPartObj>
      </w:sdtPr>
      <w:sdtContent>
        <w:r w:rsidRPr="00DC339E">
          <w:rPr>
            <w:sz w:val="22"/>
            <w:szCs w:val="18"/>
            <w:lang w:val="fr-CH"/>
          </w:rPr>
          <w:fldChar w:fldCharType="begin"/>
        </w:r>
        <w:r w:rsidRPr="00ED67EC">
          <w:rPr>
            <w:sz w:val="22"/>
            <w:szCs w:val="18"/>
            <w:lang w:val="fr-CH"/>
          </w:rPr>
          <w:instrText xml:space="preserve"> PAGE   \* MERGEFORMAT </w:instrText>
        </w:r>
        <w:r w:rsidRPr="00DC339E">
          <w:rPr>
            <w:sz w:val="22"/>
            <w:szCs w:val="18"/>
            <w:lang w:val="fr-CH"/>
          </w:rPr>
          <w:fldChar w:fldCharType="separate"/>
        </w:r>
        <w:r w:rsidR="00052197">
          <w:rPr>
            <w:noProof/>
            <w:sz w:val="22"/>
            <w:szCs w:val="18"/>
            <w:lang w:val="fr-CH"/>
          </w:rPr>
          <w:t>10</w:t>
        </w:r>
        <w:r w:rsidRPr="00DC339E">
          <w:rPr>
            <w:sz w:val="22"/>
            <w:szCs w:val="18"/>
            <w:lang w:val="fr-CH"/>
          </w:rPr>
          <w:fldChar w:fldCharType="end"/>
        </w:r>
      </w:sdtContent>
    </w:sdt>
  </w:p>
  <w:p w14:paraId="795C5A4E" w14:textId="77777777" w:rsidR="00451CFB" w:rsidRPr="00FC3CF4" w:rsidRDefault="00451CFB" w:rsidP="00FC3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CD35" w14:textId="1BD13B2E" w:rsidR="00451CFB" w:rsidRPr="00ED67EC" w:rsidRDefault="00451CFB" w:rsidP="00442430">
    <w:pPr>
      <w:pStyle w:val="Header"/>
      <w:spacing w:line="240" w:lineRule="auto"/>
      <w:jc w:val="right"/>
      <w:rPr>
        <w:sz w:val="22"/>
        <w:szCs w:val="18"/>
        <w:lang w:val="fr-CH"/>
      </w:rPr>
    </w:pPr>
    <w:r w:rsidRPr="00ED67EC">
      <w:rPr>
        <w:sz w:val="22"/>
        <w:szCs w:val="18"/>
        <w:lang w:val="fr-CH"/>
      </w:rPr>
      <w:t>C</w:t>
    </w:r>
    <w:r>
      <w:rPr>
        <w:sz w:val="22"/>
        <w:szCs w:val="18"/>
        <w:lang w:val="fr-CH"/>
      </w:rPr>
      <w:t>WS/</w:t>
    </w:r>
    <w:r w:rsidR="002D7E14">
      <w:rPr>
        <w:sz w:val="22"/>
        <w:szCs w:val="18"/>
        <w:lang w:val="fr-CH"/>
      </w:rPr>
      <w:t>11/9</w:t>
    </w:r>
  </w:p>
  <w:p w14:paraId="29983662" w14:textId="38A1F092" w:rsidR="00451CFB" w:rsidRPr="00ED67EC" w:rsidRDefault="00451CFB" w:rsidP="00442430">
    <w:pPr>
      <w:pStyle w:val="Header"/>
      <w:jc w:val="right"/>
      <w:rPr>
        <w:sz w:val="22"/>
        <w:szCs w:val="18"/>
        <w:lang w:val="fr-CH"/>
      </w:rPr>
    </w:pPr>
    <w:r>
      <w:rPr>
        <w:sz w:val="22"/>
        <w:szCs w:val="18"/>
        <w:lang w:val="fr-CH"/>
      </w:rPr>
      <w:t>Annexe</w:t>
    </w:r>
    <w:r w:rsidRPr="00ED67EC">
      <w:rPr>
        <w:sz w:val="22"/>
        <w:szCs w:val="18"/>
        <w:lang w:val="fr-CH"/>
      </w:rPr>
      <w:t>, page</w:t>
    </w:r>
    <w:r>
      <w:rPr>
        <w:sz w:val="22"/>
        <w:szCs w:val="18"/>
        <w:lang w:val="fr-CH"/>
      </w:rPr>
      <w:t> </w:t>
    </w:r>
    <w:sdt>
      <w:sdtPr>
        <w:rPr>
          <w:sz w:val="22"/>
          <w:szCs w:val="18"/>
        </w:rPr>
        <w:id w:val="10695369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30B54">
          <w:rPr>
            <w:sz w:val="22"/>
            <w:szCs w:val="18"/>
          </w:rPr>
          <w:fldChar w:fldCharType="begin"/>
        </w:r>
        <w:r w:rsidRPr="00ED67EC">
          <w:rPr>
            <w:sz w:val="22"/>
            <w:szCs w:val="18"/>
            <w:lang w:val="fr-CH"/>
          </w:rPr>
          <w:instrText xml:space="preserve"> PAGE   \* MERGEFORMAT </w:instrText>
        </w:r>
        <w:r w:rsidRPr="00C30B54">
          <w:rPr>
            <w:sz w:val="22"/>
            <w:szCs w:val="18"/>
          </w:rPr>
          <w:fldChar w:fldCharType="separate"/>
        </w:r>
        <w:r w:rsidR="00052197">
          <w:rPr>
            <w:noProof/>
            <w:sz w:val="22"/>
            <w:szCs w:val="18"/>
            <w:lang w:val="fr-CH"/>
          </w:rPr>
          <w:t>9</w:t>
        </w:r>
        <w:r w:rsidRPr="00C30B54">
          <w:rPr>
            <w:noProof/>
            <w:sz w:val="22"/>
            <w:szCs w:val="18"/>
          </w:rPr>
          <w:fldChar w:fldCharType="end"/>
        </w:r>
      </w:sdtContent>
    </w:sdt>
  </w:p>
  <w:p w14:paraId="4F6B160E" w14:textId="77777777" w:rsidR="00451CFB" w:rsidRPr="00FC3CF4" w:rsidRDefault="00451CFB" w:rsidP="004424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FAF6" w14:textId="16F410B9" w:rsidR="00451CFB" w:rsidRPr="00C30B54" w:rsidRDefault="00451CFB">
    <w:pPr>
      <w:pStyle w:val="Header"/>
      <w:spacing w:line="240" w:lineRule="auto"/>
      <w:jc w:val="right"/>
      <w:rPr>
        <w:sz w:val="22"/>
        <w:szCs w:val="22"/>
        <w:lang w:val="fr-FR"/>
      </w:rPr>
    </w:pPr>
    <w:r w:rsidRPr="00C30B54">
      <w:rPr>
        <w:sz w:val="22"/>
        <w:szCs w:val="22"/>
        <w:lang w:val="fr-FR"/>
      </w:rPr>
      <w:t>C</w:t>
    </w:r>
    <w:r>
      <w:rPr>
        <w:sz w:val="22"/>
        <w:szCs w:val="22"/>
        <w:lang w:val="fr-FR"/>
      </w:rPr>
      <w:t>WS/</w:t>
    </w:r>
    <w:r w:rsidR="00A31AAD">
      <w:rPr>
        <w:sz w:val="22"/>
        <w:szCs w:val="22"/>
        <w:lang w:val="fr-FR"/>
      </w:rPr>
      <w:t>11/9</w:t>
    </w:r>
  </w:p>
  <w:p w14:paraId="6B0F99C3" w14:textId="2C324B5F" w:rsidR="00451CFB" w:rsidRPr="00FC3CF4" w:rsidRDefault="00451CFB" w:rsidP="00442430">
    <w:pPr>
      <w:pStyle w:val="Header"/>
      <w:jc w:val="right"/>
    </w:pPr>
    <w:r w:rsidRPr="00C30B54">
      <w:rPr>
        <w:sz w:val="22"/>
        <w:szCs w:val="22"/>
        <w:lang w:val="fr-FR"/>
      </w:rPr>
      <w:tab/>
    </w:r>
    <w:r w:rsidRPr="00C30B54">
      <w:rPr>
        <w:sz w:val="22"/>
        <w:szCs w:val="22"/>
        <w:lang w:val="fr-FR"/>
      </w:rPr>
      <w:tab/>
    </w:r>
    <w:r>
      <w:rPr>
        <w:sz w:val="22"/>
        <w:szCs w:val="22"/>
        <w:lang w:val="fr-FR"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943"/>
    <w:multiLevelType w:val="hybridMultilevel"/>
    <w:tmpl w:val="7EF27AAA"/>
    <w:lvl w:ilvl="0" w:tplc="2962F1E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D04CC5"/>
    <w:multiLevelType w:val="hybridMultilevel"/>
    <w:tmpl w:val="CE94A6C4"/>
    <w:lvl w:ilvl="0" w:tplc="5D8E7CE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5" w:hanging="180"/>
      </w:pPr>
      <w:rPr>
        <w:rFonts w:ascii="Symbol" w:hAnsi="Symbol" w:hint="default"/>
      </w:rPr>
    </w:lvl>
    <w:lvl w:ilvl="3" w:tplc="F68856CA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2280D"/>
    <w:multiLevelType w:val="hybridMultilevel"/>
    <w:tmpl w:val="62E69EE6"/>
    <w:lvl w:ilvl="0" w:tplc="2962F1E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7464E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3261A39"/>
    <w:multiLevelType w:val="hybridMultilevel"/>
    <w:tmpl w:val="4AE2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74E13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D75EA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92D9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F736F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731D3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F3D8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612F9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E7975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3E04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45680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366E5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77F00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33879"/>
    <w:multiLevelType w:val="hybridMultilevel"/>
    <w:tmpl w:val="810E881C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703A54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17FF5"/>
    <w:multiLevelType w:val="hybridMultilevel"/>
    <w:tmpl w:val="82989C30"/>
    <w:lvl w:ilvl="0" w:tplc="5D8E7CE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68856CA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C728B"/>
    <w:multiLevelType w:val="hybridMultilevel"/>
    <w:tmpl w:val="EFA66CAC"/>
    <w:lvl w:ilvl="0" w:tplc="A2D095D6">
      <w:start w:val="1"/>
      <w:numFmt w:val="decimal"/>
      <w:lvlText w:val="%1."/>
      <w:lvlJc w:val="left"/>
      <w:pPr>
        <w:ind w:left="57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853A1A"/>
    <w:multiLevelType w:val="hybridMultilevel"/>
    <w:tmpl w:val="B6AEE4FA"/>
    <w:lvl w:ilvl="0" w:tplc="5D8E7CE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2962F1E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68856CA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97098"/>
    <w:multiLevelType w:val="hybridMultilevel"/>
    <w:tmpl w:val="A7282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C7AEA"/>
    <w:multiLevelType w:val="hybridMultilevel"/>
    <w:tmpl w:val="354AAC82"/>
    <w:lvl w:ilvl="0" w:tplc="7DDAA754">
      <w:start w:val="1"/>
      <w:numFmt w:val="lowerLetter"/>
      <w:lvlText w:val="%1)"/>
      <w:lvlJc w:val="left"/>
      <w:pPr>
        <w:ind w:left="927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142302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137F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2560F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1781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50F57"/>
    <w:multiLevelType w:val="hybridMultilevel"/>
    <w:tmpl w:val="9D2C282A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54FC1"/>
    <w:multiLevelType w:val="hybridMultilevel"/>
    <w:tmpl w:val="75EA2778"/>
    <w:lvl w:ilvl="0" w:tplc="5D8E7CE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68856CA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A20DA"/>
    <w:multiLevelType w:val="hybridMultilevel"/>
    <w:tmpl w:val="7B60B398"/>
    <w:lvl w:ilvl="0" w:tplc="743CAEF2">
      <w:start w:val="1"/>
      <w:numFmt w:val="decimal"/>
      <w:lvlText w:val="%1."/>
      <w:lvlJc w:val="left"/>
      <w:pPr>
        <w:ind w:left="57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D40839"/>
    <w:multiLevelType w:val="hybridMultilevel"/>
    <w:tmpl w:val="311EB1C6"/>
    <w:lvl w:ilvl="0" w:tplc="6C36BB98">
      <w:start w:val="1"/>
      <w:numFmt w:val="decimal"/>
      <w:lvlText w:val="%1."/>
      <w:lvlJc w:val="left"/>
      <w:pPr>
        <w:ind w:left="93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E6CC8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A6199"/>
    <w:multiLevelType w:val="hybridMultilevel"/>
    <w:tmpl w:val="CAE4260C"/>
    <w:lvl w:ilvl="0" w:tplc="2434209C">
      <w:start w:val="1"/>
      <w:numFmt w:val="decimal"/>
      <w:lvlText w:val="%1."/>
      <w:lvlJc w:val="left"/>
      <w:pPr>
        <w:ind w:left="165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1678B4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12437">
    <w:abstractNumId w:val="18"/>
  </w:num>
  <w:num w:numId="2" w16cid:durableId="1097604942">
    <w:abstractNumId w:val="1"/>
  </w:num>
  <w:num w:numId="3" w16cid:durableId="172184649">
    <w:abstractNumId w:val="5"/>
  </w:num>
  <w:num w:numId="4" w16cid:durableId="1732727710">
    <w:abstractNumId w:val="33"/>
  </w:num>
  <w:num w:numId="5" w16cid:durableId="335887985">
    <w:abstractNumId w:val="6"/>
  </w:num>
  <w:num w:numId="6" w16cid:durableId="641732895">
    <w:abstractNumId w:val="32"/>
  </w:num>
  <w:num w:numId="7" w16cid:durableId="1641498575">
    <w:abstractNumId w:val="34"/>
  </w:num>
  <w:num w:numId="8" w16cid:durableId="930502059">
    <w:abstractNumId w:val="17"/>
  </w:num>
  <w:num w:numId="9" w16cid:durableId="1767918921">
    <w:abstractNumId w:val="12"/>
  </w:num>
  <w:num w:numId="10" w16cid:durableId="2138991640">
    <w:abstractNumId w:val="26"/>
  </w:num>
  <w:num w:numId="11" w16cid:durableId="1098213670">
    <w:abstractNumId w:val="24"/>
  </w:num>
  <w:num w:numId="12" w16cid:durableId="1888446569">
    <w:abstractNumId w:val="22"/>
  </w:num>
  <w:num w:numId="13" w16cid:durableId="207955720">
    <w:abstractNumId w:val="31"/>
  </w:num>
  <w:num w:numId="14" w16cid:durableId="1025446566">
    <w:abstractNumId w:val="36"/>
  </w:num>
  <w:num w:numId="15" w16cid:durableId="1757938441">
    <w:abstractNumId w:val="2"/>
  </w:num>
  <w:num w:numId="16" w16cid:durableId="880165314">
    <w:abstractNumId w:val="29"/>
  </w:num>
  <w:num w:numId="17" w16cid:durableId="1021278243">
    <w:abstractNumId w:val="10"/>
  </w:num>
  <w:num w:numId="18" w16cid:durableId="1915121620">
    <w:abstractNumId w:val="19"/>
  </w:num>
  <w:num w:numId="19" w16cid:durableId="146090567">
    <w:abstractNumId w:val="15"/>
  </w:num>
  <w:num w:numId="20" w16cid:durableId="315375144">
    <w:abstractNumId w:val="4"/>
  </w:num>
  <w:num w:numId="21" w16cid:durableId="701902831">
    <w:abstractNumId w:val="14"/>
  </w:num>
  <w:num w:numId="22" w16cid:durableId="257367271">
    <w:abstractNumId w:val="30"/>
  </w:num>
  <w:num w:numId="23" w16cid:durableId="1667198768">
    <w:abstractNumId w:val="8"/>
  </w:num>
  <w:num w:numId="24" w16cid:durableId="1717048542">
    <w:abstractNumId w:val="16"/>
  </w:num>
  <w:num w:numId="25" w16cid:durableId="1521311262">
    <w:abstractNumId w:val="28"/>
  </w:num>
  <w:num w:numId="26" w16cid:durableId="1656563350">
    <w:abstractNumId w:val="21"/>
  </w:num>
  <w:num w:numId="27" w16cid:durableId="281767388">
    <w:abstractNumId w:val="27"/>
  </w:num>
  <w:num w:numId="28" w16cid:durableId="528179274">
    <w:abstractNumId w:val="35"/>
  </w:num>
  <w:num w:numId="29" w16cid:durableId="2074308865">
    <w:abstractNumId w:val="11"/>
  </w:num>
  <w:num w:numId="30" w16cid:durableId="607279392">
    <w:abstractNumId w:val="37"/>
  </w:num>
  <w:num w:numId="31" w16cid:durableId="715351670">
    <w:abstractNumId w:val="7"/>
  </w:num>
  <w:num w:numId="32" w16cid:durableId="996033236">
    <w:abstractNumId w:val="9"/>
  </w:num>
  <w:num w:numId="33" w16cid:durableId="1852183031">
    <w:abstractNumId w:val="13"/>
  </w:num>
  <w:num w:numId="34" w16cid:durableId="504705550">
    <w:abstractNumId w:val="25"/>
  </w:num>
  <w:num w:numId="35" w16cid:durableId="1755199295">
    <w:abstractNumId w:val="23"/>
  </w:num>
  <w:num w:numId="36" w16cid:durableId="639111119">
    <w:abstractNumId w:val="20"/>
  </w:num>
  <w:num w:numId="37" w16cid:durableId="753354456">
    <w:abstractNumId w:val="3"/>
  </w:num>
  <w:num w:numId="38" w16cid:durableId="1339425853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CWS84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0A37EB"/>
    <w:rsid w:val="0000102F"/>
    <w:rsid w:val="00002858"/>
    <w:rsid w:val="00002E03"/>
    <w:rsid w:val="00003C15"/>
    <w:rsid w:val="00004040"/>
    <w:rsid w:val="0000412D"/>
    <w:rsid w:val="00005303"/>
    <w:rsid w:val="00005A22"/>
    <w:rsid w:val="0000695D"/>
    <w:rsid w:val="00006AD3"/>
    <w:rsid w:val="00006BA4"/>
    <w:rsid w:val="00006C57"/>
    <w:rsid w:val="000076EB"/>
    <w:rsid w:val="00010912"/>
    <w:rsid w:val="000121C4"/>
    <w:rsid w:val="0001307F"/>
    <w:rsid w:val="00013735"/>
    <w:rsid w:val="00013F64"/>
    <w:rsid w:val="00015612"/>
    <w:rsid w:val="00015DF4"/>
    <w:rsid w:val="000171FA"/>
    <w:rsid w:val="00017DCC"/>
    <w:rsid w:val="000216C4"/>
    <w:rsid w:val="0002178B"/>
    <w:rsid w:val="00021A17"/>
    <w:rsid w:val="000237E0"/>
    <w:rsid w:val="000237FD"/>
    <w:rsid w:val="00023E71"/>
    <w:rsid w:val="00025D2B"/>
    <w:rsid w:val="00026707"/>
    <w:rsid w:val="00030118"/>
    <w:rsid w:val="00030B97"/>
    <w:rsid w:val="000321CA"/>
    <w:rsid w:val="00033557"/>
    <w:rsid w:val="00033FDE"/>
    <w:rsid w:val="00034EAD"/>
    <w:rsid w:val="00036174"/>
    <w:rsid w:val="000363B7"/>
    <w:rsid w:val="000366B4"/>
    <w:rsid w:val="000377E3"/>
    <w:rsid w:val="000412DD"/>
    <w:rsid w:val="000413B7"/>
    <w:rsid w:val="00043535"/>
    <w:rsid w:val="00043CF7"/>
    <w:rsid w:val="0004418A"/>
    <w:rsid w:val="000472FB"/>
    <w:rsid w:val="00051D0A"/>
    <w:rsid w:val="00052197"/>
    <w:rsid w:val="00052BC5"/>
    <w:rsid w:val="00052E31"/>
    <w:rsid w:val="000541EE"/>
    <w:rsid w:val="00054664"/>
    <w:rsid w:val="000551CE"/>
    <w:rsid w:val="00056F7E"/>
    <w:rsid w:val="00057FE5"/>
    <w:rsid w:val="0006031D"/>
    <w:rsid w:val="00062643"/>
    <w:rsid w:val="00062B0D"/>
    <w:rsid w:val="00063CE2"/>
    <w:rsid w:val="00064265"/>
    <w:rsid w:val="000648B9"/>
    <w:rsid w:val="00071087"/>
    <w:rsid w:val="000730C1"/>
    <w:rsid w:val="00074DB9"/>
    <w:rsid w:val="00075EDA"/>
    <w:rsid w:val="00076F3F"/>
    <w:rsid w:val="000779BE"/>
    <w:rsid w:val="00080468"/>
    <w:rsid w:val="00081591"/>
    <w:rsid w:val="0008215E"/>
    <w:rsid w:val="00082908"/>
    <w:rsid w:val="00083B7D"/>
    <w:rsid w:val="00084B82"/>
    <w:rsid w:val="000857B3"/>
    <w:rsid w:val="000865CD"/>
    <w:rsid w:val="0008761A"/>
    <w:rsid w:val="000876D4"/>
    <w:rsid w:val="0008793C"/>
    <w:rsid w:val="0009122A"/>
    <w:rsid w:val="000916A6"/>
    <w:rsid w:val="000924C0"/>
    <w:rsid w:val="000948EF"/>
    <w:rsid w:val="00095312"/>
    <w:rsid w:val="00095DAB"/>
    <w:rsid w:val="000A162F"/>
    <w:rsid w:val="000A1F61"/>
    <w:rsid w:val="000A2E0A"/>
    <w:rsid w:val="000A3259"/>
    <w:rsid w:val="000A37EB"/>
    <w:rsid w:val="000A3950"/>
    <w:rsid w:val="000A3EF3"/>
    <w:rsid w:val="000A700C"/>
    <w:rsid w:val="000B1460"/>
    <w:rsid w:val="000B198B"/>
    <w:rsid w:val="000B2E9D"/>
    <w:rsid w:val="000B3E93"/>
    <w:rsid w:val="000B3F9E"/>
    <w:rsid w:val="000B5000"/>
    <w:rsid w:val="000B5B0C"/>
    <w:rsid w:val="000B7C0D"/>
    <w:rsid w:val="000C0D9E"/>
    <w:rsid w:val="000C144B"/>
    <w:rsid w:val="000C21B9"/>
    <w:rsid w:val="000C32AD"/>
    <w:rsid w:val="000C3E47"/>
    <w:rsid w:val="000C59DE"/>
    <w:rsid w:val="000C6F3C"/>
    <w:rsid w:val="000C7231"/>
    <w:rsid w:val="000C72EC"/>
    <w:rsid w:val="000C74A7"/>
    <w:rsid w:val="000D0C16"/>
    <w:rsid w:val="000D0C4E"/>
    <w:rsid w:val="000D0F16"/>
    <w:rsid w:val="000D129E"/>
    <w:rsid w:val="000D181C"/>
    <w:rsid w:val="000D1C65"/>
    <w:rsid w:val="000D2DC7"/>
    <w:rsid w:val="000D3D9A"/>
    <w:rsid w:val="000D5A86"/>
    <w:rsid w:val="000D6DDC"/>
    <w:rsid w:val="000D70FD"/>
    <w:rsid w:val="000D7129"/>
    <w:rsid w:val="000D733E"/>
    <w:rsid w:val="000E0041"/>
    <w:rsid w:val="000E0957"/>
    <w:rsid w:val="000E2B9A"/>
    <w:rsid w:val="000E3B76"/>
    <w:rsid w:val="000E523C"/>
    <w:rsid w:val="000E6A67"/>
    <w:rsid w:val="000E7E83"/>
    <w:rsid w:val="000F13AD"/>
    <w:rsid w:val="000F15A0"/>
    <w:rsid w:val="000F1BA8"/>
    <w:rsid w:val="000F23D1"/>
    <w:rsid w:val="000F48A8"/>
    <w:rsid w:val="000F54CC"/>
    <w:rsid w:val="000F5E56"/>
    <w:rsid w:val="000F71D6"/>
    <w:rsid w:val="000F7F3F"/>
    <w:rsid w:val="00100A06"/>
    <w:rsid w:val="0010134A"/>
    <w:rsid w:val="00106A1A"/>
    <w:rsid w:val="0011083B"/>
    <w:rsid w:val="001154C7"/>
    <w:rsid w:val="00115CDB"/>
    <w:rsid w:val="00120D16"/>
    <w:rsid w:val="001219E2"/>
    <w:rsid w:val="00121A15"/>
    <w:rsid w:val="00121F0F"/>
    <w:rsid w:val="001228E2"/>
    <w:rsid w:val="001233B1"/>
    <w:rsid w:val="0012353B"/>
    <w:rsid w:val="0012431C"/>
    <w:rsid w:val="00124D06"/>
    <w:rsid w:val="00125893"/>
    <w:rsid w:val="00125E9B"/>
    <w:rsid w:val="0012614D"/>
    <w:rsid w:val="0013017E"/>
    <w:rsid w:val="00130D7A"/>
    <w:rsid w:val="00131484"/>
    <w:rsid w:val="001333CA"/>
    <w:rsid w:val="00135DD7"/>
    <w:rsid w:val="00137972"/>
    <w:rsid w:val="0014038B"/>
    <w:rsid w:val="00140497"/>
    <w:rsid w:val="00140D4D"/>
    <w:rsid w:val="001424E4"/>
    <w:rsid w:val="001426BB"/>
    <w:rsid w:val="00143089"/>
    <w:rsid w:val="0014523A"/>
    <w:rsid w:val="00145B81"/>
    <w:rsid w:val="0014627D"/>
    <w:rsid w:val="00146C7A"/>
    <w:rsid w:val="001521DD"/>
    <w:rsid w:val="001525F8"/>
    <w:rsid w:val="00152AD9"/>
    <w:rsid w:val="00152FFA"/>
    <w:rsid w:val="001531CB"/>
    <w:rsid w:val="001536CF"/>
    <w:rsid w:val="00155268"/>
    <w:rsid w:val="001555B8"/>
    <w:rsid w:val="00156495"/>
    <w:rsid w:val="001575A3"/>
    <w:rsid w:val="00157939"/>
    <w:rsid w:val="00160E25"/>
    <w:rsid w:val="00162429"/>
    <w:rsid w:val="00162ADD"/>
    <w:rsid w:val="00163169"/>
    <w:rsid w:val="0016336C"/>
    <w:rsid w:val="00163D92"/>
    <w:rsid w:val="00164081"/>
    <w:rsid w:val="00164F03"/>
    <w:rsid w:val="0016587D"/>
    <w:rsid w:val="00165E42"/>
    <w:rsid w:val="00166739"/>
    <w:rsid w:val="00167352"/>
    <w:rsid w:val="00167936"/>
    <w:rsid w:val="001705AA"/>
    <w:rsid w:val="00170652"/>
    <w:rsid w:val="001708F5"/>
    <w:rsid w:val="00170B52"/>
    <w:rsid w:val="001713DB"/>
    <w:rsid w:val="00172386"/>
    <w:rsid w:val="00172D36"/>
    <w:rsid w:val="0017329E"/>
    <w:rsid w:val="001736E1"/>
    <w:rsid w:val="0017438F"/>
    <w:rsid w:val="00175322"/>
    <w:rsid w:val="0017612B"/>
    <w:rsid w:val="00176918"/>
    <w:rsid w:val="00177295"/>
    <w:rsid w:val="00180D5D"/>
    <w:rsid w:val="00181949"/>
    <w:rsid w:val="001836EE"/>
    <w:rsid w:val="00183854"/>
    <w:rsid w:val="00184900"/>
    <w:rsid w:val="0018775C"/>
    <w:rsid w:val="00187C6C"/>
    <w:rsid w:val="00190F24"/>
    <w:rsid w:val="00191820"/>
    <w:rsid w:val="001923A1"/>
    <w:rsid w:val="00194694"/>
    <w:rsid w:val="001949CC"/>
    <w:rsid w:val="00194F40"/>
    <w:rsid w:val="00195326"/>
    <w:rsid w:val="001959AB"/>
    <w:rsid w:val="0019609E"/>
    <w:rsid w:val="00197741"/>
    <w:rsid w:val="00197986"/>
    <w:rsid w:val="001A00E0"/>
    <w:rsid w:val="001A0824"/>
    <w:rsid w:val="001A134E"/>
    <w:rsid w:val="001A170C"/>
    <w:rsid w:val="001A23AF"/>
    <w:rsid w:val="001A289C"/>
    <w:rsid w:val="001A3309"/>
    <w:rsid w:val="001A3656"/>
    <w:rsid w:val="001A4702"/>
    <w:rsid w:val="001A5367"/>
    <w:rsid w:val="001A5F92"/>
    <w:rsid w:val="001A67F5"/>
    <w:rsid w:val="001A68EB"/>
    <w:rsid w:val="001A6A62"/>
    <w:rsid w:val="001A6F45"/>
    <w:rsid w:val="001A7B57"/>
    <w:rsid w:val="001B01C9"/>
    <w:rsid w:val="001B10C2"/>
    <w:rsid w:val="001B1B11"/>
    <w:rsid w:val="001B1B4F"/>
    <w:rsid w:val="001B2ED0"/>
    <w:rsid w:val="001B348B"/>
    <w:rsid w:val="001B379F"/>
    <w:rsid w:val="001B3F36"/>
    <w:rsid w:val="001B5F88"/>
    <w:rsid w:val="001B7DA5"/>
    <w:rsid w:val="001C1F9E"/>
    <w:rsid w:val="001C3944"/>
    <w:rsid w:val="001C485F"/>
    <w:rsid w:val="001C4D18"/>
    <w:rsid w:val="001C517C"/>
    <w:rsid w:val="001C60BF"/>
    <w:rsid w:val="001C73D1"/>
    <w:rsid w:val="001D02A1"/>
    <w:rsid w:val="001D3089"/>
    <w:rsid w:val="001D32AB"/>
    <w:rsid w:val="001D3A8E"/>
    <w:rsid w:val="001D4893"/>
    <w:rsid w:val="001D58FF"/>
    <w:rsid w:val="001D6340"/>
    <w:rsid w:val="001D6501"/>
    <w:rsid w:val="001D6ED4"/>
    <w:rsid w:val="001E0838"/>
    <w:rsid w:val="001E0EFB"/>
    <w:rsid w:val="001E1292"/>
    <w:rsid w:val="001E2851"/>
    <w:rsid w:val="001E343D"/>
    <w:rsid w:val="001E36C4"/>
    <w:rsid w:val="001F2129"/>
    <w:rsid w:val="001F3837"/>
    <w:rsid w:val="001F3AC0"/>
    <w:rsid w:val="001F45BD"/>
    <w:rsid w:val="001F5D2F"/>
    <w:rsid w:val="00200079"/>
    <w:rsid w:val="00200F45"/>
    <w:rsid w:val="00201583"/>
    <w:rsid w:val="00202C18"/>
    <w:rsid w:val="0020513E"/>
    <w:rsid w:val="00205D8B"/>
    <w:rsid w:val="00205DD2"/>
    <w:rsid w:val="002065E4"/>
    <w:rsid w:val="002075F9"/>
    <w:rsid w:val="00207C45"/>
    <w:rsid w:val="00210BCB"/>
    <w:rsid w:val="00210C81"/>
    <w:rsid w:val="0021108E"/>
    <w:rsid w:val="002127E9"/>
    <w:rsid w:val="00212A8F"/>
    <w:rsid w:val="00213111"/>
    <w:rsid w:val="00215030"/>
    <w:rsid w:val="002171D0"/>
    <w:rsid w:val="00217DDA"/>
    <w:rsid w:val="00224505"/>
    <w:rsid w:val="00225655"/>
    <w:rsid w:val="00225A81"/>
    <w:rsid w:val="00225EC0"/>
    <w:rsid w:val="002313B2"/>
    <w:rsid w:val="00232382"/>
    <w:rsid w:val="00232F03"/>
    <w:rsid w:val="00234787"/>
    <w:rsid w:val="00235C5D"/>
    <w:rsid w:val="00236345"/>
    <w:rsid w:val="00237667"/>
    <w:rsid w:val="00237C7D"/>
    <w:rsid w:val="00240A1B"/>
    <w:rsid w:val="002412D5"/>
    <w:rsid w:val="0024138E"/>
    <w:rsid w:val="00241D9A"/>
    <w:rsid w:val="00242259"/>
    <w:rsid w:val="002438D0"/>
    <w:rsid w:val="00243C74"/>
    <w:rsid w:val="00243EEE"/>
    <w:rsid w:val="00243F30"/>
    <w:rsid w:val="0024690E"/>
    <w:rsid w:val="00250ECF"/>
    <w:rsid w:val="00251348"/>
    <w:rsid w:val="00252394"/>
    <w:rsid w:val="00254132"/>
    <w:rsid w:val="00254217"/>
    <w:rsid w:val="00254367"/>
    <w:rsid w:val="00254A0B"/>
    <w:rsid w:val="00256A41"/>
    <w:rsid w:val="002570E3"/>
    <w:rsid w:val="0025720B"/>
    <w:rsid w:val="00257A5B"/>
    <w:rsid w:val="00260380"/>
    <w:rsid w:val="00261711"/>
    <w:rsid w:val="002639EF"/>
    <w:rsid w:val="00264424"/>
    <w:rsid w:val="00264AA6"/>
    <w:rsid w:val="00265D52"/>
    <w:rsid w:val="00265FA7"/>
    <w:rsid w:val="0026761A"/>
    <w:rsid w:val="00271077"/>
    <w:rsid w:val="00273ECA"/>
    <w:rsid w:val="00276F5E"/>
    <w:rsid w:val="00277827"/>
    <w:rsid w:val="00277DDE"/>
    <w:rsid w:val="0028058A"/>
    <w:rsid w:val="00280A4E"/>
    <w:rsid w:val="002829F2"/>
    <w:rsid w:val="0028368E"/>
    <w:rsid w:val="0028389C"/>
    <w:rsid w:val="0028420F"/>
    <w:rsid w:val="002853D3"/>
    <w:rsid w:val="002866C0"/>
    <w:rsid w:val="00286D86"/>
    <w:rsid w:val="00287596"/>
    <w:rsid w:val="00290385"/>
    <w:rsid w:val="002904BC"/>
    <w:rsid w:val="0029059E"/>
    <w:rsid w:val="00290CA9"/>
    <w:rsid w:val="00291172"/>
    <w:rsid w:val="00291226"/>
    <w:rsid w:val="002914A4"/>
    <w:rsid w:val="00291A32"/>
    <w:rsid w:val="00292148"/>
    <w:rsid w:val="002929A7"/>
    <w:rsid w:val="002943B1"/>
    <w:rsid w:val="00294534"/>
    <w:rsid w:val="002956F3"/>
    <w:rsid w:val="002965FB"/>
    <w:rsid w:val="0029690C"/>
    <w:rsid w:val="00297D13"/>
    <w:rsid w:val="002A0B57"/>
    <w:rsid w:val="002A0EB4"/>
    <w:rsid w:val="002A176E"/>
    <w:rsid w:val="002A5182"/>
    <w:rsid w:val="002A69EA"/>
    <w:rsid w:val="002A7E92"/>
    <w:rsid w:val="002A7F58"/>
    <w:rsid w:val="002B2785"/>
    <w:rsid w:val="002B44A1"/>
    <w:rsid w:val="002B5292"/>
    <w:rsid w:val="002B5C27"/>
    <w:rsid w:val="002C1035"/>
    <w:rsid w:val="002C125C"/>
    <w:rsid w:val="002C270A"/>
    <w:rsid w:val="002C2B3C"/>
    <w:rsid w:val="002C415D"/>
    <w:rsid w:val="002C53C4"/>
    <w:rsid w:val="002C55AA"/>
    <w:rsid w:val="002C6FDB"/>
    <w:rsid w:val="002C71E4"/>
    <w:rsid w:val="002C7B7D"/>
    <w:rsid w:val="002D0ADB"/>
    <w:rsid w:val="002D28D6"/>
    <w:rsid w:val="002D2ECF"/>
    <w:rsid w:val="002D70FA"/>
    <w:rsid w:val="002D7E14"/>
    <w:rsid w:val="002E0A4C"/>
    <w:rsid w:val="002E1652"/>
    <w:rsid w:val="002E45B4"/>
    <w:rsid w:val="002E5062"/>
    <w:rsid w:val="002E6B85"/>
    <w:rsid w:val="002E768B"/>
    <w:rsid w:val="002E7E8B"/>
    <w:rsid w:val="002F2F09"/>
    <w:rsid w:val="002F4CFB"/>
    <w:rsid w:val="002F51F4"/>
    <w:rsid w:val="002F53C1"/>
    <w:rsid w:val="002F5965"/>
    <w:rsid w:val="0030069A"/>
    <w:rsid w:val="00301ABA"/>
    <w:rsid w:val="00301D3F"/>
    <w:rsid w:val="00302849"/>
    <w:rsid w:val="00302BA6"/>
    <w:rsid w:val="00303AE9"/>
    <w:rsid w:val="003041C5"/>
    <w:rsid w:val="00305061"/>
    <w:rsid w:val="003050DD"/>
    <w:rsid w:val="00307031"/>
    <w:rsid w:val="00307384"/>
    <w:rsid w:val="00310B18"/>
    <w:rsid w:val="003113EF"/>
    <w:rsid w:val="00312AB8"/>
    <w:rsid w:val="00312BCE"/>
    <w:rsid w:val="00314072"/>
    <w:rsid w:val="003149C7"/>
    <w:rsid w:val="00315BA6"/>
    <w:rsid w:val="00315E6D"/>
    <w:rsid w:val="003162B7"/>
    <w:rsid w:val="00316BB2"/>
    <w:rsid w:val="00316BF8"/>
    <w:rsid w:val="00321B16"/>
    <w:rsid w:val="003226B8"/>
    <w:rsid w:val="00323CF7"/>
    <w:rsid w:val="003243AB"/>
    <w:rsid w:val="003247AD"/>
    <w:rsid w:val="00324DB5"/>
    <w:rsid w:val="00326589"/>
    <w:rsid w:val="0033060D"/>
    <w:rsid w:val="003306AC"/>
    <w:rsid w:val="00330EF0"/>
    <w:rsid w:val="00331491"/>
    <w:rsid w:val="00331B03"/>
    <w:rsid w:val="00333732"/>
    <w:rsid w:val="00333B35"/>
    <w:rsid w:val="00333E7E"/>
    <w:rsid w:val="0033515E"/>
    <w:rsid w:val="00336F26"/>
    <w:rsid w:val="00340702"/>
    <w:rsid w:val="00340F6D"/>
    <w:rsid w:val="0034190B"/>
    <w:rsid w:val="0034251C"/>
    <w:rsid w:val="00345C10"/>
    <w:rsid w:val="00347079"/>
    <w:rsid w:val="0034737C"/>
    <w:rsid w:val="00350D32"/>
    <w:rsid w:val="00350F8E"/>
    <w:rsid w:val="0035150E"/>
    <w:rsid w:val="00351748"/>
    <w:rsid w:val="00351FDC"/>
    <w:rsid w:val="00352A36"/>
    <w:rsid w:val="00355456"/>
    <w:rsid w:val="003560AE"/>
    <w:rsid w:val="003611ED"/>
    <w:rsid w:val="003617B5"/>
    <w:rsid w:val="003625DA"/>
    <w:rsid w:val="00363C7C"/>
    <w:rsid w:val="003643B3"/>
    <w:rsid w:val="00365612"/>
    <w:rsid w:val="0036577B"/>
    <w:rsid w:val="00366031"/>
    <w:rsid w:val="003662BA"/>
    <w:rsid w:val="003668D4"/>
    <w:rsid w:val="00367D2D"/>
    <w:rsid w:val="00370A16"/>
    <w:rsid w:val="003714F1"/>
    <w:rsid w:val="00371EC3"/>
    <w:rsid w:val="00372D66"/>
    <w:rsid w:val="00372E6F"/>
    <w:rsid w:val="003737B9"/>
    <w:rsid w:val="0037559F"/>
    <w:rsid w:val="00375A20"/>
    <w:rsid w:val="00376E53"/>
    <w:rsid w:val="003770AF"/>
    <w:rsid w:val="003778A5"/>
    <w:rsid w:val="00380B11"/>
    <w:rsid w:val="00380CF5"/>
    <w:rsid w:val="003818C8"/>
    <w:rsid w:val="00381EFA"/>
    <w:rsid w:val="00382DC7"/>
    <w:rsid w:val="0038474B"/>
    <w:rsid w:val="00384B3A"/>
    <w:rsid w:val="00384C88"/>
    <w:rsid w:val="003860B3"/>
    <w:rsid w:val="003864DD"/>
    <w:rsid w:val="00390B07"/>
    <w:rsid w:val="003912A5"/>
    <w:rsid w:val="00391371"/>
    <w:rsid w:val="003922A6"/>
    <w:rsid w:val="003930C3"/>
    <w:rsid w:val="003958B9"/>
    <w:rsid w:val="00395952"/>
    <w:rsid w:val="003A02D4"/>
    <w:rsid w:val="003A0670"/>
    <w:rsid w:val="003A143C"/>
    <w:rsid w:val="003A364D"/>
    <w:rsid w:val="003A39D9"/>
    <w:rsid w:val="003A503C"/>
    <w:rsid w:val="003A5A8D"/>
    <w:rsid w:val="003B08AC"/>
    <w:rsid w:val="003B1271"/>
    <w:rsid w:val="003B1B21"/>
    <w:rsid w:val="003B1BA7"/>
    <w:rsid w:val="003B3666"/>
    <w:rsid w:val="003B3A73"/>
    <w:rsid w:val="003B4363"/>
    <w:rsid w:val="003B5204"/>
    <w:rsid w:val="003B56BC"/>
    <w:rsid w:val="003B7707"/>
    <w:rsid w:val="003C0137"/>
    <w:rsid w:val="003C0F16"/>
    <w:rsid w:val="003C0FEB"/>
    <w:rsid w:val="003C31BA"/>
    <w:rsid w:val="003C334B"/>
    <w:rsid w:val="003C3758"/>
    <w:rsid w:val="003C39B3"/>
    <w:rsid w:val="003C3BC0"/>
    <w:rsid w:val="003C55B6"/>
    <w:rsid w:val="003C7AF8"/>
    <w:rsid w:val="003D0277"/>
    <w:rsid w:val="003D0A1C"/>
    <w:rsid w:val="003D2665"/>
    <w:rsid w:val="003D2F29"/>
    <w:rsid w:val="003D421E"/>
    <w:rsid w:val="003D669E"/>
    <w:rsid w:val="003E0174"/>
    <w:rsid w:val="003E2884"/>
    <w:rsid w:val="003E2F4E"/>
    <w:rsid w:val="003E3292"/>
    <w:rsid w:val="003E34B3"/>
    <w:rsid w:val="003E39E7"/>
    <w:rsid w:val="003E4664"/>
    <w:rsid w:val="003E49DF"/>
    <w:rsid w:val="003E5BDF"/>
    <w:rsid w:val="003E5CF4"/>
    <w:rsid w:val="003E6E5E"/>
    <w:rsid w:val="003F0C97"/>
    <w:rsid w:val="003F16FD"/>
    <w:rsid w:val="003F1AD4"/>
    <w:rsid w:val="003F1F42"/>
    <w:rsid w:val="003F28DD"/>
    <w:rsid w:val="003F2B62"/>
    <w:rsid w:val="003F7B00"/>
    <w:rsid w:val="00401237"/>
    <w:rsid w:val="0040264E"/>
    <w:rsid w:val="00403956"/>
    <w:rsid w:val="00404563"/>
    <w:rsid w:val="004048D8"/>
    <w:rsid w:val="00406689"/>
    <w:rsid w:val="00406AA1"/>
    <w:rsid w:val="0040783D"/>
    <w:rsid w:val="00410224"/>
    <w:rsid w:val="004102C1"/>
    <w:rsid w:val="00411E57"/>
    <w:rsid w:val="00412AF3"/>
    <w:rsid w:val="00414A28"/>
    <w:rsid w:val="004152C3"/>
    <w:rsid w:val="004154B6"/>
    <w:rsid w:val="00416778"/>
    <w:rsid w:val="00417729"/>
    <w:rsid w:val="00417935"/>
    <w:rsid w:val="00421354"/>
    <w:rsid w:val="0042236B"/>
    <w:rsid w:val="0042292A"/>
    <w:rsid w:val="00422983"/>
    <w:rsid w:val="00422E3D"/>
    <w:rsid w:val="00422E5C"/>
    <w:rsid w:val="0042309B"/>
    <w:rsid w:val="00424640"/>
    <w:rsid w:val="0042681E"/>
    <w:rsid w:val="00431F79"/>
    <w:rsid w:val="0043694E"/>
    <w:rsid w:val="0044157C"/>
    <w:rsid w:val="0044218E"/>
    <w:rsid w:val="00442430"/>
    <w:rsid w:val="00442DED"/>
    <w:rsid w:val="00444802"/>
    <w:rsid w:val="0044712F"/>
    <w:rsid w:val="00450239"/>
    <w:rsid w:val="00451719"/>
    <w:rsid w:val="00451738"/>
    <w:rsid w:val="00451CFB"/>
    <w:rsid w:val="0045377A"/>
    <w:rsid w:val="00453F4C"/>
    <w:rsid w:val="0045467E"/>
    <w:rsid w:val="00455DC3"/>
    <w:rsid w:val="00456852"/>
    <w:rsid w:val="00457DD4"/>
    <w:rsid w:val="00460A62"/>
    <w:rsid w:val="00460F69"/>
    <w:rsid w:val="0046268B"/>
    <w:rsid w:val="00462B59"/>
    <w:rsid w:val="0046320B"/>
    <w:rsid w:val="0046351B"/>
    <w:rsid w:val="00464557"/>
    <w:rsid w:val="00465133"/>
    <w:rsid w:val="00465440"/>
    <w:rsid w:val="0046773C"/>
    <w:rsid w:val="0046796C"/>
    <w:rsid w:val="004679ED"/>
    <w:rsid w:val="00471426"/>
    <w:rsid w:val="00472778"/>
    <w:rsid w:val="004737BF"/>
    <w:rsid w:val="004748DB"/>
    <w:rsid w:val="004775F8"/>
    <w:rsid w:val="0047766D"/>
    <w:rsid w:val="00477E26"/>
    <w:rsid w:val="00480B5B"/>
    <w:rsid w:val="00481D68"/>
    <w:rsid w:val="00484495"/>
    <w:rsid w:val="00486582"/>
    <w:rsid w:val="00486EEB"/>
    <w:rsid w:val="004900F1"/>
    <w:rsid w:val="004903EC"/>
    <w:rsid w:val="004908F4"/>
    <w:rsid w:val="00490CCD"/>
    <w:rsid w:val="004917D2"/>
    <w:rsid w:val="00492B94"/>
    <w:rsid w:val="00492C8B"/>
    <w:rsid w:val="00492EBD"/>
    <w:rsid w:val="0049343F"/>
    <w:rsid w:val="00493BFA"/>
    <w:rsid w:val="00493FC9"/>
    <w:rsid w:val="004941FC"/>
    <w:rsid w:val="004945B8"/>
    <w:rsid w:val="00495097"/>
    <w:rsid w:val="004955FF"/>
    <w:rsid w:val="00495C2C"/>
    <w:rsid w:val="00496C35"/>
    <w:rsid w:val="00496D00"/>
    <w:rsid w:val="00496D21"/>
    <w:rsid w:val="00496D95"/>
    <w:rsid w:val="00497393"/>
    <w:rsid w:val="00497C33"/>
    <w:rsid w:val="004A07C9"/>
    <w:rsid w:val="004A0919"/>
    <w:rsid w:val="004A5677"/>
    <w:rsid w:val="004A6358"/>
    <w:rsid w:val="004A6414"/>
    <w:rsid w:val="004A69D8"/>
    <w:rsid w:val="004A6A4E"/>
    <w:rsid w:val="004A7BFA"/>
    <w:rsid w:val="004B2492"/>
    <w:rsid w:val="004B4F5C"/>
    <w:rsid w:val="004B52DD"/>
    <w:rsid w:val="004B7A02"/>
    <w:rsid w:val="004B7FCA"/>
    <w:rsid w:val="004C030F"/>
    <w:rsid w:val="004C04C6"/>
    <w:rsid w:val="004C077E"/>
    <w:rsid w:val="004C0C09"/>
    <w:rsid w:val="004C1D82"/>
    <w:rsid w:val="004C2470"/>
    <w:rsid w:val="004C486B"/>
    <w:rsid w:val="004C5641"/>
    <w:rsid w:val="004C5C2B"/>
    <w:rsid w:val="004C5E2F"/>
    <w:rsid w:val="004C5EC3"/>
    <w:rsid w:val="004C610F"/>
    <w:rsid w:val="004C674B"/>
    <w:rsid w:val="004C7834"/>
    <w:rsid w:val="004D3279"/>
    <w:rsid w:val="004D4BCF"/>
    <w:rsid w:val="004D63A7"/>
    <w:rsid w:val="004D640E"/>
    <w:rsid w:val="004D68F0"/>
    <w:rsid w:val="004D6F76"/>
    <w:rsid w:val="004D6FA3"/>
    <w:rsid w:val="004E2599"/>
    <w:rsid w:val="004E461F"/>
    <w:rsid w:val="004E5561"/>
    <w:rsid w:val="004E595F"/>
    <w:rsid w:val="004E5AAA"/>
    <w:rsid w:val="004E62B8"/>
    <w:rsid w:val="004E691B"/>
    <w:rsid w:val="004E723D"/>
    <w:rsid w:val="004E72C8"/>
    <w:rsid w:val="004E744C"/>
    <w:rsid w:val="004F037F"/>
    <w:rsid w:val="004F08CF"/>
    <w:rsid w:val="004F1079"/>
    <w:rsid w:val="004F2BAE"/>
    <w:rsid w:val="004F5E19"/>
    <w:rsid w:val="00500A32"/>
    <w:rsid w:val="00500E27"/>
    <w:rsid w:val="005010D3"/>
    <w:rsid w:val="00501FF9"/>
    <w:rsid w:val="00502317"/>
    <w:rsid w:val="00503300"/>
    <w:rsid w:val="00504D2F"/>
    <w:rsid w:val="00504EAF"/>
    <w:rsid w:val="005078B2"/>
    <w:rsid w:val="00510151"/>
    <w:rsid w:val="00510B84"/>
    <w:rsid w:val="00510C9F"/>
    <w:rsid w:val="005125F8"/>
    <w:rsid w:val="00513197"/>
    <w:rsid w:val="00514D05"/>
    <w:rsid w:val="00514F25"/>
    <w:rsid w:val="00515DCD"/>
    <w:rsid w:val="0051701E"/>
    <w:rsid w:val="00520009"/>
    <w:rsid w:val="005211E4"/>
    <w:rsid w:val="00521AFF"/>
    <w:rsid w:val="005233B4"/>
    <w:rsid w:val="005236EA"/>
    <w:rsid w:val="00523AFF"/>
    <w:rsid w:val="00523C25"/>
    <w:rsid w:val="005251A1"/>
    <w:rsid w:val="00526706"/>
    <w:rsid w:val="00527303"/>
    <w:rsid w:val="00530CB1"/>
    <w:rsid w:val="00530DE1"/>
    <w:rsid w:val="005330E1"/>
    <w:rsid w:val="00534048"/>
    <w:rsid w:val="0053488C"/>
    <w:rsid w:val="00535138"/>
    <w:rsid w:val="00536C4F"/>
    <w:rsid w:val="00536C94"/>
    <w:rsid w:val="00540330"/>
    <w:rsid w:val="005406AB"/>
    <w:rsid w:val="00540F6E"/>
    <w:rsid w:val="00540F71"/>
    <w:rsid w:val="00540FA3"/>
    <w:rsid w:val="00540FB4"/>
    <w:rsid w:val="00541394"/>
    <w:rsid w:val="00542254"/>
    <w:rsid w:val="00543644"/>
    <w:rsid w:val="005448C2"/>
    <w:rsid w:val="005459D6"/>
    <w:rsid w:val="00546226"/>
    <w:rsid w:val="00546611"/>
    <w:rsid w:val="00547343"/>
    <w:rsid w:val="00551424"/>
    <w:rsid w:val="00554A6C"/>
    <w:rsid w:val="00556835"/>
    <w:rsid w:val="00557131"/>
    <w:rsid w:val="0056099D"/>
    <w:rsid w:val="00560BE4"/>
    <w:rsid w:val="005615F5"/>
    <w:rsid w:val="0056427E"/>
    <w:rsid w:val="00564565"/>
    <w:rsid w:val="005657D5"/>
    <w:rsid w:val="00566A5A"/>
    <w:rsid w:val="005671E9"/>
    <w:rsid w:val="00570554"/>
    <w:rsid w:val="0057199F"/>
    <w:rsid w:val="00571D37"/>
    <w:rsid w:val="005730E4"/>
    <w:rsid w:val="00576039"/>
    <w:rsid w:val="005819E7"/>
    <w:rsid w:val="00581CBE"/>
    <w:rsid w:val="00582058"/>
    <w:rsid w:val="005822C7"/>
    <w:rsid w:val="005822E0"/>
    <w:rsid w:val="00582DA8"/>
    <w:rsid w:val="00583F91"/>
    <w:rsid w:val="00585519"/>
    <w:rsid w:val="005857F0"/>
    <w:rsid w:val="005879D2"/>
    <w:rsid w:val="00587EB4"/>
    <w:rsid w:val="00591226"/>
    <w:rsid w:val="00596D64"/>
    <w:rsid w:val="005A2958"/>
    <w:rsid w:val="005A62B4"/>
    <w:rsid w:val="005A6609"/>
    <w:rsid w:val="005A6654"/>
    <w:rsid w:val="005A6B7A"/>
    <w:rsid w:val="005B184B"/>
    <w:rsid w:val="005B278E"/>
    <w:rsid w:val="005B615F"/>
    <w:rsid w:val="005B62FC"/>
    <w:rsid w:val="005B68A2"/>
    <w:rsid w:val="005C30DF"/>
    <w:rsid w:val="005C50E3"/>
    <w:rsid w:val="005C7C30"/>
    <w:rsid w:val="005D1937"/>
    <w:rsid w:val="005D1F0E"/>
    <w:rsid w:val="005D309D"/>
    <w:rsid w:val="005D35BF"/>
    <w:rsid w:val="005D536D"/>
    <w:rsid w:val="005D55CB"/>
    <w:rsid w:val="005D6F65"/>
    <w:rsid w:val="005D79AA"/>
    <w:rsid w:val="005D7BDD"/>
    <w:rsid w:val="005E0947"/>
    <w:rsid w:val="005E0F48"/>
    <w:rsid w:val="005E0F5E"/>
    <w:rsid w:val="005E10C9"/>
    <w:rsid w:val="005E1833"/>
    <w:rsid w:val="005E384D"/>
    <w:rsid w:val="005E3EE3"/>
    <w:rsid w:val="005E3F2A"/>
    <w:rsid w:val="005E3F73"/>
    <w:rsid w:val="005E40C4"/>
    <w:rsid w:val="005E4821"/>
    <w:rsid w:val="005E4B2B"/>
    <w:rsid w:val="005E4F02"/>
    <w:rsid w:val="005E6805"/>
    <w:rsid w:val="005E6869"/>
    <w:rsid w:val="005E7A84"/>
    <w:rsid w:val="005E7FA8"/>
    <w:rsid w:val="005F00F4"/>
    <w:rsid w:val="005F0848"/>
    <w:rsid w:val="005F0FBC"/>
    <w:rsid w:val="005F1658"/>
    <w:rsid w:val="005F1B9B"/>
    <w:rsid w:val="005F3C2B"/>
    <w:rsid w:val="005F3FE6"/>
    <w:rsid w:val="005F4933"/>
    <w:rsid w:val="005F5893"/>
    <w:rsid w:val="005F6C28"/>
    <w:rsid w:val="005F7751"/>
    <w:rsid w:val="005F7E12"/>
    <w:rsid w:val="00600CAD"/>
    <w:rsid w:val="006011C4"/>
    <w:rsid w:val="00602161"/>
    <w:rsid w:val="00602277"/>
    <w:rsid w:val="00603D00"/>
    <w:rsid w:val="00604BC7"/>
    <w:rsid w:val="006062D2"/>
    <w:rsid w:val="0060685F"/>
    <w:rsid w:val="00606C18"/>
    <w:rsid w:val="00607075"/>
    <w:rsid w:val="0061037F"/>
    <w:rsid w:val="006104EC"/>
    <w:rsid w:val="0061188E"/>
    <w:rsid w:val="00612DAF"/>
    <w:rsid w:val="0061315E"/>
    <w:rsid w:val="00613295"/>
    <w:rsid w:val="00613F1D"/>
    <w:rsid w:val="00614497"/>
    <w:rsid w:val="00617555"/>
    <w:rsid w:val="00620207"/>
    <w:rsid w:val="006214D9"/>
    <w:rsid w:val="00622F3B"/>
    <w:rsid w:val="00624557"/>
    <w:rsid w:val="00625086"/>
    <w:rsid w:val="0062666D"/>
    <w:rsid w:val="00627FEF"/>
    <w:rsid w:val="0063087E"/>
    <w:rsid w:val="00632ABF"/>
    <w:rsid w:val="00633067"/>
    <w:rsid w:val="0063436D"/>
    <w:rsid w:val="006343DB"/>
    <w:rsid w:val="00637206"/>
    <w:rsid w:val="00637681"/>
    <w:rsid w:val="00640459"/>
    <w:rsid w:val="00640EB2"/>
    <w:rsid w:val="006410E6"/>
    <w:rsid w:val="006463B3"/>
    <w:rsid w:val="00647226"/>
    <w:rsid w:val="006478EC"/>
    <w:rsid w:val="00647FCD"/>
    <w:rsid w:val="00650044"/>
    <w:rsid w:val="0065093C"/>
    <w:rsid w:val="00651326"/>
    <w:rsid w:val="00651E35"/>
    <w:rsid w:val="00652D4D"/>
    <w:rsid w:val="00660161"/>
    <w:rsid w:val="0066073F"/>
    <w:rsid w:val="006611DD"/>
    <w:rsid w:val="0066425E"/>
    <w:rsid w:val="006662D7"/>
    <w:rsid w:val="006669AA"/>
    <w:rsid w:val="006679FB"/>
    <w:rsid w:val="00670925"/>
    <w:rsid w:val="00671A70"/>
    <w:rsid w:val="006720C1"/>
    <w:rsid w:val="006720CC"/>
    <w:rsid w:val="006741F6"/>
    <w:rsid w:val="00675640"/>
    <w:rsid w:val="0067592D"/>
    <w:rsid w:val="00675AA6"/>
    <w:rsid w:val="0067697B"/>
    <w:rsid w:val="00677494"/>
    <w:rsid w:val="00680202"/>
    <w:rsid w:val="00681A59"/>
    <w:rsid w:val="0068275C"/>
    <w:rsid w:val="00682DC6"/>
    <w:rsid w:val="0068462B"/>
    <w:rsid w:val="00684E34"/>
    <w:rsid w:val="0068531E"/>
    <w:rsid w:val="00685A47"/>
    <w:rsid w:val="0068791F"/>
    <w:rsid w:val="00687B3C"/>
    <w:rsid w:val="006927DA"/>
    <w:rsid w:val="0069413D"/>
    <w:rsid w:val="00694BE8"/>
    <w:rsid w:val="006951D4"/>
    <w:rsid w:val="006A14D0"/>
    <w:rsid w:val="006A16E0"/>
    <w:rsid w:val="006A1F40"/>
    <w:rsid w:val="006A21FC"/>
    <w:rsid w:val="006A2E10"/>
    <w:rsid w:val="006A3A8D"/>
    <w:rsid w:val="006A5880"/>
    <w:rsid w:val="006A5977"/>
    <w:rsid w:val="006A5C39"/>
    <w:rsid w:val="006A7169"/>
    <w:rsid w:val="006B191B"/>
    <w:rsid w:val="006B1CBC"/>
    <w:rsid w:val="006B2A7A"/>
    <w:rsid w:val="006B2BF6"/>
    <w:rsid w:val="006B2D81"/>
    <w:rsid w:val="006B2EB2"/>
    <w:rsid w:val="006B44EF"/>
    <w:rsid w:val="006B4C09"/>
    <w:rsid w:val="006B5BE7"/>
    <w:rsid w:val="006B789F"/>
    <w:rsid w:val="006C0289"/>
    <w:rsid w:val="006C16B9"/>
    <w:rsid w:val="006C17C9"/>
    <w:rsid w:val="006C1CF0"/>
    <w:rsid w:val="006C239E"/>
    <w:rsid w:val="006C2460"/>
    <w:rsid w:val="006C24D6"/>
    <w:rsid w:val="006C3634"/>
    <w:rsid w:val="006C47E2"/>
    <w:rsid w:val="006C6840"/>
    <w:rsid w:val="006C6932"/>
    <w:rsid w:val="006C6C96"/>
    <w:rsid w:val="006D068F"/>
    <w:rsid w:val="006D0AB9"/>
    <w:rsid w:val="006D163B"/>
    <w:rsid w:val="006D44CA"/>
    <w:rsid w:val="006D5BF5"/>
    <w:rsid w:val="006D6830"/>
    <w:rsid w:val="006D68FD"/>
    <w:rsid w:val="006D69D6"/>
    <w:rsid w:val="006D7410"/>
    <w:rsid w:val="006D7C83"/>
    <w:rsid w:val="006E00C6"/>
    <w:rsid w:val="006E02DC"/>
    <w:rsid w:val="006E1023"/>
    <w:rsid w:val="006E1A45"/>
    <w:rsid w:val="006E2350"/>
    <w:rsid w:val="006E254C"/>
    <w:rsid w:val="006E3755"/>
    <w:rsid w:val="006E4368"/>
    <w:rsid w:val="006E688F"/>
    <w:rsid w:val="006E700D"/>
    <w:rsid w:val="006F197C"/>
    <w:rsid w:val="006F3158"/>
    <w:rsid w:val="006F5353"/>
    <w:rsid w:val="006F5543"/>
    <w:rsid w:val="006F5AAB"/>
    <w:rsid w:val="006F6F3F"/>
    <w:rsid w:val="006F7168"/>
    <w:rsid w:val="006F7FDF"/>
    <w:rsid w:val="007051E3"/>
    <w:rsid w:val="007061A1"/>
    <w:rsid w:val="007067F0"/>
    <w:rsid w:val="00707367"/>
    <w:rsid w:val="00707CA5"/>
    <w:rsid w:val="00707F44"/>
    <w:rsid w:val="0071025C"/>
    <w:rsid w:val="00710C71"/>
    <w:rsid w:val="00710DDA"/>
    <w:rsid w:val="007116C3"/>
    <w:rsid w:val="00711F21"/>
    <w:rsid w:val="0071275D"/>
    <w:rsid w:val="00712A13"/>
    <w:rsid w:val="007143B5"/>
    <w:rsid w:val="00714A6B"/>
    <w:rsid w:val="0071547E"/>
    <w:rsid w:val="00715DBD"/>
    <w:rsid w:val="00716621"/>
    <w:rsid w:val="0071706B"/>
    <w:rsid w:val="007208E7"/>
    <w:rsid w:val="00720E91"/>
    <w:rsid w:val="00720FEB"/>
    <w:rsid w:val="007232F7"/>
    <w:rsid w:val="007236BA"/>
    <w:rsid w:val="00723B55"/>
    <w:rsid w:val="007242B1"/>
    <w:rsid w:val="00724C36"/>
    <w:rsid w:val="0072620F"/>
    <w:rsid w:val="00727432"/>
    <w:rsid w:val="00730C59"/>
    <w:rsid w:val="007314A2"/>
    <w:rsid w:val="00731BB8"/>
    <w:rsid w:val="0073314D"/>
    <w:rsid w:val="0073587B"/>
    <w:rsid w:val="00737751"/>
    <w:rsid w:val="00740832"/>
    <w:rsid w:val="007411A2"/>
    <w:rsid w:val="007417FF"/>
    <w:rsid w:val="00741986"/>
    <w:rsid w:val="00742E56"/>
    <w:rsid w:val="0074404D"/>
    <w:rsid w:val="00744DEE"/>
    <w:rsid w:val="00752487"/>
    <w:rsid w:val="00753041"/>
    <w:rsid w:val="007539AF"/>
    <w:rsid w:val="007550A6"/>
    <w:rsid w:val="007552A1"/>
    <w:rsid w:val="007566A4"/>
    <w:rsid w:val="00760729"/>
    <w:rsid w:val="00760A28"/>
    <w:rsid w:val="007610E5"/>
    <w:rsid w:val="00763B67"/>
    <w:rsid w:val="00765B30"/>
    <w:rsid w:val="0076636B"/>
    <w:rsid w:val="007704CC"/>
    <w:rsid w:val="00770B79"/>
    <w:rsid w:val="007719FC"/>
    <w:rsid w:val="007724DF"/>
    <w:rsid w:val="00772A95"/>
    <w:rsid w:val="00772C26"/>
    <w:rsid w:val="00772F4A"/>
    <w:rsid w:val="00773930"/>
    <w:rsid w:val="007740C9"/>
    <w:rsid w:val="00775CD1"/>
    <w:rsid w:val="00777457"/>
    <w:rsid w:val="007777EA"/>
    <w:rsid w:val="00777ACA"/>
    <w:rsid w:val="00780386"/>
    <w:rsid w:val="00780B55"/>
    <w:rsid w:val="00781622"/>
    <w:rsid w:val="00783025"/>
    <w:rsid w:val="00783D5A"/>
    <w:rsid w:val="007842CF"/>
    <w:rsid w:val="00784306"/>
    <w:rsid w:val="0078497F"/>
    <w:rsid w:val="007850B8"/>
    <w:rsid w:val="007909E4"/>
    <w:rsid w:val="007921ED"/>
    <w:rsid w:val="00792220"/>
    <w:rsid w:val="00792A17"/>
    <w:rsid w:val="00793236"/>
    <w:rsid w:val="00793496"/>
    <w:rsid w:val="00793DC7"/>
    <w:rsid w:val="00795144"/>
    <w:rsid w:val="007A22A4"/>
    <w:rsid w:val="007A26AD"/>
    <w:rsid w:val="007A488C"/>
    <w:rsid w:val="007A4E66"/>
    <w:rsid w:val="007A6FF3"/>
    <w:rsid w:val="007A74FB"/>
    <w:rsid w:val="007A7DDE"/>
    <w:rsid w:val="007B01C1"/>
    <w:rsid w:val="007B1803"/>
    <w:rsid w:val="007B1C33"/>
    <w:rsid w:val="007B312C"/>
    <w:rsid w:val="007B3934"/>
    <w:rsid w:val="007B4865"/>
    <w:rsid w:val="007B4EA2"/>
    <w:rsid w:val="007B5CAC"/>
    <w:rsid w:val="007B75B9"/>
    <w:rsid w:val="007B75DB"/>
    <w:rsid w:val="007B7698"/>
    <w:rsid w:val="007C2633"/>
    <w:rsid w:val="007C2AF6"/>
    <w:rsid w:val="007C3797"/>
    <w:rsid w:val="007C530B"/>
    <w:rsid w:val="007C5407"/>
    <w:rsid w:val="007C5ACD"/>
    <w:rsid w:val="007C5C61"/>
    <w:rsid w:val="007C66B9"/>
    <w:rsid w:val="007C78A5"/>
    <w:rsid w:val="007C7907"/>
    <w:rsid w:val="007C7B64"/>
    <w:rsid w:val="007D1269"/>
    <w:rsid w:val="007D1481"/>
    <w:rsid w:val="007D4230"/>
    <w:rsid w:val="007D52CF"/>
    <w:rsid w:val="007D60CC"/>
    <w:rsid w:val="007D795F"/>
    <w:rsid w:val="007E1FFC"/>
    <w:rsid w:val="007E2DF7"/>
    <w:rsid w:val="007E33FD"/>
    <w:rsid w:val="007E3B12"/>
    <w:rsid w:val="007E4D48"/>
    <w:rsid w:val="007E5E67"/>
    <w:rsid w:val="007E6670"/>
    <w:rsid w:val="007F099A"/>
    <w:rsid w:val="007F2D7A"/>
    <w:rsid w:val="007F34BF"/>
    <w:rsid w:val="007F368C"/>
    <w:rsid w:val="007F410D"/>
    <w:rsid w:val="007F411F"/>
    <w:rsid w:val="007F448A"/>
    <w:rsid w:val="007F4CE3"/>
    <w:rsid w:val="007F5011"/>
    <w:rsid w:val="007F5088"/>
    <w:rsid w:val="007F5DA9"/>
    <w:rsid w:val="00801BEE"/>
    <w:rsid w:val="00804E90"/>
    <w:rsid w:val="00804FB9"/>
    <w:rsid w:val="00805670"/>
    <w:rsid w:val="00805819"/>
    <w:rsid w:val="00805E00"/>
    <w:rsid w:val="00810652"/>
    <w:rsid w:val="00812F7C"/>
    <w:rsid w:val="008133FE"/>
    <w:rsid w:val="00813844"/>
    <w:rsid w:val="00814D83"/>
    <w:rsid w:val="00814E95"/>
    <w:rsid w:val="00815CB0"/>
    <w:rsid w:val="00815F9A"/>
    <w:rsid w:val="0082003A"/>
    <w:rsid w:val="008201C8"/>
    <w:rsid w:val="0082126B"/>
    <w:rsid w:val="008219C8"/>
    <w:rsid w:val="0082213B"/>
    <w:rsid w:val="008227CE"/>
    <w:rsid w:val="0082294B"/>
    <w:rsid w:val="00823145"/>
    <w:rsid w:val="008232F9"/>
    <w:rsid w:val="008234E5"/>
    <w:rsid w:val="00823703"/>
    <w:rsid w:val="00823D25"/>
    <w:rsid w:val="00824A2F"/>
    <w:rsid w:val="00825424"/>
    <w:rsid w:val="0082555E"/>
    <w:rsid w:val="00825678"/>
    <w:rsid w:val="00825BFB"/>
    <w:rsid w:val="00826255"/>
    <w:rsid w:val="00826718"/>
    <w:rsid w:val="00826771"/>
    <w:rsid w:val="008270F0"/>
    <w:rsid w:val="0083049A"/>
    <w:rsid w:val="00831F87"/>
    <w:rsid w:val="0083357C"/>
    <w:rsid w:val="008340FA"/>
    <w:rsid w:val="00834440"/>
    <w:rsid w:val="008362DC"/>
    <w:rsid w:val="008369F4"/>
    <w:rsid w:val="00837028"/>
    <w:rsid w:val="008370B3"/>
    <w:rsid w:val="00842A18"/>
    <w:rsid w:val="008447DD"/>
    <w:rsid w:val="00845B01"/>
    <w:rsid w:val="008470C0"/>
    <w:rsid w:val="008474FB"/>
    <w:rsid w:val="00847520"/>
    <w:rsid w:val="00847AAD"/>
    <w:rsid w:val="00847C36"/>
    <w:rsid w:val="00847EAB"/>
    <w:rsid w:val="00850C56"/>
    <w:rsid w:val="00851801"/>
    <w:rsid w:val="008519E8"/>
    <w:rsid w:val="00854294"/>
    <w:rsid w:val="00854E2F"/>
    <w:rsid w:val="008556FE"/>
    <w:rsid w:val="00857535"/>
    <w:rsid w:val="0085788D"/>
    <w:rsid w:val="00860EBE"/>
    <w:rsid w:val="00861860"/>
    <w:rsid w:val="008631F9"/>
    <w:rsid w:val="00865157"/>
    <w:rsid w:val="00865457"/>
    <w:rsid w:val="00865E93"/>
    <w:rsid w:val="00865E99"/>
    <w:rsid w:val="00865EA0"/>
    <w:rsid w:val="00866186"/>
    <w:rsid w:val="008672A8"/>
    <w:rsid w:val="008672EA"/>
    <w:rsid w:val="00867AD4"/>
    <w:rsid w:val="00871CBF"/>
    <w:rsid w:val="008728A7"/>
    <w:rsid w:val="00873259"/>
    <w:rsid w:val="008737C9"/>
    <w:rsid w:val="00873D94"/>
    <w:rsid w:val="00875277"/>
    <w:rsid w:val="008763B5"/>
    <w:rsid w:val="0087755C"/>
    <w:rsid w:val="00877647"/>
    <w:rsid w:val="00880A32"/>
    <w:rsid w:val="00883271"/>
    <w:rsid w:val="008836CE"/>
    <w:rsid w:val="00890111"/>
    <w:rsid w:val="008902DC"/>
    <w:rsid w:val="008956BB"/>
    <w:rsid w:val="00896814"/>
    <w:rsid w:val="008A04DA"/>
    <w:rsid w:val="008A189B"/>
    <w:rsid w:val="008A20A9"/>
    <w:rsid w:val="008A25B4"/>
    <w:rsid w:val="008A25C8"/>
    <w:rsid w:val="008A2921"/>
    <w:rsid w:val="008A35B9"/>
    <w:rsid w:val="008A4473"/>
    <w:rsid w:val="008A5327"/>
    <w:rsid w:val="008A5B7C"/>
    <w:rsid w:val="008A6197"/>
    <w:rsid w:val="008A6614"/>
    <w:rsid w:val="008A70D5"/>
    <w:rsid w:val="008A74FE"/>
    <w:rsid w:val="008A76C8"/>
    <w:rsid w:val="008B0544"/>
    <w:rsid w:val="008B10D3"/>
    <w:rsid w:val="008B1973"/>
    <w:rsid w:val="008B2B9A"/>
    <w:rsid w:val="008B4518"/>
    <w:rsid w:val="008B4CAE"/>
    <w:rsid w:val="008B5195"/>
    <w:rsid w:val="008B5DE8"/>
    <w:rsid w:val="008B6724"/>
    <w:rsid w:val="008B71CD"/>
    <w:rsid w:val="008C0189"/>
    <w:rsid w:val="008C28F8"/>
    <w:rsid w:val="008C51BB"/>
    <w:rsid w:val="008C65B5"/>
    <w:rsid w:val="008C7601"/>
    <w:rsid w:val="008C78F9"/>
    <w:rsid w:val="008C7992"/>
    <w:rsid w:val="008D171C"/>
    <w:rsid w:val="008D1AEF"/>
    <w:rsid w:val="008D1C42"/>
    <w:rsid w:val="008D2806"/>
    <w:rsid w:val="008D299E"/>
    <w:rsid w:val="008D3EBB"/>
    <w:rsid w:val="008D4806"/>
    <w:rsid w:val="008D622C"/>
    <w:rsid w:val="008D7119"/>
    <w:rsid w:val="008D7918"/>
    <w:rsid w:val="008D7D29"/>
    <w:rsid w:val="008E01AC"/>
    <w:rsid w:val="008E02C2"/>
    <w:rsid w:val="008E06B2"/>
    <w:rsid w:val="008E2F6E"/>
    <w:rsid w:val="008E4371"/>
    <w:rsid w:val="008F04DF"/>
    <w:rsid w:val="008F0DE8"/>
    <w:rsid w:val="008F2B0B"/>
    <w:rsid w:val="008F3494"/>
    <w:rsid w:val="008F3D6C"/>
    <w:rsid w:val="008F4A0B"/>
    <w:rsid w:val="008F4ACE"/>
    <w:rsid w:val="008F4B1C"/>
    <w:rsid w:val="008F7B55"/>
    <w:rsid w:val="009007CC"/>
    <w:rsid w:val="00900897"/>
    <w:rsid w:val="009017FD"/>
    <w:rsid w:val="009040E8"/>
    <w:rsid w:val="00904F06"/>
    <w:rsid w:val="00905133"/>
    <w:rsid w:val="009054B6"/>
    <w:rsid w:val="00905C05"/>
    <w:rsid w:val="009068ED"/>
    <w:rsid w:val="00906A8D"/>
    <w:rsid w:val="009163CC"/>
    <w:rsid w:val="0092116C"/>
    <w:rsid w:val="00921524"/>
    <w:rsid w:val="00921C43"/>
    <w:rsid w:val="00921FEB"/>
    <w:rsid w:val="0092460F"/>
    <w:rsid w:val="00925D07"/>
    <w:rsid w:val="00926A25"/>
    <w:rsid w:val="00926A9E"/>
    <w:rsid w:val="00927045"/>
    <w:rsid w:val="009303E3"/>
    <w:rsid w:val="00931539"/>
    <w:rsid w:val="009318C9"/>
    <w:rsid w:val="00932B6C"/>
    <w:rsid w:val="0093541E"/>
    <w:rsid w:val="0093561D"/>
    <w:rsid w:val="00935D7B"/>
    <w:rsid w:val="00936222"/>
    <w:rsid w:val="0093704A"/>
    <w:rsid w:val="009376AE"/>
    <w:rsid w:val="009431BB"/>
    <w:rsid w:val="00944C2E"/>
    <w:rsid w:val="00945C96"/>
    <w:rsid w:val="00945FD9"/>
    <w:rsid w:val="00946B82"/>
    <w:rsid w:val="00946F00"/>
    <w:rsid w:val="00951498"/>
    <w:rsid w:val="00951751"/>
    <w:rsid w:val="00954736"/>
    <w:rsid w:val="00955656"/>
    <w:rsid w:val="00956046"/>
    <w:rsid w:val="00956BAB"/>
    <w:rsid w:val="00956F5F"/>
    <w:rsid w:val="00957568"/>
    <w:rsid w:val="0096263D"/>
    <w:rsid w:val="009627C3"/>
    <w:rsid w:val="00963061"/>
    <w:rsid w:val="00965694"/>
    <w:rsid w:val="00965F9F"/>
    <w:rsid w:val="00965FB8"/>
    <w:rsid w:val="00966D5D"/>
    <w:rsid w:val="00966FDE"/>
    <w:rsid w:val="009713A0"/>
    <w:rsid w:val="00971BDC"/>
    <w:rsid w:val="009733C6"/>
    <w:rsid w:val="00973BAC"/>
    <w:rsid w:val="009745A3"/>
    <w:rsid w:val="00974734"/>
    <w:rsid w:val="00977119"/>
    <w:rsid w:val="009836BE"/>
    <w:rsid w:val="009842CB"/>
    <w:rsid w:val="00984B3C"/>
    <w:rsid w:val="00987B00"/>
    <w:rsid w:val="00990A54"/>
    <w:rsid w:val="00991F00"/>
    <w:rsid w:val="00992674"/>
    <w:rsid w:val="00992826"/>
    <w:rsid w:val="009932FA"/>
    <w:rsid w:val="00995CAE"/>
    <w:rsid w:val="0099649B"/>
    <w:rsid w:val="00997C9F"/>
    <w:rsid w:val="009A116E"/>
    <w:rsid w:val="009A154F"/>
    <w:rsid w:val="009A1E41"/>
    <w:rsid w:val="009A4FED"/>
    <w:rsid w:val="009A58C3"/>
    <w:rsid w:val="009A5D61"/>
    <w:rsid w:val="009A6424"/>
    <w:rsid w:val="009A7301"/>
    <w:rsid w:val="009B0462"/>
    <w:rsid w:val="009B2817"/>
    <w:rsid w:val="009B3745"/>
    <w:rsid w:val="009B39F7"/>
    <w:rsid w:val="009B4B34"/>
    <w:rsid w:val="009B5D40"/>
    <w:rsid w:val="009B65C3"/>
    <w:rsid w:val="009B7464"/>
    <w:rsid w:val="009C10C0"/>
    <w:rsid w:val="009C216E"/>
    <w:rsid w:val="009C6A84"/>
    <w:rsid w:val="009C7ABA"/>
    <w:rsid w:val="009C7B63"/>
    <w:rsid w:val="009C7BC2"/>
    <w:rsid w:val="009C7CDF"/>
    <w:rsid w:val="009D0281"/>
    <w:rsid w:val="009D1550"/>
    <w:rsid w:val="009D220C"/>
    <w:rsid w:val="009D34A7"/>
    <w:rsid w:val="009D3BCC"/>
    <w:rsid w:val="009D3FC7"/>
    <w:rsid w:val="009D55CB"/>
    <w:rsid w:val="009D5BF9"/>
    <w:rsid w:val="009E0566"/>
    <w:rsid w:val="009E05D0"/>
    <w:rsid w:val="009E1474"/>
    <w:rsid w:val="009E4C7F"/>
    <w:rsid w:val="009F147C"/>
    <w:rsid w:val="009F1C22"/>
    <w:rsid w:val="009F23FA"/>
    <w:rsid w:val="009F3298"/>
    <w:rsid w:val="009F39AE"/>
    <w:rsid w:val="009F3D36"/>
    <w:rsid w:val="009F4219"/>
    <w:rsid w:val="009F50BA"/>
    <w:rsid w:val="009F5462"/>
    <w:rsid w:val="009F796C"/>
    <w:rsid w:val="009F7D25"/>
    <w:rsid w:val="009F7D50"/>
    <w:rsid w:val="009F7D96"/>
    <w:rsid w:val="00A0045B"/>
    <w:rsid w:val="00A00C39"/>
    <w:rsid w:val="00A0227F"/>
    <w:rsid w:val="00A03087"/>
    <w:rsid w:val="00A0336D"/>
    <w:rsid w:val="00A03D8B"/>
    <w:rsid w:val="00A03E5E"/>
    <w:rsid w:val="00A046A2"/>
    <w:rsid w:val="00A051EA"/>
    <w:rsid w:val="00A05518"/>
    <w:rsid w:val="00A05BD2"/>
    <w:rsid w:val="00A07364"/>
    <w:rsid w:val="00A100A7"/>
    <w:rsid w:val="00A1077C"/>
    <w:rsid w:val="00A11C3E"/>
    <w:rsid w:val="00A129FF"/>
    <w:rsid w:val="00A12F91"/>
    <w:rsid w:val="00A143FD"/>
    <w:rsid w:val="00A14D51"/>
    <w:rsid w:val="00A15DF4"/>
    <w:rsid w:val="00A16459"/>
    <w:rsid w:val="00A165ED"/>
    <w:rsid w:val="00A171B1"/>
    <w:rsid w:val="00A21BCD"/>
    <w:rsid w:val="00A23144"/>
    <w:rsid w:val="00A23706"/>
    <w:rsid w:val="00A23FA3"/>
    <w:rsid w:val="00A24A92"/>
    <w:rsid w:val="00A24E73"/>
    <w:rsid w:val="00A24F61"/>
    <w:rsid w:val="00A25B40"/>
    <w:rsid w:val="00A27342"/>
    <w:rsid w:val="00A3093A"/>
    <w:rsid w:val="00A30A17"/>
    <w:rsid w:val="00A31A7E"/>
    <w:rsid w:val="00A31AAD"/>
    <w:rsid w:val="00A326CA"/>
    <w:rsid w:val="00A32B1A"/>
    <w:rsid w:val="00A331B9"/>
    <w:rsid w:val="00A33532"/>
    <w:rsid w:val="00A338A1"/>
    <w:rsid w:val="00A3411B"/>
    <w:rsid w:val="00A3455C"/>
    <w:rsid w:val="00A36ADD"/>
    <w:rsid w:val="00A36EE4"/>
    <w:rsid w:val="00A37601"/>
    <w:rsid w:val="00A408A2"/>
    <w:rsid w:val="00A42822"/>
    <w:rsid w:val="00A432C9"/>
    <w:rsid w:val="00A45310"/>
    <w:rsid w:val="00A468EC"/>
    <w:rsid w:val="00A46E4E"/>
    <w:rsid w:val="00A535C3"/>
    <w:rsid w:val="00A539BE"/>
    <w:rsid w:val="00A5423E"/>
    <w:rsid w:val="00A548DC"/>
    <w:rsid w:val="00A55D87"/>
    <w:rsid w:val="00A57234"/>
    <w:rsid w:val="00A6001D"/>
    <w:rsid w:val="00A6053D"/>
    <w:rsid w:val="00A6130D"/>
    <w:rsid w:val="00A62173"/>
    <w:rsid w:val="00A62D3C"/>
    <w:rsid w:val="00A641E6"/>
    <w:rsid w:val="00A657F0"/>
    <w:rsid w:val="00A66B7C"/>
    <w:rsid w:val="00A67C6C"/>
    <w:rsid w:val="00A67C86"/>
    <w:rsid w:val="00A70420"/>
    <w:rsid w:val="00A7359A"/>
    <w:rsid w:val="00A74C54"/>
    <w:rsid w:val="00A76A16"/>
    <w:rsid w:val="00A76EC9"/>
    <w:rsid w:val="00A811D3"/>
    <w:rsid w:val="00A81503"/>
    <w:rsid w:val="00A81BD2"/>
    <w:rsid w:val="00A821BE"/>
    <w:rsid w:val="00A8245E"/>
    <w:rsid w:val="00A82867"/>
    <w:rsid w:val="00A83BE6"/>
    <w:rsid w:val="00A847C9"/>
    <w:rsid w:val="00A858E0"/>
    <w:rsid w:val="00A859F0"/>
    <w:rsid w:val="00A85DFA"/>
    <w:rsid w:val="00A8718F"/>
    <w:rsid w:val="00A9344A"/>
    <w:rsid w:val="00A93910"/>
    <w:rsid w:val="00A93D2A"/>
    <w:rsid w:val="00A93DCF"/>
    <w:rsid w:val="00A94A6A"/>
    <w:rsid w:val="00A94AE7"/>
    <w:rsid w:val="00A953E1"/>
    <w:rsid w:val="00A96722"/>
    <w:rsid w:val="00A96900"/>
    <w:rsid w:val="00AA2CA0"/>
    <w:rsid w:val="00AA312D"/>
    <w:rsid w:val="00AA428F"/>
    <w:rsid w:val="00AA575C"/>
    <w:rsid w:val="00AA5B85"/>
    <w:rsid w:val="00AB0A75"/>
    <w:rsid w:val="00AB11DA"/>
    <w:rsid w:val="00AB2742"/>
    <w:rsid w:val="00AB38A1"/>
    <w:rsid w:val="00AB4083"/>
    <w:rsid w:val="00AB5072"/>
    <w:rsid w:val="00AB560B"/>
    <w:rsid w:val="00AB6F06"/>
    <w:rsid w:val="00AC007C"/>
    <w:rsid w:val="00AC0882"/>
    <w:rsid w:val="00AC095B"/>
    <w:rsid w:val="00AC0B7A"/>
    <w:rsid w:val="00AC118B"/>
    <w:rsid w:val="00AC1339"/>
    <w:rsid w:val="00AC19B0"/>
    <w:rsid w:val="00AC2655"/>
    <w:rsid w:val="00AC341C"/>
    <w:rsid w:val="00AC4147"/>
    <w:rsid w:val="00AC48E9"/>
    <w:rsid w:val="00AC4B99"/>
    <w:rsid w:val="00AC4C29"/>
    <w:rsid w:val="00AC62BE"/>
    <w:rsid w:val="00AC6F66"/>
    <w:rsid w:val="00AC7831"/>
    <w:rsid w:val="00AD1288"/>
    <w:rsid w:val="00AD1812"/>
    <w:rsid w:val="00AD2130"/>
    <w:rsid w:val="00AD3F84"/>
    <w:rsid w:val="00AD61AA"/>
    <w:rsid w:val="00AD7A33"/>
    <w:rsid w:val="00AE05CD"/>
    <w:rsid w:val="00AE0600"/>
    <w:rsid w:val="00AE15E5"/>
    <w:rsid w:val="00AE2EB2"/>
    <w:rsid w:val="00AE3195"/>
    <w:rsid w:val="00AE3F4B"/>
    <w:rsid w:val="00AE42A8"/>
    <w:rsid w:val="00AE49D4"/>
    <w:rsid w:val="00AE4B47"/>
    <w:rsid w:val="00AE5B4D"/>
    <w:rsid w:val="00AE70EB"/>
    <w:rsid w:val="00AE7E21"/>
    <w:rsid w:val="00AF0886"/>
    <w:rsid w:val="00AF0E5B"/>
    <w:rsid w:val="00AF11C1"/>
    <w:rsid w:val="00AF1E22"/>
    <w:rsid w:val="00AF21BA"/>
    <w:rsid w:val="00AF2DF1"/>
    <w:rsid w:val="00AF3E5B"/>
    <w:rsid w:val="00AF5A25"/>
    <w:rsid w:val="00B00175"/>
    <w:rsid w:val="00B004D0"/>
    <w:rsid w:val="00B03528"/>
    <w:rsid w:val="00B10592"/>
    <w:rsid w:val="00B10A96"/>
    <w:rsid w:val="00B10BA4"/>
    <w:rsid w:val="00B111D8"/>
    <w:rsid w:val="00B139A0"/>
    <w:rsid w:val="00B1460A"/>
    <w:rsid w:val="00B149DB"/>
    <w:rsid w:val="00B15048"/>
    <w:rsid w:val="00B15E94"/>
    <w:rsid w:val="00B1615A"/>
    <w:rsid w:val="00B16BA7"/>
    <w:rsid w:val="00B21CC9"/>
    <w:rsid w:val="00B2255C"/>
    <w:rsid w:val="00B22AEE"/>
    <w:rsid w:val="00B23EFD"/>
    <w:rsid w:val="00B24245"/>
    <w:rsid w:val="00B25441"/>
    <w:rsid w:val="00B25899"/>
    <w:rsid w:val="00B25A45"/>
    <w:rsid w:val="00B2671B"/>
    <w:rsid w:val="00B26DC7"/>
    <w:rsid w:val="00B273F2"/>
    <w:rsid w:val="00B301B2"/>
    <w:rsid w:val="00B30776"/>
    <w:rsid w:val="00B30BAC"/>
    <w:rsid w:val="00B310AE"/>
    <w:rsid w:val="00B3114C"/>
    <w:rsid w:val="00B315F0"/>
    <w:rsid w:val="00B3176F"/>
    <w:rsid w:val="00B319E1"/>
    <w:rsid w:val="00B31A54"/>
    <w:rsid w:val="00B3218C"/>
    <w:rsid w:val="00B321D1"/>
    <w:rsid w:val="00B32B8A"/>
    <w:rsid w:val="00B3402F"/>
    <w:rsid w:val="00B35323"/>
    <w:rsid w:val="00B35F4F"/>
    <w:rsid w:val="00B360C3"/>
    <w:rsid w:val="00B37755"/>
    <w:rsid w:val="00B37E0A"/>
    <w:rsid w:val="00B40134"/>
    <w:rsid w:val="00B40557"/>
    <w:rsid w:val="00B40860"/>
    <w:rsid w:val="00B41B06"/>
    <w:rsid w:val="00B4206A"/>
    <w:rsid w:val="00B43152"/>
    <w:rsid w:val="00B43E88"/>
    <w:rsid w:val="00B45534"/>
    <w:rsid w:val="00B460DA"/>
    <w:rsid w:val="00B47509"/>
    <w:rsid w:val="00B4795D"/>
    <w:rsid w:val="00B51678"/>
    <w:rsid w:val="00B5363F"/>
    <w:rsid w:val="00B541E6"/>
    <w:rsid w:val="00B54883"/>
    <w:rsid w:val="00B55394"/>
    <w:rsid w:val="00B559DF"/>
    <w:rsid w:val="00B60EF6"/>
    <w:rsid w:val="00B61FBC"/>
    <w:rsid w:val="00B62081"/>
    <w:rsid w:val="00B63311"/>
    <w:rsid w:val="00B639E8"/>
    <w:rsid w:val="00B63EA1"/>
    <w:rsid w:val="00B64652"/>
    <w:rsid w:val="00B655C0"/>
    <w:rsid w:val="00B65A7A"/>
    <w:rsid w:val="00B66A4C"/>
    <w:rsid w:val="00B67AA9"/>
    <w:rsid w:val="00B67DD6"/>
    <w:rsid w:val="00B70064"/>
    <w:rsid w:val="00B71A04"/>
    <w:rsid w:val="00B723AF"/>
    <w:rsid w:val="00B73974"/>
    <w:rsid w:val="00B7414E"/>
    <w:rsid w:val="00B74A87"/>
    <w:rsid w:val="00B75D89"/>
    <w:rsid w:val="00B77085"/>
    <w:rsid w:val="00B7748E"/>
    <w:rsid w:val="00B77686"/>
    <w:rsid w:val="00B77A05"/>
    <w:rsid w:val="00B80B41"/>
    <w:rsid w:val="00B81274"/>
    <w:rsid w:val="00B81D83"/>
    <w:rsid w:val="00B82969"/>
    <w:rsid w:val="00B829A9"/>
    <w:rsid w:val="00B841C9"/>
    <w:rsid w:val="00B845E1"/>
    <w:rsid w:val="00B85AFC"/>
    <w:rsid w:val="00B86CA7"/>
    <w:rsid w:val="00B93121"/>
    <w:rsid w:val="00B96346"/>
    <w:rsid w:val="00BA139A"/>
    <w:rsid w:val="00BA4A4A"/>
    <w:rsid w:val="00BA5D60"/>
    <w:rsid w:val="00BA60BE"/>
    <w:rsid w:val="00BA69BF"/>
    <w:rsid w:val="00BB0A8B"/>
    <w:rsid w:val="00BB1432"/>
    <w:rsid w:val="00BB382E"/>
    <w:rsid w:val="00BB4F99"/>
    <w:rsid w:val="00BB55CE"/>
    <w:rsid w:val="00BB6694"/>
    <w:rsid w:val="00BB70C2"/>
    <w:rsid w:val="00BC06FE"/>
    <w:rsid w:val="00BC0F7B"/>
    <w:rsid w:val="00BC2559"/>
    <w:rsid w:val="00BC25E6"/>
    <w:rsid w:val="00BC2A9B"/>
    <w:rsid w:val="00BC32FC"/>
    <w:rsid w:val="00BC65A4"/>
    <w:rsid w:val="00BC739E"/>
    <w:rsid w:val="00BD0EF2"/>
    <w:rsid w:val="00BD1EBE"/>
    <w:rsid w:val="00BD2023"/>
    <w:rsid w:val="00BD2AD5"/>
    <w:rsid w:val="00BD2DA6"/>
    <w:rsid w:val="00BD3DAC"/>
    <w:rsid w:val="00BD4371"/>
    <w:rsid w:val="00BD4600"/>
    <w:rsid w:val="00BD590D"/>
    <w:rsid w:val="00BE071C"/>
    <w:rsid w:val="00BE18CF"/>
    <w:rsid w:val="00BE1C6E"/>
    <w:rsid w:val="00BE284F"/>
    <w:rsid w:val="00BE4B34"/>
    <w:rsid w:val="00BE5DCA"/>
    <w:rsid w:val="00BF05E0"/>
    <w:rsid w:val="00BF2690"/>
    <w:rsid w:val="00BF336C"/>
    <w:rsid w:val="00BF5441"/>
    <w:rsid w:val="00BF56CA"/>
    <w:rsid w:val="00BF5CFE"/>
    <w:rsid w:val="00BF5FFD"/>
    <w:rsid w:val="00BF6E55"/>
    <w:rsid w:val="00C00A14"/>
    <w:rsid w:val="00C00C91"/>
    <w:rsid w:val="00C00F8D"/>
    <w:rsid w:val="00C013DA"/>
    <w:rsid w:val="00C0254D"/>
    <w:rsid w:val="00C02E23"/>
    <w:rsid w:val="00C03268"/>
    <w:rsid w:val="00C032AE"/>
    <w:rsid w:val="00C040D2"/>
    <w:rsid w:val="00C04918"/>
    <w:rsid w:val="00C053C1"/>
    <w:rsid w:val="00C05EF2"/>
    <w:rsid w:val="00C06B2B"/>
    <w:rsid w:val="00C0713B"/>
    <w:rsid w:val="00C10659"/>
    <w:rsid w:val="00C11EB0"/>
    <w:rsid w:val="00C14080"/>
    <w:rsid w:val="00C1547C"/>
    <w:rsid w:val="00C1628B"/>
    <w:rsid w:val="00C177B7"/>
    <w:rsid w:val="00C20540"/>
    <w:rsid w:val="00C20EC5"/>
    <w:rsid w:val="00C21D9E"/>
    <w:rsid w:val="00C2321C"/>
    <w:rsid w:val="00C236B8"/>
    <w:rsid w:val="00C23CE3"/>
    <w:rsid w:val="00C243E6"/>
    <w:rsid w:val="00C254F3"/>
    <w:rsid w:val="00C261AC"/>
    <w:rsid w:val="00C264D0"/>
    <w:rsid w:val="00C315C2"/>
    <w:rsid w:val="00C32AD9"/>
    <w:rsid w:val="00C33859"/>
    <w:rsid w:val="00C33B75"/>
    <w:rsid w:val="00C353AB"/>
    <w:rsid w:val="00C3663F"/>
    <w:rsid w:val="00C3774A"/>
    <w:rsid w:val="00C37C5B"/>
    <w:rsid w:val="00C4022D"/>
    <w:rsid w:val="00C402FD"/>
    <w:rsid w:val="00C4067D"/>
    <w:rsid w:val="00C41376"/>
    <w:rsid w:val="00C41686"/>
    <w:rsid w:val="00C4171E"/>
    <w:rsid w:val="00C437A4"/>
    <w:rsid w:val="00C4513E"/>
    <w:rsid w:val="00C4583E"/>
    <w:rsid w:val="00C50F85"/>
    <w:rsid w:val="00C5252D"/>
    <w:rsid w:val="00C53C0E"/>
    <w:rsid w:val="00C55634"/>
    <w:rsid w:val="00C55928"/>
    <w:rsid w:val="00C5657E"/>
    <w:rsid w:val="00C56729"/>
    <w:rsid w:val="00C579C0"/>
    <w:rsid w:val="00C6068B"/>
    <w:rsid w:val="00C60A2E"/>
    <w:rsid w:val="00C61841"/>
    <w:rsid w:val="00C62ABB"/>
    <w:rsid w:val="00C62FC2"/>
    <w:rsid w:val="00C63026"/>
    <w:rsid w:val="00C63E9A"/>
    <w:rsid w:val="00C65FAC"/>
    <w:rsid w:val="00C703AC"/>
    <w:rsid w:val="00C70FBF"/>
    <w:rsid w:val="00C73270"/>
    <w:rsid w:val="00C74161"/>
    <w:rsid w:val="00C7544A"/>
    <w:rsid w:val="00C75733"/>
    <w:rsid w:val="00C75F97"/>
    <w:rsid w:val="00C77602"/>
    <w:rsid w:val="00C83AAC"/>
    <w:rsid w:val="00C845F4"/>
    <w:rsid w:val="00C84D09"/>
    <w:rsid w:val="00C86258"/>
    <w:rsid w:val="00C90726"/>
    <w:rsid w:val="00C90915"/>
    <w:rsid w:val="00C90C3C"/>
    <w:rsid w:val="00C934EB"/>
    <w:rsid w:val="00C93E92"/>
    <w:rsid w:val="00C9464B"/>
    <w:rsid w:val="00C94730"/>
    <w:rsid w:val="00C95F6C"/>
    <w:rsid w:val="00C9626F"/>
    <w:rsid w:val="00C969A8"/>
    <w:rsid w:val="00C96D86"/>
    <w:rsid w:val="00C97B5D"/>
    <w:rsid w:val="00CA127A"/>
    <w:rsid w:val="00CA1709"/>
    <w:rsid w:val="00CA2BFD"/>
    <w:rsid w:val="00CA2FFA"/>
    <w:rsid w:val="00CA36FA"/>
    <w:rsid w:val="00CA47E6"/>
    <w:rsid w:val="00CA56CE"/>
    <w:rsid w:val="00CA5F8D"/>
    <w:rsid w:val="00CA663E"/>
    <w:rsid w:val="00CA7EE6"/>
    <w:rsid w:val="00CB01EF"/>
    <w:rsid w:val="00CB1B10"/>
    <w:rsid w:val="00CB29E3"/>
    <w:rsid w:val="00CB3898"/>
    <w:rsid w:val="00CB39C4"/>
    <w:rsid w:val="00CB4EF1"/>
    <w:rsid w:val="00CB5C21"/>
    <w:rsid w:val="00CC06FA"/>
    <w:rsid w:val="00CC079E"/>
    <w:rsid w:val="00CC0CE4"/>
    <w:rsid w:val="00CC1209"/>
    <w:rsid w:val="00CC24E7"/>
    <w:rsid w:val="00CC259D"/>
    <w:rsid w:val="00CC2A7E"/>
    <w:rsid w:val="00CC3198"/>
    <w:rsid w:val="00CC31F3"/>
    <w:rsid w:val="00CC4EA6"/>
    <w:rsid w:val="00CC63A2"/>
    <w:rsid w:val="00CC6EEC"/>
    <w:rsid w:val="00CC746E"/>
    <w:rsid w:val="00CC773D"/>
    <w:rsid w:val="00CD0724"/>
    <w:rsid w:val="00CD08EB"/>
    <w:rsid w:val="00CD0DA6"/>
    <w:rsid w:val="00CD0F31"/>
    <w:rsid w:val="00CD112F"/>
    <w:rsid w:val="00CD2347"/>
    <w:rsid w:val="00CD29FA"/>
    <w:rsid w:val="00CD3EE0"/>
    <w:rsid w:val="00CD4672"/>
    <w:rsid w:val="00CD539C"/>
    <w:rsid w:val="00CD60F6"/>
    <w:rsid w:val="00CD6F3E"/>
    <w:rsid w:val="00CD79BB"/>
    <w:rsid w:val="00CE0C37"/>
    <w:rsid w:val="00CE2057"/>
    <w:rsid w:val="00CE24F0"/>
    <w:rsid w:val="00CE3580"/>
    <w:rsid w:val="00CE3DB6"/>
    <w:rsid w:val="00CE479D"/>
    <w:rsid w:val="00CE4D80"/>
    <w:rsid w:val="00CE5CEB"/>
    <w:rsid w:val="00CE738D"/>
    <w:rsid w:val="00CE7C66"/>
    <w:rsid w:val="00CF0F38"/>
    <w:rsid w:val="00CF11F7"/>
    <w:rsid w:val="00CF19AB"/>
    <w:rsid w:val="00CF19BF"/>
    <w:rsid w:val="00CF235A"/>
    <w:rsid w:val="00CF26E1"/>
    <w:rsid w:val="00CF3764"/>
    <w:rsid w:val="00CF3C6D"/>
    <w:rsid w:val="00CF475E"/>
    <w:rsid w:val="00CF4C0D"/>
    <w:rsid w:val="00CF5EAD"/>
    <w:rsid w:val="00CF651A"/>
    <w:rsid w:val="00CF695F"/>
    <w:rsid w:val="00CF6B36"/>
    <w:rsid w:val="00D012D8"/>
    <w:rsid w:val="00D01C7B"/>
    <w:rsid w:val="00D025C3"/>
    <w:rsid w:val="00D0288B"/>
    <w:rsid w:val="00D035C0"/>
    <w:rsid w:val="00D04F67"/>
    <w:rsid w:val="00D04F7A"/>
    <w:rsid w:val="00D04FEA"/>
    <w:rsid w:val="00D05FA7"/>
    <w:rsid w:val="00D07096"/>
    <w:rsid w:val="00D07F40"/>
    <w:rsid w:val="00D1050E"/>
    <w:rsid w:val="00D14D7E"/>
    <w:rsid w:val="00D14F0B"/>
    <w:rsid w:val="00D15CD6"/>
    <w:rsid w:val="00D17B49"/>
    <w:rsid w:val="00D2024F"/>
    <w:rsid w:val="00D203F0"/>
    <w:rsid w:val="00D227E2"/>
    <w:rsid w:val="00D22B18"/>
    <w:rsid w:val="00D22FB1"/>
    <w:rsid w:val="00D23BA3"/>
    <w:rsid w:val="00D2405D"/>
    <w:rsid w:val="00D24337"/>
    <w:rsid w:val="00D25D39"/>
    <w:rsid w:val="00D27175"/>
    <w:rsid w:val="00D31E44"/>
    <w:rsid w:val="00D325B6"/>
    <w:rsid w:val="00D33289"/>
    <w:rsid w:val="00D3360D"/>
    <w:rsid w:val="00D33620"/>
    <w:rsid w:val="00D339BA"/>
    <w:rsid w:val="00D33F3D"/>
    <w:rsid w:val="00D34E6F"/>
    <w:rsid w:val="00D35990"/>
    <w:rsid w:val="00D35C4B"/>
    <w:rsid w:val="00D36647"/>
    <w:rsid w:val="00D36DAA"/>
    <w:rsid w:val="00D37BF5"/>
    <w:rsid w:val="00D37C9E"/>
    <w:rsid w:val="00D37E2F"/>
    <w:rsid w:val="00D37EFE"/>
    <w:rsid w:val="00D41ECC"/>
    <w:rsid w:val="00D433DB"/>
    <w:rsid w:val="00D43B0C"/>
    <w:rsid w:val="00D45D47"/>
    <w:rsid w:val="00D4758D"/>
    <w:rsid w:val="00D50469"/>
    <w:rsid w:val="00D509CE"/>
    <w:rsid w:val="00D50CED"/>
    <w:rsid w:val="00D51679"/>
    <w:rsid w:val="00D516E3"/>
    <w:rsid w:val="00D517D6"/>
    <w:rsid w:val="00D52B70"/>
    <w:rsid w:val="00D533C1"/>
    <w:rsid w:val="00D535CE"/>
    <w:rsid w:val="00D54333"/>
    <w:rsid w:val="00D54B3F"/>
    <w:rsid w:val="00D57FD2"/>
    <w:rsid w:val="00D57FD3"/>
    <w:rsid w:val="00D60725"/>
    <w:rsid w:val="00D60AF3"/>
    <w:rsid w:val="00D622BF"/>
    <w:rsid w:val="00D6246B"/>
    <w:rsid w:val="00D646A6"/>
    <w:rsid w:val="00D64C0A"/>
    <w:rsid w:val="00D6574F"/>
    <w:rsid w:val="00D659A0"/>
    <w:rsid w:val="00D65DE8"/>
    <w:rsid w:val="00D6774E"/>
    <w:rsid w:val="00D70226"/>
    <w:rsid w:val="00D707BF"/>
    <w:rsid w:val="00D708ED"/>
    <w:rsid w:val="00D71E3C"/>
    <w:rsid w:val="00D73A42"/>
    <w:rsid w:val="00D74B9F"/>
    <w:rsid w:val="00D75563"/>
    <w:rsid w:val="00D755E3"/>
    <w:rsid w:val="00D75B47"/>
    <w:rsid w:val="00D76A38"/>
    <w:rsid w:val="00D76CF5"/>
    <w:rsid w:val="00D8029B"/>
    <w:rsid w:val="00D81E9F"/>
    <w:rsid w:val="00D8261B"/>
    <w:rsid w:val="00D82D6C"/>
    <w:rsid w:val="00D838DE"/>
    <w:rsid w:val="00D83F9E"/>
    <w:rsid w:val="00D83FD8"/>
    <w:rsid w:val="00D84418"/>
    <w:rsid w:val="00D86006"/>
    <w:rsid w:val="00D86F90"/>
    <w:rsid w:val="00D872DA"/>
    <w:rsid w:val="00D872E7"/>
    <w:rsid w:val="00D87840"/>
    <w:rsid w:val="00D90006"/>
    <w:rsid w:val="00D914E3"/>
    <w:rsid w:val="00D91914"/>
    <w:rsid w:val="00D922FD"/>
    <w:rsid w:val="00D92433"/>
    <w:rsid w:val="00D928DA"/>
    <w:rsid w:val="00D92966"/>
    <w:rsid w:val="00D92B47"/>
    <w:rsid w:val="00D9307B"/>
    <w:rsid w:val="00D930B8"/>
    <w:rsid w:val="00D941E7"/>
    <w:rsid w:val="00D94ADB"/>
    <w:rsid w:val="00D953B2"/>
    <w:rsid w:val="00D959FC"/>
    <w:rsid w:val="00D96DCE"/>
    <w:rsid w:val="00D97DDD"/>
    <w:rsid w:val="00D97FA4"/>
    <w:rsid w:val="00DA18A3"/>
    <w:rsid w:val="00DA4742"/>
    <w:rsid w:val="00DA5778"/>
    <w:rsid w:val="00DA6EFE"/>
    <w:rsid w:val="00DA7FEF"/>
    <w:rsid w:val="00DB06C8"/>
    <w:rsid w:val="00DB18B0"/>
    <w:rsid w:val="00DB219D"/>
    <w:rsid w:val="00DB3A86"/>
    <w:rsid w:val="00DB4213"/>
    <w:rsid w:val="00DB47D8"/>
    <w:rsid w:val="00DB4824"/>
    <w:rsid w:val="00DB5C5C"/>
    <w:rsid w:val="00DB60CA"/>
    <w:rsid w:val="00DC1169"/>
    <w:rsid w:val="00DC339B"/>
    <w:rsid w:val="00DC339E"/>
    <w:rsid w:val="00DC3BB8"/>
    <w:rsid w:val="00DC580E"/>
    <w:rsid w:val="00DC6523"/>
    <w:rsid w:val="00DD0DA9"/>
    <w:rsid w:val="00DD1586"/>
    <w:rsid w:val="00DD270F"/>
    <w:rsid w:val="00DD4C78"/>
    <w:rsid w:val="00DD57AB"/>
    <w:rsid w:val="00DD6093"/>
    <w:rsid w:val="00DD615A"/>
    <w:rsid w:val="00DD6F98"/>
    <w:rsid w:val="00DD7620"/>
    <w:rsid w:val="00DD7D7D"/>
    <w:rsid w:val="00DE0E33"/>
    <w:rsid w:val="00DE14BA"/>
    <w:rsid w:val="00DE1DCC"/>
    <w:rsid w:val="00DE4CFB"/>
    <w:rsid w:val="00DE570F"/>
    <w:rsid w:val="00DE5C7F"/>
    <w:rsid w:val="00DE6474"/>
    <w:rsid w:val="00DF0DCE"/>
    <w:rsid w:val="00DF1582"/>
    <w:rsid w:val="00DF1E15"/>
    <w:rsid w:val="00DF22C4"/>
    <w:rsid w:val="00DF23AD"/>
    <w:rsid w:val="00DF3256"/>
    <w:rsid w:val="00DF329B"/>
    <w:rsid w:val="00DF3C67"/>
    <w:rsid w:val="00DF4677"/>
    <w:rsid w:val="00DF4779"/>
    <w:rsid w:val="00DF4A94"/>
    <w:rsid w:val="00DF4E9B"/>
    <w:rsid w:val="00DF6176"/>
    <w:rsid w:val="00DF61F5"/>
    <w:rsid w:val="00DF626D"/>
    <w:rsid w:val="00DF6A79"/>
    <w:rsid w:val="00E007DA"/>
    <w:rsid w:val="00E016E8"/>
    <w:rsid w:val="00E02317"/>
    <w:rsid w:val="00E02339"/>
    <w:rsid w:val="00E023E4"/>
    <w:rsid w:val="00E0281A"/>
    <w:rsid w:val="00E02FE6"/>
    <w:rsid w:val="00E033EC"/>
    <w:rsid w:val="00E03CC6"/>
    <w:rsid w:val="00E04A26"/>
    <w:rsid w:val="00E04C3C"/>
    <w:rsid w:val="00E04E95"/>
    <w:rsid w:val="00E0661B"/>
    <w:rsid w:val="00E07697"/>
    <w:rsid w:val="00E10EAD"/>
    <w:rsid w:val="00E1224F"/>
    <w:rsid w:val="00E12388"/>
    <w:rsid w:val="00E1334F"/>
    <w:rsid w:val="00E13D49"/>
    <w:rsid w:val="00E15E1C"/>
    <w:rsid w:val="00E15ECB"/>
    <w:rsid w:val="00E15F9A"/>
    <w:rsid w:val="00E169DF"/>
    <w:rsid w:val="00E16ED2"/>
    <w:rsid w:val="00E17199"/>
    <w:rsid w:val="00E17784"/>
    <w:rsid w:val="00E17EC7"/>
    <w:rsid w:val="00E20687"/>
    <w:rsid w:val="00E209B8"/>
    <w:rsid w:val="00E21ADA"/>
    <w:rsid w:val="00E22605"/>
    <w:rsid w:val="00E2315C"/>
    <w:rsid w:val="00E238C3"/>
    <w:rsid w:val="00E25260"/>
    <w:rsid w:val="00E253C1"/>
    <w:rsid w:val="00E25643"/>
    <w:rsid w:val="00E2574A"/>
    <w:rsid w:val="00E25CF6"/>
    <w:rsid w:val="00E26115"/>
    <w:rsid w:val="00E263EC"/>
    <w:rsid w:val="00E27864"/>
    <w:rsid w:val="00E278D7"/>
    <w:rsid w:val="00E30E7B"/>
    <w:rsid w:val="00E30F25"/>
    <w:rsid w:val="00E31F35"/>
    <w:rsid w:val="00E33F79"/>
    <w:rsid w:val="00E374FD"/>
    <w:rsid w:val="00E41A0A"/>
    <w:rsid w:val="00E41C7F"/>
    <w:rsid w:val="00E42721"/>
    <w:rsid w:val="00E42AF7"/>
    <w:rsid w:val="00E431BD"/>
    <w:rsid w:val="00E4358E"/>
    <w:rsid w:val="00E43EB6"/>
    <w:rsid w:val="00E43F39"/>
    <w:rsid w:val="00E44C1A"/>
    <w:rsid w:val="00E45193"/>
    <w:rsid w:val="00E4546E"/>
    <w:rsid w:val="00E4686F"/>
    <w:rsid w:val="00E50517"/>
    <w:rsid w:val="00E5395F"/>
    <w:rsid w:val="00E53B63"/>
    <w:rsid w:val="00E55A03"/>
    <w:rsid w:val="00E56B00"/>
    <w:rsid w:val="00E5799D"/>
    <w:rsid w:val="00E57B49"/>
    <w:rsid w:val="00E603F4"/>
    <w:rsid w:val="00E62117"/>
    <w:rsid w:val="00E62EA7"/>
    <w:rsid w:val="00E650AB"/>
    <w:rsid w:val="00E657A2"/>
    <w:rsid w:val="00E65A38"/>
    <w:rsid w:val="00E66324"/>
    <w:rsid w:val="00E671ED"/>
    <w:rsid w:val="00E73C63"/>
    <w:rsid w:val="00E74311"/>
    <w:rsid w:val="00E743E9"/>
    <w:rsid w:val="00E7609C"/>
    <w:rsid w:val="00E76611"/>
    <w:rsid w:val="00E772F3"/>
    <w:rsid w:val="00E826E7"/>
    <w:rsid w:val="00E82E17"/>
    <w:rsid w:val="00E82ED9"/>
    <w:rsid w:val="00E8301E"/>
    <w:rsid w:val="00E85932"/>
    <w:rsid w:val="00E85C5D"/>
    <w:rsid w:val="00E87859"/>
    <w:rsid w:val="00E87CA1"/>
    <w:rsid w:val="00E90823"/>
    <w:rsid w:val="00E92429"/>
    <w:rsid w:val="00E92C4F"/>
    <w:rsid w:val="00E9578C"/>
    <w:rsid w:val="00E96379"/>
    <w:rsid w:val="00EA0D6F"/>
    <w:rsid w:val="00EA129B"/>
    <w:rsid w:val="00EA194E"/>
    <w:rsid w:val="00EA277C"/>
    <w:rsid w:val="00EA2B6D"/>
    <w:rsid w:val="00EA5A94"/>
    <w:rsid w:val="00EA6676"/>
    <w:rsid w:val="00EA67E4"/>
    <w:rsid w:val="00EA6B30"/>
    <w:rsid w:val="00EA6EC4"/>
    <w:rsid w:val="00EB1E57"/>
    <w:rsid w:val="00EB27C6"/>
    <w:rsid w:val="00EB2D51"/>
    <w:rsid w:val="00EB3BB7"/>
    <w:rsid w:val="00EB3FCA"/>
    <w:rsid w:val="00EB483B"/>
    <w:rsid w:val="00EB50E5"/>
    <w:rsid w:val="00EB5549"/>
    <w:rsid w:val="00EB5564"/>
    <w:rsid w:val="00EB65BF"/>
    <w:rsid w:val="00EB674A"/>
    <w:rsid w:val="00EB6CA5"/>
    <w:rsid w:val="00EB7A42"/>
    <w:rsid w:val="00EC0397"/>
    <w:rsid w:val="00EC1671"/>
    <w:rsid w:val="00EC27A3"/>
    <w:rsid w:val="00EC307E"/>
    <w:rsid w:val="00EC3809"/>
    <w:rsid w:val="00EC4514"/>
    <w:rsid w:val="00EC477A"/>
    <w:rsid w:val="00EC4A1D"/>
    <w:rsid w:val="00EC56F6"/>
    <w:rsid w:val="00EC6133"/>
    <w:rsid w:val="00EC754B"/>
    <w:rsid w:val="00EC77DA"/>
    <w:rsid w:val="00EC78EB"/>
    <w:rsid w:val="00EC7BBB"/>
    <w:rsid w:val="00ED0867"/>
    <w:rsid w:val="00ED19F5"/>
    <w:rsid w:val="00ED2A21"/>
    <w:rsid w:val="00ED3838"/>
    <w:rsid w:val="00ED3B52"/>
    <w:rsid w:val="00ED3EAA"/>
    <w:rsid w:val="00ED4266"/>
    <w:rsid w:val="00ED4DDD"/>
    <w:rsid w:val="00ED6766"/>
    <w:rsid w:val="00ED6979"/>
    <w:rsid w:val="00EE04C1"/>
    <w:rsid w:val="00EE2F7B"/>
    <w:rsid w:val="00EE5FA1"/>
    <w:rsid w:val="00EE6C14"/>
    <w:rsid w:val="00EE7DF3"/>
    <w:rsid w:val="00EE7EE5"/>
    <w:rsid w:val="00EF0C1F"/>
    <w:rsid w:val="00EF2624"/>
    <w:rsid w:val="00EF3B02"/>
    <w:rsid w:val="00EF53CD"/>
    <w:rsid w:val="00EF7252"/>
    <w:rsid w:val="00EF7EBC"/>
    <w:rsid w:val="00F00036"/>
    <w:rsid w:val="00F00346"/>
    <w:rsid w:val="00F01936"/>
    <w:rsid w:val="00F027A8"/>
    <w:rsid w:val="00F02CC0"/>
    <w:rsid w:val="00F034A5"/>
    <w:rsid w:val="00F03AC6"/>
    <w:rsid w:val="00F03ADA"/>
    <w:rsid w:val="00F0448F"/>
    <w:rsid w:val="00F058B2"/>
    <w:rsid w:val="00F05E9E"/>
    <w:rsid w:val="00F06072"/>
    <w:rsid w:val="00F06C75"/>
    <w:rsid w:val="00F102A1"/>
    <w:rsid w:val="00F109A6"/>
    <w:rsid w:val="00F117FA"/>
    <w:rsid w:val="00F12958"/>
    <w:rsid w:val="00F12A06"/>
    <w:rsid w:val="00F12A82"/>
    <w:rsid w:val="00F13A42"/>
    <w:rsid w:val="00F1473D"/>
    <w:rsid w:val="00F15778"/>
    <w:rsid w:val="00F21531"/>
    <w:rsid w:val="00F21C23"/>
    <w:rsid w:val="00F21DFA"/>
    <w:rsid w:val="00F2378A"/>
    <w:rsid w:val="00F23BE1"/>
    <w:rsid w:val="00F23D9A"/>
    <w:rsid w:val="00F256C9"/>
    <w:rsid w:val="00F30488"/>
    <w:rsid w:val="00F3237C"/>
    <w:rsid w:val="00F327AF"/>
    <w:rsid w:val="00F32AF2"/>
    <w:rsid w:val="00F347E6"/>
    <w:rsid w:val="00F34A0D"/>
    <w:rsid w:val="00F34E7D"/>
    <w:rsid w:val="00F34FC7"/>
    <w:rsid w:val="00F352B4"/>
    <w:rsid w:val="00F366F2"/>
    <w:rsid w:val="00F410C5"/>
    <w:rsid w:val="00F42BE8"/>
    <w:rsid w:val="00F42FEE"/>
    <w:rsid w:val="00F433F1"/>
    <w:rsid w:val="00F4350C"/>
    <w:rsid w:val="00F438B2"/>
    <w:rsid w:val="00F43988"/>
    <w:rsid w:val="00F441CE"/>
    <w:rsid w:val="00F44BFD"/>
    <w:rsid w:val="00F4510E"/>
    <w:rsid w:val="00F454AF"/>
    <w:rsid w:val="00F45C85"/>
    <w:rsid w:val="00F4684D"/>
    <w:rsid w:val="00F46A69"/>
    <w:rsid w:val="00F502AF"/>
    <w:rsid w:val="00F50879"/>
    <w:rsid w:val="00F50DDA"/>
    <w:rsid w:val="00F5169D"/>
    <w:rsid w:val="00F51985"/>
    <w:rsid w:val="00F51C1B"/>
    <w:rsid w:val="00F52BFE"/>
    <w:rsid w:val="00F54327"/>
    <w:rsid w:val="00F558A4"/>
    <w:rsid w:val="00F55CBD"/>
    <w:rsid w:val="00F60BBC"/>
    <w:rsid w:val="00F64BA3"/>
    <w:rsid w:val="00F653C6"/>
    <w:rsid w:val="00F666E8"/>
    <w:rsid w:val="00F67422"/>
    <w:rsid w:val="00F67A44"/>
    <w:rsid w:val="00F706B7"/>
    <w:rsid w:val="00F71867"/>
    <w:rsid w:val="00F72C2A"/>
    <w:rsid w:val="00F72EBB"/>
    <w:rsid w:val="00F73301"/>
    <w:rsid w:val="00F739BD"/>
    <w:rsid w:val="00F739C5"/>
    <w:rsid w:val="00F74DDF"/>
    <w:rsid w:val="00F75855"/>
    <w:rsid w:val="00F76F07"/>
    <w:rsid w:val="00F774C3"/>
    <w:rsid w:val="00F77662"/>
    <w:rsid w:val="00F77701"/>
    <w:rsid w:val="00F77C18"/>
    <w:rsid w:val="00F80754"/>
    <w:rsid w:val="00F81629"/>
    <w:rsid w:val="00F82B72"/>
    <w:rsid w:val="00F834CF"/>
    <w:rsid w:val="00F83B71"/>
    <w:rsid w:val="00F83DB5"/>
    <w:rsid w:val="00F848D3"/>
    <w:rsid w:val="00F852BD"/>
    <w:rsid w:val="00F87145"/>
    <w:rsid w:val="00F87264"/>
    <w:rsid w:val="00F8742A"/>
    <w:rsid w:val="00F900DD"/>
    <w:rsid w:val="00F91346"/>
    <w:rsid w:val="00F9147A"/>
    <w:rsid w:val="00F92365"/>
    <w:rsid w:val="00F92816"/>
    <w:rsid w:val="00F92B7A"/>
    <w:rsid w:val="00F92BEC"/>
    <w:rsid w:val="00F941CB"/>
    <w:rsid w:val="00F945FF"/>
    <w:rsid w:val="00F946CE"/>
    <w:rsid w:val="00F94958"/>
    <w:rsid w:val="00FA0169"/>
    <w:rsid w:val="00FA0E3B"/>
    <w:rsid w:val="00FA216A"/>
    <w:rsid w:val="00FA3BD3"/>
    <w:rsid w:val="00FA5CBF"/>
    <w:rsid w:val="00FA5F59"/>
    <w:rsid w:val="00FA7BB9"/>
    <w:rsid w:val="00FB1AAC"/>
    <w:rsid w:val="00FB2592"/>
    <w:rsid w:val="00FB36FB"/>
    <w:rsid w:val="00FB3F76"/>
    <w:rsid w:val="00FB4C06"/>
    <w:rsid w:val="00FC004E"/>
    <w:rsid w:val="00FC0E81"/>
    <w:rsid w:val="00FC3002"/>
    <w:rsid w:val="00FC3517"/>
    <w:rsid w:val="00FC3657"/>
    <w:rsid w:val="00FC382C"/>
    <w:rsid w:val="00FC3BB3"/>
    <w:rsid w:val="00FC3CF4"/>
    <w:rsid w:val="00FC4CBA"/>
    <w:rsid w:val="00FC65DE"/>
    <w:rsid w:val="00FC7F60"/>
    <w:rsid w:val="00FD0512"/>
    <w:rsid w:val="00FD16C3"/>
    <w:rsid w:val="00FD1CE2"/>
    <w:rsid w:val="00FD2C05"/>
    <w:rsid w:val="00FD3BD2"/>
    <w:rsid w:val="00FD4390"/>
    <w:rsid w:val="00FD45B4"/>
    <w:rsid w:val="00FD532C"/>
    <w:rsid w:val="00FD6247"/>
    <w:rsid w:val="00FE038C"/>
    <w:rsid w:val="00FE0D9C"/>
    <w:rsid w:val="00FE1252"/>
    <w:rsid w:val="00FE129D"/>
    <w:rsid w:val="00FE132A"/>
    <w:rsid w:val="00FE1BFA"/>
    <w:rsid w:val="00FE1E15"/>
    <w:rsid w:val="00FE3376"/>
    <w:rsid w:val="00FE3B87"/>
    <w:rsid w:val="00FE3D1E"/>
    <w:rsid w:val="00FE4779"/>
    <w:rsid w:val="00FE4C0F"/>
    <w:rsid w:val="00FE5C80"/>
    <w:rsid w:val="00FE7FD5"/>
    <w:rsid w:val="00FF0331"/>
    <w:rsid w:val="00FF07F6"/>
    <w:rsid w:val="00FF22D0"/>
    <w:rsid w:val="00FF47E8"/>
    <w:rsid w:val="00FF5BB0"/>
    <w:rsid w:val="00FF689D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4A2C7"/>
  <w15:docId w15:val="{E8960609-9DEF-4872-ACC1-BE8C5C4B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34E"/>
    <w:pPr>
      <w:spacing w:line="360" w:lineRule="auto"/>
    </w:pPr>
    <w:rPr>
      <w:rFonts w:ascii="Arial" w:eastAsia="SimSun" w:hAnsi="Arial" w:cs="Arial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237FD"/>
    <w:rPr>
      <w:sz w:val="22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5423E"/>
    <w:pPr>
      <w:numPr>
        <w:numId w:val="2"/>
      </w:numPr>
    </w:pPr>
  </w:style>
  <w:style w:type="paragraph" w:customStyle="1" w:styleId="ONUMFS">
    <w:name w:val="ONUM FS"/>
    <w:basedOn w:val="BodyText"/>
    <w:rsid w:val="00A5423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styleId="TOCHeading">
    <w:name w:val="TOC Heading"/>
    <w:basedOn w:val="Heading1"/>
    <w:next w:val="Normal"/>
    <w:uiPriority w:val="39"/>
    <w:unhideWhenUsed/>
    <w:qFormat/>
    <w:rsid w:val="00CF3C6D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CF3C6D"/>
  </w:style>
  <w:style w:type="paragraph" w:styleId="TOC3">
    <w:name w:val="toc 3"/>
    <w:basedOn w:val="Normal"/>
    <w:next w:val="Normal"/>
    <w:autoRedefine/>
    <w:uiPriority w:val="39"/>
    <w:qFormat/>
    <w:rsid w:val="00DF3C67"/>
    <w:pPr>
      <w:tabs>
        <w:tab w:val="right" w:leader="dot" w:pos="9345"/>
      </w:tabs>
      <w:spacing w:after="100"/>
      <w:ind w:left="442"/>
    </w:pPr>
  </w:style>
  <w:style w:type="character" w:styleId="Hyperlink">
    <w:name w:val="Hyperlink"/>
    <w:uiPriority w:val="99"/>
    <w:unhideWhenUsed/>
    <w:rsid w:val="00CF3C6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F3C6D"/>
    <w:pPr>
      <w:spacing w:before="240" w:after="60"/>
      <w:jc w:val="center"/>
      <w:outlineLvl w:val="0"/>
    </w:pPr>
    <w:rPr>
      <w:rFonts w:ascii="Cambria" w:eastAsia="Malgun Gothic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F3C6D"/>
    <w:rPr>
      <w:rFonts w:ascii="Cambria" w:eastAsia="Malgun Gothic" w:hAnsi="Cambria" w:cs="Times New Roman"/>
      <w:b/>
      <w:bCs/>
      <w:kern w:val="28"/>
      <w:sz w:val="3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6B30"/>
    <w:pPr>
      <w:tabs>
        <w:tab w:val="right" w:leader="dot" w:pos="9345"/>
      </w:tabs>
      <w:spacing w:after="100" w:line="276" w:lineRule="auto"/>
      <w:ind w:left="221"/>
    </w:pPr>
    <w:rPr>
      <w:rFonts w:eastAsia="MS Mincho"/>
      <w:szCs w:val="22"/>
      <w:lang w:eastAsia="ja-JP"/>
    </w:rPr>
  </w:style>
  <w:style w:type="paragraph" w:styleId="BalloonText">
    <w:name w:val="Balloon Text"/>
    <w:basedOn w:val="Normal"/>
    <w:link w:val="BalloonTextChar"/>
    <w:rsid w:val="000237E0"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link w:val="BalloonText"/>
    <w:rsid w:val="000237E0"/>
    <w:rPr>
      <w:rFonts w:ascii="Tahoma" w:eastAsia="SimSun" w:hAnsi="Tahoma" w:cs="Tahoma"/>
      <w:sz w:val="22"/>
      <w:szCs w:val="16"/>
      <w:lang w:eastAsia="zh-CN"/>
    </w:rPr>
  </w:style>
  <w:style w:type="paragraph" w:styleId="TOC4">
    <w:name w:val="toc 4"/>
    <w:basedOn w:val="Normal"/>
    <w:next w:val="Normal"/>
    <w:autoRedefine/>
    <w:uiPriority w:val="39"/>
    <w:rsid w:val="00DF3C67"/>
    <w:pPr>
      <w:tabs>
        <w:tab w:val="right" w:leader="dot" w:pos="9345"/>
      </w:tabs>
      <w:spacing w:after="100"/>
      <w:ind w:left="658"/>
    </w:pPr>
  </w:style>
  <w:style w:type="paragraph" w:styleId="Revision">
    <w:name w:val="Revision"/>
    <w:hidden/>
    <w:uiPriority w:val="99"/>
    <w:semiHidden/>
    <w:rsid w:val="00867AD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867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67AD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867AD4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5132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651326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54E2F"/>
    <w:pPr>
      <w:ind w:left="720"/>
      <w:contextualSpacing/>
    </w:pPr>
  </w:style>
  <w:style w:type="table" w:styleId="TableGrid">
    <w:name w:val="Table Grid"/>
    <w:basedOn w:val="TableNormal"/>
    <w:rsid w:val="00C8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4F4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194F40"/>
    <w:rPr>
      <w:b/>
      <w:bCs/>
    </w:rPr>
  </w:style>
  <w:style w:type="character" w:customStyle="1" w:styleId="apple-converted-space">
    <w:name w:val="apple-converted-space"/>
    <w:basedOn w:val="DefaultParagraphFont"/>
    <w:rsid w:val="00E0661B"/>
  </w:style>
  <w:style w:type="character" w:customStyle="1" w:styleId="ONUMEChar">
    <w:name w:val="ONUM E Char"/>
    <w:basedOn w:val="DefaultParagraphFont"/>
    <w:link w:val="ONUME"/>
    <w:rsid w:val="004C0C09"/>
    <w:rPr>
      <w:rFonts w:ascii="Arial" w:eastAsia="SimSun" w:hAnsi="Arial" w:cs="Arial"/>
      <w:sz w:val="24"/>
      <w:lang w:eastAsia="zh-CN"/>
    </w:rPr>
  </w:style>
  <w:style w:type="character" w:styleId="FollowedHyperlink">
    <w:name w:val="FollowedHyperlink"/>
    <w:basedOn w:val="DefaultParagraphFont"/>
    <w:rsid w:val="0045173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10B84"/>
    <w:rPr>
      <w:i/>
      <w:iCs/>
    </w:rPr>
  </w:style>
  <w:style w:type="character" w:styleId="FootnoteReference">
    <w:name w:val="footnote reference"/>
    <w:basedOn w:val="DefaultParagraphFont"/>
    <w:rsid w:val="00510B8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E772F3"/>
    <w:rPr>
      <w:rFonts w:ascii="Courier New" w:eastAsiaTheme="minorHAnsi" w:hAnsi="Courier New" w:cstheme="minorBidi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E772F3"/>
    <w:rPr>
      <w:rFonts w:ascii="Courier New" w:eastAsiaTheme="minorHAnsi" w:hAnsi="Courier New" w:cstheme="minorBidi"/>
      <w:sz w:val="22"/>
      <w:szCs w:val="21"/>
    </w:rPr>
  </w:style>
  <w:style w:type="paragraph" w:customStyle="1" w:styleId="StyleHeading285pt">
    <w:name w:val="Style Heading 2 + 85 pt"/>
    <w:basedOn w:val="Heading2"/>
    <w:rsid w:val="009836BE"/>
    <w:pPr>
      <w:spacing w:before="0" w:after="0"/>
    </w:pPr>
    <w:rPr>
      <w:bCs w:val="0"/>
      <w:iCs w:val="0"/>
    </w:rPr>
  </w:style>
  <w:style w:type="paragraph" w:customStyle="1" w:styleId="Endofdocument-Annex">
    <w:name w:val="[End of document - Annex]"/>
    <w:basedOn w:val="Normal"/>
    <w:rsid w:val="00AF3E5B"/>
    <w:pPr>
      <w:ind w:left="5534"/>
    </w:pPr>
  </w:style>
  <w:style w:type="paragraph" w:customStyle="1" w:styleId="TitleCAPS">
    <w:name w:val="Title CAPS"/>
    <w:basedOn w:val="Normal"/>
    <w:next w:val="Normal"/>
    <w:link w:val="TitleCAPSChar"/>
    <w:rsid w:val="00D04FEA"/>
    <w:pPr>
      <w:spacing w:after="340"/>
      <w:jc w:val="center"/>
    </w:pPr>
    <w:rPr>
      <w:rFonts w:eastAsia="Times New Roman" w:cs="Times New Roman"/>
      <w:caps/>
      <w:lang w:eastAsia="en-US"/>
    </w:rPr>
  </w:style>
  <w:style w:type="character" w:customStyle="1" w:styleId="TitleCAPSChar">
    <w:name w:val="Title CAPS Char"/>
    <w:basedOn w:val="DefaultParagraphFont"/>
    <w:link w:val="TitleCAPS"/>
    <w:rsid w:val="00D04FEA"/>
    <w:rPr>
      <w:rFonts w:ascii="Arial" w:eastAsia="Times New Roman" w:hAnsi="Arial"/>
      <w:caps/>
      <w:sz w:val="17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6ADD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C6302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F2690"/>
    <w:rPr>
      <w:rFonts w:ascii="Arial" w:eastAsia="SimSun" w:hAnsi="Arial" w:cs="Arial"/>
      <w:sz w:val="22"/>
      <w:lang w:eastAsia="zh-CN"/>
    </w:rPr>
  </w:style>
  <w:style w:type="paragraph" w:customStyle="1" w:styleId="subsection">
    <w:name w:val="subsection"/>
    <w:basedOn w:val="Normal"/>
    <w:rsid w:val="004903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AU"/>
    </w:rPr>
  </w:style>
  <w:style w:type="paragraph" w:customStyle="1" w:styleId="paragraph">
    <w:name w:val="paragraph"/>
    <w:basedOn w:val="Normal"/>
    <w:rsid w:val="004903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AU"/>
    </w:rPr>
  </w:style>
  <w:style w:type="paragraph" w:customStyle="1" w:styleId="Heading1-notTOC">
    <w:name w:val="Heading 1 - not TOC"/>
    <w:basedOn w:val="Heading1"/>
    <w:link w:val="Heading1-notTOCChar"/>
    <w:qFormat/>
    <w:rsid w:val="00EA6B30"/>
    <w:pPr>
      <w:keepNext w:val="0"/>
      <w:widowControl w:val="0"/>
      <w:kinsoku w:val="0"/>
      <w:spacing w:before="0" w:after="340"/>
      <w:jc w:val="center"/>
    </w:pPr>
    <w:rPr>
      <w:bCs w:val="0"/>
      <w:caps w:val="0"/>
      <w:kern w:val="0"/>
      <w:sz w:val="20"/>
      <w:szCs w:val="17"/>
    </w:rPr>
  </w:style>
  <w:style w:type="character" w:customStyle="1" w:styleId="Heading1-notTOCChar">
    <w:name w:val="Heading 1 - not TOC Char"/>
    <w:basedOn w:val="Heading1Char"/>
    <w:link w:val="Heading1-notTOC"/>
    <w:rsid w:val="00EA6B30"/>
    <w:rPr>
      <w:rFonts w:ascii="Arial" w:eastAsia="SimSun" w:hAnsi="Arial" w:cs="Arial"/>
      <w:b/>
      <w:bCs w:val="0"/>
      <w:caps w:val="0"/>
      <w:kern w:val="32"/>
      <w:sz w:val="22"/>
      <w:szCs w:val="17"/>
      <w:lang w:eastAsia="zh-CN"/>
    </w:rPr>
  </w:style>
  <w:style w:type="paragraph" w:customStyle="1" w:styleId="StyleFootnoteText85pt">
    <w:name w:val="Style Footnote Text + 8.5 pt"/>
    <w:basedOn w:val="FootnoteText"/>
    <w:rsid w:val="00FC3CF4"/>
    <w:rPr>
      <w:sz w:val="20"/>
    </w:rPr>
  </w:style>
  <w:style w:type="paragraph" w:customStyle="1" w:styleId="StyleFootnoteText85pt1">
    <w:name w:val="Style Footnote Text + 8.5 pt1"/>
    <w:basedOn w:val="FootnoteText"/>
    <w:rsid w:val="00FC3CF4"/>
    <w:rPr>
      <w:sz w:val="24"/>
    </w:rPr>
  </w:style>
  <w:style w:type="paragraph" w:customStyle="1" w:styleId="StyleFootnoteText85pt2">
    <w:name w:val="Style Footnote Text + 8.5 pt2"/>
    <w:basedOn w:val="FootnoteText"/>
    <w:rsid w:val="00FC3CF4"/>
    <w:rPr>
      <w:sz w:val="24"/>
    </w:rPr>
  </w:style>
  <w:style w:type="paragraph" w:customStyle="1" w:styleId="diagram1">
    <w:name w:val="diagram1"/>
    <w:basedOn w:val="Normal"/>
    <w:link w:val="diagram1Char"/>
    <w:qFormat/>
    <w:rsid w:val="00FC3CF4"/>
    <w:rPr>
      <w:noProof/>
      <w:sz w:val="17"/>
      <w:szCs w:val="17"/>
      <w:lang w:eastAsia="en-US"/>
    </w:rPr>
  </w:style>
  <w:style w:type="paragraph" w:customStyle="1" w:styleId="StyleHeading110ptNotAllcapsCenteredBefore0ptAft">
    <w:name w:val="Style Heading 1 + 10 pt Not All caps Centered Before:  0 pt Aft..."/>
    <w:basedOn w:val="Heading1"/>
    <w:rsid w:val="00FC3CF4"/>
    <w:pPr>
      <w:spacing w:before="0" w:after="340"/>
      <w:jc w:val="center"/>
    </w:pPr>
    <w:rPr>
      <w:rFonts w:eastAsia="Times New Roman" w:cs="Times New Roman"/>
      <w:caps w:val="0"/>
      <w:kern w:val="0"/>
      <w:szCs w:val="20"/>
    </w:rPr>
  </w:style>
  <w:style w:type="character" w:customStyle="1" w:styleId="diagram1Char">
    <w:name w:val="diagram1 Char"/>
    <w:basedOn w:val="DefaultParagraphFont"/>
    <w:link w:val="diagram1"/>
    <w:rsid w:val="00FC3CF4"/>
    <w:rPr>
      <w:rFonts w:ascii="Arial" w:eastAsia="SimSun" w:hAnsi="Arial" w:cs="Arial"/>
      <w:noProof/>
      <w:sz w:val="17"/>
      <w:szCs w:val="17"/>
      <w:lang w:eastAsia="en-US"/>
    </w:rPr>
  </w:style>
  <w:style w:type="paragraph" w:customStyle="1" w:styleId="StyleFootnoteText85pt3">
    <w:name w:val="Style Footnote Text + 8.5 pt3"/>
    <w:basedOn w:val="FootnoteText"/>
    <w:rsid w:val="000237FD"/>
    <w:rPr>
      <w:sz w:val="24"/>
    </w:rPr>
  </w:style>
  <w:style w:type="paragraph" w:customStyle="1" w:styleId="StyleFootnoteText85pt4">
    <w:name w:val="Style Footnote Text + 8.5 pt4"/>
    <w:basedOn w:val="FootnoteText"/>
    <w:rsid w:val="000237FD"/>
    <w:rPr>
      <w:sz w:val="24"/>
    </w:rPr>
  </w:style>
  <w:style w:type="paragraph" w:customStyle="1" w:styleId="StyleFootnoteText">
    <w:name w:val="Style Footnote Text"/>
    <w:basedOn w:val="FootnoteText"/>
    <w:rsid w:val="000237FD"/>
    <w:rPr>
      <w:sz w:val="24"/>
    </w:rPr>
  </w:style>
  <w:style w:type="paragraph" w:customStyle="1" w:styleId="StyleFootnoteText85pt5">
    <w:name w:val="Style Footnote Text + 8.5 pt5"/>
    <w:basedOn w:val="FootnoteText"/>
    <w:rsid w:val="000237FD"/>
    <w:rPr>
      <w:sz w:val="24"/>
    </w:rPr>
  </w:style>
  <w:style w:type="character" w:styleId="LineNumber">
    <w:name w:val="line number"/>
    <w:basedOn w:val="DefaultParagraphFont"/>
    <w:semiHidden/>
    <w:unhideWhenUsed/>
    <w:rsid w:val="000237E0"/>
  </w:style>
  <w:style w:type="paragraph" w:customStyle="1" w:styleId="TableParagraph">
    <w:name w:val="Table Paragraph"/>
    <w:basedOn w:val="Normal"/>
    <w:uiPriority w:val="1"/>
    <w:qFormat/>
    <w:rsid w:val="006343DB"/>
    <w:pPr>
      <w:widowControl w:val="0"/>
      <w:autoSpaceDE w:val="0"/>
      <w:autoSpaceDN w:val="0"/>
      <w:spacing w:line="184" w:lineRule="exact"/>
      <w:ind w:left="47"/>
      <w:jc w:val="center"/>
    </w:pPr>
    <w:rPr>
      <w:rFonts w:ascii="Calibri" w:eastAsia="Calibri" w:hAnsi="Calibri" w:cs="Calibri"/>
      <w:sz w:val="22"/>
      <w:szCs w:val="22"/>
      <w:lang w:eastAsia="en-US" w:bidi="en-US"/>
    </w:rPr>
  </w:style>
  <w:style w:type="character" w:styleId="PlaceholderText">
    <w:name w:val="Placeholder Text"/>
    <w:basedOn w:val="DefaultParagraphFont"/>
    <w:uiPriority w:val="99"/>
    <w:semiHidden/>
    <w:rsid w:val="009054B6"/>
    <w:rPr>
      <w:color w:val="808080"/>
    </w:rPr>
  </w:style>
  <w:style w:type="paragraph" w:customStyle="1" w:styleId="exampleevents">
    <w:name w:val="example events"/>
    <w:basedOn w:val="Normal"/>
    <w:rsid w:val="005E3F2A"/>
    <w:pPr>
      <w:jc w:val="both"/>
    </w:pPr>
    <w:rPr>
      <w:rFonts w:eastAsia="Times New Roman" w:cs="Times New Roman"/>
    </w:rPr>
  </w:style>
  <w:style w:type="paragraph" w:customStyle="1" w:styleId="Headerline">
    <w:name w:val="Header line"/>
    <w:basedOn w:val="Normal"/>
    <w:rsid w:val="001A5F92"/>
    <w:pPr>
      <w:pBdr>
        <w:bottom w:val="single" w:sz="6" w:space="6" w:color="auto"/>
      </w:pBdr>
      <w:tabs>
        <w:tab w:val="right" w:pos="9061"/>
      </w:tabs>
      <w:spacing w:line="240" w:lineRule="auto"/>
    </w:pPr>
    <w:rPr>
      <w:rFonts w:eastAsia="Batang" w:cs="Times New Roman"/>
      <w:sz w:val="17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2644">
                      <w:marLeft w:val="825"/>
                      <w:marRight w:val="0"/>
                      <w:marTop w:val="615"/>
                      <w:marBottom w:val="0"/>
                      <w:divBdr>
                        <w:top w:val="single" w:sz="6" w:space="0" w:color="CCCCCC"/>
                        <w:left w:val="single" w:sz="2" w:space="0" w:color="CCCCCC"/>
                        <w:bottom w:val="single" w:sz="6" w:space="0" w:color="CCCCCC"/>
                        <w:right w:val="single" w:sz="2" w:space="0" w:color="CCCCCC"/>
                      </w:divBdr>
                      <w:divsChild>
                        <w:div w:id="8376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2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6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7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7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8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3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0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2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5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3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2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37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8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D6ED-5809-47A3-9B64-C13F5D16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2960</Words>
  <Characters>16876</Characters>
  <Application>Microsoft Office Word</Application>
  <DocSecurity>0</DocSecurity>
  <Lines>140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Standards - ST.87</vt:lpstr>
      <vt:lpstr>Standards - ST.87</vt:lpstr>
      <vt:lpstr>ST.27 - Recommendation for the Exchange of Patent Legal Status Data</vt:lpstr>
    </vt:vector>
  </TitlesOfParts>
  <Company>WIPO</Company>
  <LinksUpToDate>false</LinksUpToDate>
  <CharactersWithSpaces>19797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- ST.87</dc:title>
  <dc:subject>Standards - ST.27</dc:subject>
  <dc:creator>WIPO</dc:creator>
  <cp:keywords>FOR OFFICIAL USE ONLY</cp:keywords>
  <cp:lastModifiedBy>Joséphine Seiler</cp:lastModifiedBy>
  <cp:revision>3</cp:revision>
  <cp:lastPrinted>2018-12-19T17:47:00Z</cp:lastPrinted>
  <dcterms:created xsi:type="dcterms:W3CDTF">2023-10-13T07:08:00Z</dcterms:created>
  <dcterms:modified xsi:type="dcterms:W3CDTF">2023-10-13T07:09:00Z</dcterms:modified>
  <cp:category/>
  <cp:contentStatus>Proposition présentée pour approbation par le Comité des normes de l’OMPI à sa onzième session le 4 décembre 2023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Rayomond.Dinshaw@ontario.ca</vt:lpwstr>
  </property>
  <property fmtid="{D5CDD505-2E9C-101B-9397-08002B2CF9AE}" pid="5" name="MSIP_Label_034a106e-6316-442c-ad35-738afd673d2b_SetDate">
    <vt:lpwstr>2018-08-29T17:53:05.8753600Z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TitusGUID">
    <vt:lpwstr>47fb8794-379e-4f34-a97e-8d074ba60a6c</vt:lpwstr>
  </property>
  <property fmtid="{D5CDD505-2E9C-101B-9397-08002B2CF9AE}" pid="10" name="Classification">
    <vt:lpwstr>For Official Use Only</vt:lpwstr>
  </property>
  <property fmtid="{D5CDD505-2E9C-101B-9397-08002B2CF9AE}" pid="11" name="VisualMarkings">
    <vt:lpwstr>Footer</vt:lpwstr>
  </property>
  <property fmtid="{D5CDD505-2E9C-101B-9397-08002B2CF9AE}" pid="12" name="Alignment">
    <vt:lpwstr>Centre</vt:lpwstr>
  </property>
  <property fmtid="{D5CDD505-2E9C-101B-9397-08002B2CF9AE}" pid="13" name="Language">
    <vt:lpwstr>English</vt:lpwstr>
  </property>
  <property fmtid="{D5CDD505-2E9C-101B-9397-08002B2CF9AE}" pid="14" name="MSIP_Label_20773ee6-353b-4fb9-a59d-0b94c8c67bea_Enabled">
    <vt:lpwstr>true</vt:lpwstr>
  </property>
  <property fmtid="{D5CDD505-2E9C-101B-9397-08002B2CF9AE}" pid="15" name="MSIP_Label_20773ee6-353b-4fb9-a59d-0b94c8c67bea_SetDate">
    <vt:lpwstr>2023-10-13T07:08:19Z</vt:lpwstr>
  </property>
  <property fmtid="{D5CDD505-2E9C-101B-9397-08002B2CF9AE}" pid="16" name="MSIP_Label_20773ee6-353b-4fb9-a59d-0b94c8c67bea_Method">
    <vt:lpwstr>Privileged</vt:lpwstr>
  </property>
  <property fmtid="{D5CDD505-2E9C-101B-9397-08002B2CF9AE}" pid="17" name="MSIP_Label_20773ee6-353b-4fb9-a59d-0b94c8c67bea_Name">
    <vt:lpwstr>No markings</vt:lpwstr>
  </property>
  <property fmtid="{D5CDD505-2E9C-101B-9397-08002B2CF9AE}" pid="18" name="MSIP_Label_20773ee6-353b-4fb9-a59d-0b94c8c67bea_SiteId">
    <vt:lpwstr>faa31b06-8ccc-48c9-867f-f7510dd11c02</vt:lpwstr>
  </property>
  <property fmtid="{D5CDD505-2E9C-101B-9397-08002B2CF9AE}" pid="19" name="MSIP_Label_20773ee6-353b-4fb9-a59d-0b94c8c67bea_ActionId">
    <vt:lpwstr>454cbb5a-2212-40a2-86d9-6ded201e2e07</vt:lpwstr>
  </property>
  <property fmtid="{D5CDD505-2E9C-101B-9397-08002B2CF9AE}" pid="20" name="MSIP_Label_20773ee6-353b-4fb9-a59d-0b94c8c67bea_ContentBits">
    <vt:lpwstr>0</vt:lpwstr>
  </property>
</Properties>
</file>