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EAE2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15BF88B" wp14:editId="605AB5C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2FC5F80" wp14:editId="76E85A8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251A3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9D8BCA4" w14:textId="23FA7AFE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10CCA">
        <w:rPr>
          <w:rFonts w:ascii="Arial Black" w:hAnsi="Arial Black"/>
          <w:caps/>
          <w:sz w:val="15"/>
          <w:szCs w:val="15"/>
        </w:rPr>
        <w:t>11</w:t>
      </w:r>
    </w:p>
    <w:p w14:paraId="2AC99F92" w14:textId="3A05B84C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A215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010CCA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3FB5C2A" w14:textId="2392CC66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A215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10CCA">
        <w:rPr>
          <w:rFonts w:ascii="Arial Black" w:hAnsi="Arial Black"/>
          <w:caps/>
          <w:sz w:val="15"/>
          <w:szCs w:val="15"/>
        </w:rPr>
        <w:t>29</w:t>
      </w:r>
      <w:r w:rsidR="00E22C9B">
        <w:rPr>
          <w:rFonts w:ascii="Arial Black" w:hAnsi="Arial Black"/>
          <w:caps/>
          <w:sz w:val="15"/>
          <w:szCs w:val="15"/>
        </w:rPr>
        <w:t> </w:t>
      </w:r>
      <w:r w:rsidR="001A2152">
        <w:rPr>
          <w:rFonts w:ascii="Arial Black" w:hAnsi="Arial Black"/>
          <w:caps/>
          <w:sz w:val="15"/>
          <w:szCs w:val="15"/>
        </w:rPr>
        <w:t>juillet 20</w:t>
      </w:r>
      <w:r w:rsidR="00010CCA">
        <w:rPr>
          <w:rFonts w:ascii="Arial Black" w:hAnsi="Arial Black"/>
          <w:caps/>
          <w:sz w:val="15"/>
          <w:szCs w:val="15"/>
        </w:rPr>
        <w:t>24</w:t>
      </w:r>
    </w:p>
    <w:bookmarkEnd w:id="2"/>
    <w:p w14:paraId="2D0B6C9C" w14:textId="5D6AF2A0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1A2152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2A525CBD" w14:textId="3209BCD4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1A2152">
        <w:rPr>
          <w:b/>
          <w:sz w:val="24"/>
        </w:rPr>
        <w:t>ième session</w:t>
      </w:r>
    </w:p>
    <w:p w14:paraId="34BC7DC0" w14:textId="5E9DD949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010CCA">
        <w:rPr>
          <w:b/>
          <w:sz w:val="24"/>
        </w:rPr>
        <w:t>19</w:t>
      </w:r>
      <w:r w:rsidR="00E22C9B">
        <w:rPr>
          <w:b/>
          <w:sz w:val="24"/>
        </w:rPr>
        <w:t> </w:t>
      </w:r>
      <w:r w:rsidR="001A2152">
        <w:rPr>
          <w:b/>
          <w:sz w:val="24"/>
        </w:rPr>
        <w:t>septembre </w:t>
      </w:r>
      <w:r w:rsidR="001A2152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3E310657" w14:textId="742107C3" w:rsidR="008B2CC1" w:rsidRPr="00842A13" w:rsidRDefault="00010CCA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1A2152">
        <w:rPr>
          <w:caps/>
          <w:sz w:val="24"/>
        </w:rPr>
        <w:t>’</w:t>
      </w:r>
      <w:r>
        <w:rPr>
          <w:caps/>
          <w:sz w:val="24"/>
        </w:rPr>
        <w:t>Équipe d</w:t>
      </w:r>
      <w:r w:rsidR="001A2152">
        <w:rPr>
          <w:caps/>
          <w:sz w:val="24"/>
        </w:rPr>
        <w:t>’</w:t>
      </w:r>
      <w:r>
        <w:rPr>
          <w:caps/>
          <w:sz w:val="24"/>
        </w:rPr>
        <w:t>experts chargée de la chaîne de blocs sur la tâche n°</w:t>
      </w:r>
      <w:r w:rsidR="00E22C9B">
        <w:rPr>
          <w:caps/>
          <w:sz w:val="24"/>
        </w:rPr>
        <w:t> </w:t>
      </w:r>
      <w:r>
        <w:rPr>
          <w:caps/>
          <w:sz w:val="24"/>
        </w:rPr>
        <w:t>59</w:t>
      </w:r>
    </w:p>
    <w:p w14:paraId="79CD1E67" w14:textId="49B011B5" w:rsidR="00525B63" w:rsidRPr="00C153FD" w:rsidRDefault="00010CCA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1A2152">
        <w:rPr>
          <w:i/>
        </w:rPr>
        <w:t>’</w:t>
      </w:r>
      <w:r>
        <w:rPr>
          <w:i/>
        </w:rPr>
        <w:t>Équipe d</w:t>
      </w:r>
      <w:r w:rsidR="001A2152">
        <w:rPr>
          <w:i/>
        </w:rPr>
        <w:t>’</w:t>
      </w:r>
      <w:r>
        <w:rPr>
          <w:i/>
        </w:rPr>
        <w:t>experts chargée de la chaîne de blocs</w:t>
      </w:r>
    </w:p>
    <w:bookmarkEnd w:id="4"/>
    <w:p w14:paraId="68F376D9" w14:textId="3CCE78CB" w:rsidR="00010CCA" w:rsidRPr="00091961" w:rsidRDefault="00010CCA" w:rsidP="00091961">
      <w:pPr>
        <w:pStyle w:val="Heading2"/>
      </w:pPr>
      <w:r w:rsidRPr="00091961">
        <w:t>R</w:t>
      </w:r>
      <w:r w:rsidR="00091961" w:rsidRPr="00091961">
        <w:t>ésumé</w:t>
      </w:r>
    </w:p>
    <w:p w14:paraId="63DB5343" w14:textId="5402AC03" w:rsidR="001A2152" w:rsidRDefault="00010CCA" w:rsidP="00091961">
      <w:pPr>
        <w:pStyle w:val="ONUMFS"/>
      </w:pPr>
      <w:r>
        <w:t>L</w:t>
      </w:r>
      <w:r w:rsidR="001A2152">
        <w:t>’</w:t>
      </w:r>
      <w:r>
        <w:t>Équipe d</w:t>
      </w:r>
      <w:r w:rsidR="001A2152">
        <w:t>’</w:t>
      </w:r>
      <w:r>
        <w:t>experts chargée de la chaîne de blocs est chargée de la tâche n°</w:t>
      </w:r>
      <w:r w:rsidR="00E22C9B">
        <w:t> </w:t>
      </w:r>
      <w:r>
        <w:t>59, qui porte en partie sur l</w:t>
      </w:r>
      <w:r w:rsidR="001A2152">
        <w:t>’</w:t>
      </w:r>
      <w:r>
        <w:t>élaboration d</w:t>
      </w:r>
      <w:r w:rsidR="001A2152">
        <w:t>’</w:t>
      </w:r>
      <w:r>
        <w:t>une nouvelle norme de l</w:t>
      </w:r>
      <w:r w:rsidR="001A2152">
        <w:t>’</w:t>
      </w:r>
      <w:r>
        <w:t>OMPI relative à la chaîne de blocs.  L</w:t>
      </w:r>
      <w:r w:rsidR="001A2152">
        <w:t>’</w:t>
      </w:r>
      <w:r>
        <w:t>équipe d</w:t>
      </w:r>
      <w:r w:rsidR="001A2152">
        <w:t>’</w:t>
      </w:r>
      <w:r>
        <w:t>experts rend compte de l</w:t>
      </w:r>
      <w:r w:rsidR="001A2152">
        <w:t>’</w:t>
      </w:r>
      <w:r>
        <w:t>état d</w:t>
      </w:r>
      <w:r w:rsidR="001A2152">
        <w:t>’</w:t>
      </w:r>
      <w:r>
        <w:t>avancement de ses activités, notamment de ses travaux visant à améliorer encore le projet de norme depuis la dernière session du Comité des normes de l</w:t>
      </w:r>
      <w:r w:rsidR="001A2152">
        <w:t>’</w:t>
      </w:r>
      <w:r>
        <w:t xml:space="preserve">OMPI (CWS). </w:t>
      </w:r>
      <w:r w:rsidR="00A12F13">
        <w:t xml:space="preserve"> </w:t>
      </w:r>
    </w:p>
    <w:p w14:paraId="1E9340D6" w14:textId="7DACA8F9" w:rsidR="00010CCA" w:rsidRPr="00091961" w:rsidRDefault="00010CCA" w:rsidP="00091961">
      <w:pPr>
        <w:pStyle w:val="Heading2"/>
      </w:pPr>
      <w:r w:rsidRPr="00091961">
        <w:t>R</w:t>
      </w:r>
      <w:r w:rsidR="00091961" w:rsidRPr="00091961">
        <w:t>appel</w:t>
      </w:r>
    </w:p>
    <w:p w14:paraId="122B06F2" w14:textId="22CABF46" w:rsidR="00010CCA" w:rsidRPr="005E3E6D" w:rsidRDefault="00010CCA" w:rsidP="00091961">
      <w:pPr>
        <w:pStyle w:val="ONUMFS"/>
        <w:rPr>
          <w:szCs w:val="22"/>
        </w:rPr>
      </w:pPr>
      <w:r>
        <w:t>À la huit</w:t>
      </w:r>
      <w:r w:rsidR="001A2152">
        <w:t>ième session du CWS</w:t>
      </w:r>
      <w:r>
        <w:t xml:space="preserve">, tenue en </w:t>
      </w:r>
      <w:r w:rsidR="001A2152">
        <w:t>novembre 20</w:t>
      </w:r>
      <w:r>
        <w:t>20, l</w:t>
      </w:r>
      <w:r w:rsidR="001A2152">
        <w:t>’</w:t>
      </w:r>
      <w:r>
        <w:t>équipe d</w:t>
      </w:r>
      <w:r w:rsidR="001A2152">
        <w:t>’</w:t>
      </w:r>
      <w:r>
        <w:t>experts a présenté un rapport sur l</w:t>
      </w:r>
      <w:r w:rsidR="001A2152">
        <w:t>’</w:t>
      </w:r>
      <w:r>
        <w:t>état d</w:t>
      </w:r>
      <w:r w:rsidR="001A2152">
        <w:t>’</w:t>
      </w:r>
      <w:r>
        <w:t xml:space="preserve">avancement de ses activités (voir le </w:t>
      </w:r>
      <w:r w:rsidR="001A2152">
        <w:t>document CW</w:t>
      </w:r>
      <w:r>
        <w:t>S/8/15).  À cette session,</w:t>
      </w:r>
      <w:r w:rsidR="001A2152">
        <w:t xml:space="preserve"> le CWS</w:t>
      </w:r>
      <w:r>
        <w:t xml:space="preserve"> a également encouragé les offices de propriété intellectuelle à participer aux discussions de l</w:t>
      </w:r>
      <w:r w:rsidR="001A2152">
        <w:t>’</w:t>
      </w:r>
      <w:r>
        <w:t>Équipe d</w:t>
      </w:r>
      <w:r w:rsidR="001A2152">
        <w:t>’</w:t>
      </w:r>
      <w:r>
        <w:t>experts chargée de la chaîne de blocs et a souligné les avantages importants que présentait le travail en collaboration avec le secteur privé, les universités et les organisations non gouvernementales (voir les paragraphes</w:t>
      </w:r>
      <w:r w:rsidR="00E22C9B">
        <w:t> </w:t>
      </w:r>
      <w:r>
        <w:t xml:space="preserve">96 à 99 du </w:t>
      </w:r>
      <w:r w:rsidR="001A2152">
        <w:t>document CW</w:t>
      </w:r>
      <w:r>
        <w:t>S/8/24).</w:t>
      </w:r>
    </w:p>
    <w:p w14:paraId="1CCE0650" w14:textId="760AB930" w:rsidR="001A2152" w:rsidRDefault="00010CCA" w:rsidP="00091961">
      <w:pPr>
        <w:pStyle w:val="ONUMFS"/>
      </w:pPr>
      <w:r>
        <w:t>L</w:t>
      </w:r>
      <w:r w:rsidR="001A2152">
        <w:t>’</w:t>
      </w:r>
      <w:r>
        <w:t>équipe d</w:t>
      </w:r>
      <w:r w:rsidR="001A2152">
        <w:t>’</w:t>
      </w:r>
      <w:r>
        <w:t>experts a poursuivi ses travaux au titre de la tâche n°</w:t>
      </w:r>
      <w:r w:rsidR="00E22C9B">
        <w:t> </w:t>
      </w:r>
      <w:r>
        <w:t>59, qui a été modifiée pour la dernière fois à la sept</w:t>
      </w:r>
      <w:r w:rsidR="001A2152">
        <w:t>ième session du CWS</w:t>
      </w:r>
      <w:r>
        <w:t>, et dont la description est libellée comme suit</w:t>
      </w:r>
      <w:r w:rsidR="001A2152">
        <w:t> :</w:t>
      </w:r>
    </w:p>
    <w:p w14:paraId="41918154" w14:textId="41E0CE93" w:rsidR="00010CCA" w:rsidRPr="00A62EA4" w:rsidRDefault="00E22C9B" w:rsidP="00091961">
      <w:pPr>
        <w:pStyle w:val="ListParagraph"/>
        <w:spacing w:after="220"/>
        <w:rPr>
          <w:i/>
          <w:iCs/>
          <w:strike/>
          <w:szCs w:val="22"/>
        </w:rPr>
      </w:pPr>
      <w:r>
        <w:t>“</w:t>
      </w:r>
      <w:r w:rsidR="00010CCA">
        <w:rPr>
          <w:i/>
          <w:iCs/>
        </w:rPr>
        <w:t>Étudier la possibilité d</w:t>
      </w:r>
      <w:r w:rsidR="001A2152">
        <w:rPr>
          <w:i/>
          <w:iCs/>
        </w:rPr>
        <w:t>’</w:t>
      </w:r>
      <w:r w:rsidR="00010CCA">
        <w:rPr>
          <w:i/>
          <w:iCs/>
        </w:rPr>
        <w:t>utiliser la technologie de la chaîne de blocs dans les procédures d</w:t>
      </w:r>
      <w:r w:rsidR="001A2152">
        <w:rPr>
          <w:i/>
          <w:iCs/>
        </w:rPr>
        <w:t>’</w:t>
      </w:r>
      <w:r w:rsidR="00010CCA">
        <w:rPr>
          <w:i/>
          <w:iCs/>
        </w:rPr>
        <w:t>octroi de la protection des droits de propriété intellectuelle et de traitement des informations concernant les objets de propriété intellectuelle et leur utilisation;</w:t>
      </w:r>
    </w:p>
    <w:p w14:paraId="061B4A5D" w14:textId="43822B35" w:rsidR="00010CCA" w:rsidRPr="00A62EA4" w:rsidRDefault="00010CCA" w:rsidP="00091961">
      <w:pPr>
        <w:spacing w:after="220"/>
        <w:ind w:left="567"/>
        <w:rPr>
          <w:i/>
          <w:iCs/>
          <w:strike/>
          <w:szCs w:val="22"/>
        </w:rPr>
      </w:pPr>
      <w:r>
        <w:rPr>
          <w:i/>
        </w:rPr>
        <w:lastRenderedPageBreak/>
        <w:t>recueillir des informations sur les progrès accomplis par les offices de propriété intellectuelle dans l</w:t>
      </w:r>
      <w:r w:rsidR="001A2152">
        <w:rPr>
          <w:i/>
        </w:rPr>
        <w:t>’</w:t>
      </w:r>
      <w:r>
        <w:rPr>
          <w:i/>
        </w:rPr>
        <w:t>utilisation de la chaîne de blocs et l</w:t>
      </w:r>
      <w:r w:rsidR="001A2152">
        <w:rPr>
          <w:i/>
        </w:rPr>
        <w:t>’</w:t>
      </w:r>
      <w:r>
        <w:rPr>
          <w:i/>
        </w:rPr>
        <w:t>expérience acquise en la matière, évaluer les normes applicables à la chaîne de blocs en vigueur dans le secteur privé et examiner le bien</w:t>
      </w:r>
      <w:r w:rsidR="00436359">
        <w:rPr>
          <w:i/>
        </w:rPr>
        <w:noBreakHyphen/>
      </w:r>
      <w:r>
        <w:rPr>
          <w:i/>
        </w:rPr>
        <w:t>fondé et l</w:t>
      </w:r>
      <w:r w:rsidR="001A2152">
        <w:rPr>
          <w:i/>
        </w:rPr>
        <w:t>’</w:t>
      </w:r>
      <w:r>
        <w:rPr>
          <w:i/>
        </w:rPr>
        <w:t>applicabilité aux offices de propriété intellectuelle;</w:t>
      </w:r>
    </w:p>
    <w:p w14:paraId="4EC92D0C" w14:textId="57ED76C7" w:rsidR="001A2152" w:rsidRDefault="00010CCA" w:rsidP="00091961">
      <w:pPr>
        <w:spacing w:after="220"/>
        <w:ind w:left="567"/>
        <w:rPr>
          <w:i/>
        </w:rPr>
      </w:pPr>
      <w:r>
        <w:rPr>
          <w:i/>
        </w:rPr>
        <w:t>élaborer des modèles de référence concernant l</w:t>
      </w:r>
      <w:r w:rsidR="001A2152">
        <w:rPr>
          <w:i/>
        </w:rPr>
        <w:t>’</w:t>
      </w:r>
      <w:r>
        <w:rPr>
          <w:i/>
        </w:rPr>
        <w:t xml:space="preserve">utilisation de la chaîne de blocs dans le domaine de la propriété intellectuelle, </w:t>
      </w:r>
      <w:r w:rsidR="001A2152">
        <w:rPr>
          <w:i/>
        </w:rPr>
        <w:t>y compris</w:t>
      </w:r>
      <w:r>
        <w:rPr>
          <w:i/>
        </w:rPr>
        <w:t xml:space="preserve"> des principes directeurs, des pratiques communes et l</w:t>
      </w:r>
      <w:r w:rsidR="001A2152">
        <w:rPr>
          <w:i/>
        </w:rPr>
        <w:t>’</w:t>
      </w:r>
      <w:r>
        <w:rPr>
          <w:i/>
        </w:rPr>
        <w:t>utilisation de la terminologie à l</w:t>
      </w:r>
      <w:r w:rsidR="001A2152">
        <w:rPr>
          <w:i/>
        </w:rPr>
        <w:t>’</w:t>
      </w:r>
      <w:r>
        <w:rPr>
          <w:i/>
        </w:rPr>
        <w:t xml:space="preserve">appui de la collaboration, des projets conjoints et de la validation; </w:t>
      </w:r>
      <w:r w:rsidR="00A12F13">
        <w:rPr>
          <w:i/>
        </w:rPr>
        <w:t xml:space="preserve"> </w:t>
      </w:r>
      <w:r>
        <w:rPr>
          <w:i/>
        </w:rPr>
        <w:t>et</w:t>
      </w:r>
    </w:p>
    <w:p w14:paraId="0C44ECB3" w14:textId="24544E27" w:rsidR="00010CCA" w:rsidRPr="00D966A6" w:rsidRDefault="00010CCA" w:rsidP="00091961">
      <w:pPr>
        <w:spacing w:after="220"/>
        <w:ind w:left="567"/>
        <w:rPr>
          <w:strike/>
          <w:szCs w:val="22"/>
        </w:rPr>
      </w:pPr>
      <w:r>
        <w:rPr>
          <w:i/>
          <w:iCs/>
        </w:rPr>
        <w:t>établir une proposition de norme de l</w:t>
      </w:r>
      <w:r w:rsidR="001A2152">
        <w:rPr>
          <w:i/>
          <w:iCs/>
        </w:rPr>
        <w:t>’</w:t>
      </w:r>
      <w:r>
        <w:rPr>
          <w:i/>
          <w:iCs/>
        </w:rPr>
        <w:t>OMPI visant à appuyer l</w:t>
      </w:r>
      <w:r w:rsidR="001A2152">
        <w:rPr>
          <w:i/>
          <w:iCs/>
        </w:rPr>
        <w:t>’</w:t>
      </w:r>
      <w:r>
        <w:rPr>
          <w:i/>
          <w:iCs/>
        </w:rPr>
        <w:t>application potentielle de la chaîne de blocs dans l</w:t>
      </w:r>
      <w:r w:rsidR="001A2152">
        <w:rPr>
          <w:i/>
          <w:iCs/>
        </w:rPr>
        <w:t>’</w:t>
      </w:r>
      <w:r>
        <w:rPr>
          <w:i/>
          <w:iCs/>
        </w:rPr>
        <w:t>écosystème de la propriété intellectuelle.</w:t>
      </w:r>
      <w:r w:rsidR="00E22C9B">
        <w:t>”</w:t>
      </w:r>
    </w:p>
    <w:p w14:paraId="4B394E44" w14:textId="5C12A442" w:rsidR="00010CCA" w:rsidRPr="008D2FE8" w:rsidRDefault="00010CCA" w:rsidP="00091961">
      <w:pPr>
        <w:spacing w:after="220"/>
        <w:ind w:left="567"/>
        <w:rPr>
          <w:szCs w:val="22"/>
        </w:rPr>
      </w:pPr>
      <w:r>
        <w:t xml:space="preserve">(Voir le paragraphe 67 du </w:t>
      </w:r>
      <w:r w:rsidR="001A2152">
        <w:t>document CW</w:t>
      </w:r>
      <w:r>
        <w:t>S/7/29</w:t>
      </w:r>
      <w:r w:rsidR="001A2152">
        <w:t>.</w:t>
      </w:r>
      <w:r>
        <w:t>)</w:t>
      </w:r>
    </w:p>
    <w:p w14:paraId="707C6C3A" w14:textId="653210C3" w:rsidR="00010CCA" w:rsidRPr="00091961" w:rsidRDefault="00010CCA" w:rsidP="00091961">
      <w:pPr>
        <w:pStyle w:val="Heading2"/>
      </w:pPr>
      <w:r w:rsidRPr="00091961">
        <w:t>R</w:t>
      </w:r>
      <w:r w:rsidR="00091961" w:rsidRPr="00091961">
        <w:t>apport sur l</w:t>
      </w:r>
      <w:r w:rsidR="001A2152">
        <w:t>’</w:t>
      </w:r>
      <w:r w:rsidR="00091961" w:rsidRPr="00091961">
        <w:t>état d</w:t>
      </w:r>
      <w:r w:rsidR="001A2152">
        <w:t>’</w:t>
      </w:r>
      <w:r w:rsidR="00091961" w:rsidRPr="00091961">
        <w:t>avancement de la tâche n° 59</w:t>
      </w:r>
    </w:p>
    <w:p w14:paraId="7050F1FE" w14:textId="77777777" w:rsidR="00010CCA" w:rsidRDefault="00010CCA" w:rsidP="00010CCA">
      <w:pPr>
        <w:pStyle w:val="Heading3"/>
        <w:ind w:left="-142" w:firstLine="142"/>
      </w:pPr>
      <w:r>
        <w:t>Objectif</w:t>
      </w:r>
    </w:p>
    <w:p w14:paraId="113DD8F2" w14:textId="4BF29EBD" w:rsidR="001A2152" w:rsidRDefault="00010CCA" w:rsidP="00091961">
      <w:pPr>
        <w:pStyle w:val="ONUMFS"/>
      </w:pPr>
      <w:r>
        <w:t>L</w:t>
      </w:r>
      <w:r w:rsidR="001A2152">
        <w:t>’</w:t>
      </w:r>
      <w:r>
        <w:t>objectif principal de la tâche est de recueillir et d</w:t>
      </w:r>
      <w:r w:rsidR="001A2152">
        <w:t>’</w:t>
      </w:r>
      <w:r>
        <w:t>analyser des informations relatives à la chaîne de blocs et à son application à l</w:t>
      </w:r>
      <w:r w:rsidR="001A2152">
        <w:t>’</w:t>
      </w:r>
      <w:r>
        <w:t>écosystème de la propriété intellectuelle, ainsi que d</w:t>
      </w:r>
      <w:r w:rsidR="001A2152">
        <w:t>’</w:t>
      </w:r>
      <w:r>
        <w:t>élaborer un ensemble de projets de recommandations sur la chaîne de blocs dans l</w:t>
      </w:r>
      <w:r w:rsidR="001A2152">
        <w:t>’</w:t>
      </w:r>
      <w:r>
        <w:t xml:space="preserve">écosystème de la propriété intellectuelle. </w:t>
      </w:r>
      <w:r w:rsidR="00A12F13">
        <w:t xml:space="preserve"> </w:t>
      </w:r>
    </w:p>
    <w:p w14:paraId="4629FE78" w14:textId="16D1FF5A" w:rsidR="00010CCA" w:rsidRPr="00E5219B" w:rsidRDefault="00010CCA" w:rsidP="00010CCA">
      <w:pPr>
        <w:pStyle w:val="Heading3"/>
      </w:pPr>
      <w:r>
        <w:t>Évaluation des progrès accomplis</w:t>
      </w:r>
    </w:p>
    <w:p w14:paraId="54141942" w14:textId="058DC7F5" w:rsidR="00010CCA" w:rsidRDefault="001A2152" w:rsidP="00091961">
      <w:pPr>
        <w:pStyle w:val="ONUMFS"/>
        <w:rPr>
          <w:szCs w:val="22"/>
        </w:rPr>
      </w:pPr>
      <w:r>
        <w:t>En 2024</w:t>
      </w:r>
      <w:r w:rsidR="00010CCA">
        <w:t>, le responsable de l</w:t>
      </w:r>
      <w:r>
        <w:t>’</w:t>
      </w:r>
      <w:r w:rsidR="00010CCA">
        <w:t>équipe d</w:t>
      </w:r>
      <w:r>
        <w:t>’</w:t>
      </w:r>
      <w:r w:rsidR="00010CCA">
        <w:t>experts a continué d</w:t>
      </w:r>
      <w:r>
        <w:t>’</w:t>
      </w:r>
      <w:r w:rsidR="00010CCA">
        <w:t>améliorer le projet de nouvelle norme de l</w:t>
      </w:r>
      <w:r>
        <w:t>’</w:t>
      </w:r>
      <w:r w:rsidR="00010CCA">
        <w:t xml:space="preserve">OMPI en se fondant sur les recherches approfondies menées </w:t>
      </w:r>
      <w:r>
        <w:t>en 2019</w:t>
      </w:r>
      <w:r w:rsidR="00010CCA">
        <w:t>, 2020 et 2021.  Plusieurs modifications d</w:t>
      </w:r>
      <w:r>
        <w:t>’</w:t>
      </w:r>
      <w:r w:rsidR="00010CCA">
        <w:t>ordre rédactionnel ont été introduites à la suite de discussions avec le Bureau international.</w:t>
      </w:r>
    </w:p>
    <w:p w14:paraId="2219E6C0" w14:textId="71A28EFE" w:rsidR="00010CCA" w:rsidRPr="003528C4" w:rsidRDefault="00010CCA" w:rsidP="00091961">
      <w:pPr>
        <w:pStyle w:val="ONUMFS"/>
        <w:rPr>
          <w:szCs w:val="22"/>
        </w:rPr>
      </w:pPr>
      <w:r>
        <w:t xml:space="preserve">En </w:t>
      </w:r>
      <w:r w:rsidR="001A2152">
        <w:t>mai 20</w:t>
      </w:r>
      <w:r>
        <w:t>24, l</w:t>
      </w:r>
      <w:r w:rsidR="001A2152">
        <w:t>’</w:t>
      </w:r>
      <w:r>
        <w:t>équipe d</w:t>
      </w:r>
      <w:r w:rsidR="001A2152">
        <w:t>’</w:t>
      </w:r>
      <w:r>
        <w:t>experts a tenu une réunion virtuelle au cours de laquelle le responsable de l</w:t>
      </w:r>
      <w:r w:rsidR="001A2152">
        <w:t>’</w:t>
      </w:r>
      <w:r>
        <w:t>équipe d</w:t>
      </w:r>
      <w:r w:rsidR="001A2152">
        <w:t>’</w:t>
      </w:r>
      <w:r>
        <w:t>experts a présenté plusieurs possibilités concernant la manière de poursuivre l</w:t>
      </w:r>
      <w:r w:rsidR="001A2152">
        <w:t>’</w:t>
      </w:r>
      <w:r>
        <w:t>élaboration de la nouvelle norme, pour examen par les membres</w:t>
      </w:r>
      <w:r w:rsidR="001A2152">
        <w:t> :</w:t>
      </w:r>
    </w:p>
    <w:p w14:paraId="56B60B32" w14:textId="7B66B1A2" w:rsidR="00010CCA" w:rsidRPr="003528C4" w:rsidRDefault="00010CCA" w:rsidP="00091961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>
        <w:t>poursuivre l</w:t>
      </w:r>
      <w:r w:rsidR="001A2152">
        <w:t>’</w:t>
      </w:r>
      <w:r>
        <w:t>élaboration de la nouvelle norme de l</w:t>
      </w:r>
      <w:r w:rsidR="001A2152">
        <w:t>’</w:t>
      </w:r>
      <w:r>
        <w:t>OMPI;</w:t>
      </w:r>
    </w:p>
    <w:p w14:paraId="20D866E4" w14:textId="35C08876" w:rsidR="00010CCA" w:rsidRPr="003528C4" w:rsidRDefault="00010CCA" w:rsidP="00091961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>
        <w:t>suspendre les activités relatives à l</w:t>
      </w:r>
      <w:r w:rsidR="001A2152">
        <w:t>’</w:t>
      </w:r>
      <w:r>
        <w:t>élaboration de la norme jusqu</w:t>
      </w:r>
      <w:r w:rsidR="001A2152">
        <w:t>’</w:t>
      </w:r>
      <w:r>
        <w:t>à ce que la demande soit plus importante, et utiliser plutôt l</w:t>
      </w:r>
      <w:r w:rsidR="001A2152">
        <w:t>’</w:t>
      </w:r>
      <w:r>
        <w:t>équipe d</w:t>
      </w:r>
      <w:r w:rsidR="001A2152">
        <w:t>’</w:t>
      </w:r>
      <w:r>
        <w:t>experts comme un cadre d</w:t>
      </w:r>
      <w:r w:rsidR="001A2152">
        <w:t>’</w:t>
      </w:r>
      <w:r>
        <w:t xml:space="preserve">échange de points de vue et de bonnes pratiques concernant la chaîne de blocs; </w:t>
      </w:r>
      <w:r w:rsidR="00A12F13">
        <w:t xml:space="preserve"> </w:t>
      </w:r>
      <w:r>
        <w:t>ou</w:t>
      </w:r>
    </w:p>
    <w:p w14:paraId="1948B001" w14:textId="2551D008" w:rsidR="001A2152" w:rsidRDefault="00010CCA" w:rsidP="00091961">
      <w:pPr>
        <w:pStyle w:val="ListParagraph"/>
        <w:numPr>
          <w:ilvl w:val="0"/>
          <w:numId w:val="9"/>
        </w:numPr>
        <w:spacing w:after="220"/>
        <w:ind w:left="1134" w:hanging="567"/>
      </w:pPr>
      <w:r>
        <w:t>mettre en suspens la tâche n°</w:t>
      </w:r>
      <w:r w:rsidR="00E22C9B">
        <w:t> </w:t>
      </w:r>
      <w:r>
        <w:t>59 jusqu</w:t>
      </w:r>
      <w:r w:rsidR="001A2152">
        <w:t>’</w:t>
      </w:r>
      <w:r>
        <w:t>à ce que les membres de l</w:t>
      </w:r>
      <w:r w:rsidR="001A2152">
        <w:t>’</w:t>
      </w:r>
      <w:r>
        <w:t>équipe d</w:t>
      </w:r>
      <w:r w:rsidR="001A2152">
        <w:t>’</w:t>
      </w:r>
      <w:r>
        <w:t>experts acquièrent davantage d</w:t>
      </w:r>
      <w:r w:rsidR="001A2152">
        <w:t>’</w:t>
      </w:r>
      <w:r>
        <w:t>expérience dans le domaine de la chaîne de blocs, notamment en participant à des initiatives telles que le projet d</w:t>
      </w:r>
      <w:r w:rsidR="001A2152">
        <w:t>’</w:t>
      </w:r>
      <w:r>
        <w:t>identifiant mondial.</w:t>
      </w:r>
    </w:p>
    <w:p w14:paraId="7B65219A" w14:textId="557DA529" w:rsidR="00010CCA" w:rsidRDefault="00010CCA" w:rsidP="00091961">
      <w:pPr>
        <w:pStyle w:val="ONUMFS"/>
        <w:rPr>
          <w:szCs w:val="22"/>
        </w:rPr>
      </w:pPr>
      <w:r>
        <w:t>La plupart des membres de l</w:t>
      </w:r>
      <w:r w:rsidR="001A2152">
        <w:t>’</w:t>
      </w:r>
      <w:r>
        <w:t>équipe d</w:t>
      </w:r>
      <w:r w:rsidR="001A2152">
        <w:t>’</w:t>
      </w:r>
      <w:r>
        <w:t>experts présents à la réunion ont indiqué qu</w:t>
      </w:r>
      <w:r w:rsidR="001A2152">
        <w:t>’</w:t>
      </w:r>
      <w:r>
        <w:t>ils préféraient poursuivre l</w:t>
      </w:r>
      <w:r w:rsidR="001A2152">
        <w:t>’</w:t>
      </w:r>
      <w:r>
        <w:t>élaboration de la nouvelle norme.  Le principal problème évoqué au cours des délibérations, et qui requiert une contribution collective de l</w:t>
      </w:r>
      <w:r w:rsidR="001A2152">
        <w:t>’</w:t>
      </w:r>
      <w:r>
        <w:t>équipe d</w:t>
      </w:r>
      <w:r w:rsidR="001A2152">
        <w:t>’</w:t>
      </w:r>
      <w:r>
        <w:t>experts, tient à la nécessité d</w:t>
      </w:r>
      <w:r w:rsidR="001A2152">
        <w:t>’</w:t>
      </w:r>
      <w:r>
        <w:t>actualiser le projet de norme en fonction de l</w:t>
      </w:r>
      <w:r w:rsidR="001A2152">
        <w:t>’</w:t>
      </w:r>
      <w:r>
        <w:t xml:space="preserve">état de la chaîne de blocs, </w:t>
      </w:r>
      <w:r w:rsidR="001A2152">
        <w:t>y compris</w:t>
      </w:r>
      <w:r>
        <w:t xml:space="preserve"> les cas d</w:t>
      </w:r>
      <w:r w:rsidR="001A2152">
        <w:t>’</w:t>
      </w:r>
      <w:r>
        <w:t>utilisation pratiques.  Les délibérations de l</w:t>
      </w:r>
      <w:r w:rsidR="001A2152">
        <w:t>’</w:t>
      </w:r>
      <w:r>
        <w:t>équipe d</w:t>
      </w:r>
      <w:r w:rsidR="001A2152">
        <w:t>’</w:t>
      </w:r>
      <w:r>
        <w:t xml:space="preserve">experts </w:t>
      </w:r>
      <w:r w:rsidR="001A2152">
        <w:t>en 2025</w:t>
      </w:r>
      <w:r>
        <w:t xml:space="preserve"> seront principalement axées sur la manière de surmonter ce problème.</w:t>
      </w:r>
    </w:p>
    <w:p w14:paraId="71C717BD" w14:textId="77777777" w:rsidR="00010CCA" w:rsidRDefault="00010CCA" w:rsidP="00010CCA">
      <w:pPr>
        <w:pStyle w:val="Heading3"/>
      </w:pPr>
      <w:r>
        <w:t>Difficultés rencontrées</w:t>
      </w:r>
    </w:p>
    <w:p w14:paraId="0C6D4E6B" w14:textId="10F57033" w:rsidR="00010CCA" w:rsidRPr="00091961" w:rsidRDefault="00010CCA" w:rsidP="00091961">
      <w:pPr>
        <w:pStyle w:val="ONUMFS"/>
        <w:rPr>
          <w:szCs w:val="22"/>
        </w:rPr>
      </w:pPr>
      <w:r>
        <w:t>L</w:t>
      </w:r>
      <w:r w:rsidR="001A2152">
        <w:t>’</w:t>
      </w:r>
      <w:r>
        <w:t>équipe d</w:t>
      </w:r>
      <w:r w:rsidR="001A2152">
        <w:t>’</w:t>
      </w:r>
      <w:r>
        <w:t xml:space="preserve">experts a fait face à un problème majeur, </w:t>
      </w:r>
      <w:r w:rsidR="001A2152">
        <w:t>à savoir</w:t>
      </w:r>
      <w:r>
        <w:t xml:space="preserve"> une implication insuffis</w:t>
      </w:r>
      <w:r w:rsidR="00091961">
        <w:t>ante</w:t>
      </w:r>
      <w:r>
        <w:t xml:space="preserve"> des </w:t>
      </w:r>
      <w:r w:rsidR="00091961">
        <w:t>e</w:t>
      </w:r>
      <w:r>
        <w:t>xperts en raison de leur manque d</w:t>
      </w:r>
      <w:r w:rsidR="001A2152">
        <w:t>’</w:t>
      </w:r>
      <w:r>
        <w:t>expérience dans la mise en œuvre de la chaîne de blocs dans les différents domaines de la propriété intellectuelle.</w:t>
      </w:r>
    </w:p>
    <w:p w14:paraId="58660D07" w14:textId="3464AA20" w:rsidR="00010CCA" w:rsidRPr="00091961" w:rsidRDefault="00091961" w:rsidP="00091961">
      <w:pPr>
        <w:pStyle w:val="Heading2"/>
      </w:pPr>
      <w:r w:rsidRPr="00091961">
        <w:lastRenderedPageBreak/>
        <w:t>Programme de travail</w:t>
      </w:r>
    </w:p>
    <w:p w14:paraId="5E0E9B2F" w14:textId="4EF88711" w:rsidR="00010CCA" w:rsidRPr="004C46B4" w:rsidRDefault="00010CCA" w:rsidP="00010CCA">
      <w:pPr>
        <w:pStyle w:val="ONUMFS"/>
      </w:pPr>
      <w:r>
        <w:t>L</w:t>
      </w:r>
      <w:r w:rsidR="001A2152">
        <w:t>’</w:t>
      </w:r>
      <w:r>
        <w:t>équipe d</w:t>
      </w:r>
      <w:r w:rsidR="001A2152">
        <w:t>’</w:t>
      </w:r>
      <w:r>
        <w:t>experts informe</w:t>
      </w:r>
      <w:r w:rsidR="001A2152">
        <w:t xml:space="preserve"> le CWS</w:t>
      </w:r>
      <w:r>
        <w:t xml:space="preserve"> de son programme de travail </w:t>
      </w:r>
      <w:r w:rsidR="001A2152">
        <w:t>pour 2024</w:t>
      </w:r>
      <w:r>
        <w:t xml:space="preserve"> – 2025, qui se présente comme suit</w:t>
      </w:r>
      <w:r w:rsidR="001A2152">
        <w:t> 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03"/>
        <w:gridCol w:w="4291"/>
        <w:gridCol w:w="2112"/>
      </w:tblGrid>
      <w:tr w:rsidR="00010CCA" w:rsidRPr="0045545B" w14:paraId="26789EEA" w14:textId="77777777" w:rsidTr="001E321F">
        <w:tc>
          <w:tcPr>
            <w:tcW w:w="3369" w:type="dxa"/>
            <w:shd w:val="clear" w:color="auto" w:fill="F2F2F2" w:themeFill="background1" w:themeFillShade="F2"/>
          </w:tcPr>
          <w:p w14:paraId="71644B83" w14:textId="77777777" w:rsidR="00010CCA" w:rsidRPr="005063BC" w:rsidRDefault="00010CCA" w:rsidP="001E321F">
            <w:pPr>
              <w:jc w:val="center"/>
              <w:rPr>
                <w:b/>
              </w:rPr>
            </w:pPr>
            <w:r>
              <w:rPr>
                <w:b/>
              </w:rPr>
              <w:t>Objet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FB1E0F1" w14:textId="77777777" w:rsidR="00010CCA" w:rsidRPr="005063BC" w:rsidRDefault="00010CCA" w:rsidP="001E321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0F5D3C" w14:textId="77777777" w:rsidR="00010CCA" w:rsidRPr="005063BC" w:rsidRDefault="00010CCA" w:rsidP="001E321F">
            <w:pPr>
              <w:jc w:val="center"/>
              <w:rPr>
                <w:b/>
              </w:rPr>
            </w:pPr>
            <w:r>
              <w:rPr>
                <w:b/>
              </w:rPr>
              <w:t>Calendrier</w:t>
            </w:r>
          </w:p>
        </w:tc>
      </w:tr>
      <w:tr w:rsidR="00010CCA" w:rsidRPr="0045545B" w14:paraId="26E36F07" w14:textId="77777777" w:rsidTr="001E321F">
        <w:tc>
          <w:tcPr>
            <w:tcW w:w="3369" w:type="dxa"/>
          </w:tcPr>
          <w:p w14:paraId="7C7541DC" w14:textId="77777777" w:rsidR="00010CCA" w:rsidRPr="0045545B" w:rsidRDefault="00010CCA" w:rsidP="001E321F">
            <w:r>
              <w:t>CWS/12</w:t>
            </w:r>
          </w:p>
        </w:tc>
        <w:tc>
          <w:tcPr>
            <w:tcW w:w="4536" w:type="dxa"/>
          </w:tcPr>
          <w:p w14:paraId="396C805F" w14:textId="46188AA1" w:rsidR="00010CCA" w:rsidRPr="0045545B" w:rsidRDefault="00010CCA" w:rsidP="001E321F">
            <w:pPr>
              <w:spacing w:after="120"/>
            </w:pPr>
            <w:r>
              <w:t>Rapport de l</w:t>
            </w:r>
            <w:r w:rsidR="001A2152">
              <w:t>’</w:t>
            </w:r>
            <w:r>
              <w:t>équipe d</w:t>
            </w:r>
            <w:r w:rsidR="001A2152">
              <w:t>’</w:t>
            </w:r>
            <w:r>
              <w:t>experts à la douz</w:t>
            </w:r>
            <w:r w:rsidR="001A2152">
              <w:t>ième session du CWS</w:t>
            </w:r>
          </w:p>
        </w:tc>
        <w:tc>
          <w:tcPr>
            <w:tcW w:w="1701" w:type="dxa"/>
          </w:tcPr>
          <w:p w14:paraId="12858246" w14:textId="6572D60B" w:rsidR="00010CCA" w:rsidRPr="004C46B4" w:rsidRDefault="00010CCA" w:rsidP="001E321F">
            <w:r>
              <w:t>16 – 1</w:t>
            </w:r>
            <w:r w:rsidR="001A2152">
              <w:t>9 septembre 20</w:t>
            </w:r>
            <w:r>
              <w:t>24</w:t>
            </w:r>
          </w:p>
        </w:tc>
      </w:tr>
      <w:tr w:rsidR="00010CCA" w:rsidRPr="0045545B" w14:paraId="1AE80124" w14:textId="77777777" w:rsidTr="001E321F">
        <w:tc>
          <w:tcPr>
            <w:tcW w:w="3369" w:type="dxa"/>
          </w:tcPr>
          <w:p w14:paraId="2DA53109" w14:textId="77777777" w:rsidR="001A2152" w:rsidRDefault="00010CCA" w:rsidP="001E321F">
            <w:r>
              <w:t>Amélioration du projet de norme</w:t>
            </w:r>
          </w:p>
          <w:p w14:paraId="40898504" w14:textId="1494DB13" w:rsidR="00010CCA" w:rsidRPr="004C46B4" w:rsidRDefault="00010CCA" w:rsidP="001E321F"/>
        </w:tc>
        <w:tc>
          <w:tcPr>
            <w:tcW w:w="4536" w:type="dxa"/>
          </w:tcPr>
          <w:p w14:paraId="76C0CD48" w14:textId="3DD3C186" w:rsidR="00010CCA" w:rsidRPr="004C2522" w:rsidRDefault="00010CCA" w:rsidP="00010CCA">
            <w:pPr>
              <w:pStyle w:val="ListParagraph"/>
              <w:numPr>
                <w:ilvl w:val="0"/>
                <w:numId w:val="10"/>
              </w:numPr>
            </w:pPr>
            <w:r>
              <w:t>Effectuer des recherches sur l</w:t>
            </w:r>
            <w:r w:rsidR="001A2152">
              <w:t>’</w:t>
            </w:r>
            <w:r>
              <w:t>expérience acquise concernant le projet d</w:t>
            </w:r>
            <w:r w:rsidR="001A2152">
              <w:t>’</w:t>
            </w:r>
            <w:r>
              <w:t>identifiant mondial de l</w:t>
            </w:r>
            <w:r w:rsidR="001A2152">
              <w:t>’</w:t>
            </w:r>
            <w:r>
              <w:t>OMPI et les résultats y relatifs dans le cadre des travaux visant à intégrer des cas d</w:t>
            </w:r>
            <w:r w:rsidR="001A2152">
              <w:t>’</w:t>
            </w:r>
            <w:r>
              <w:t>utilisation pratiques de la chaîne de blocs dans les recommandations.</w:t>
            </w:r>
          </w:p>
          <w:p w14:paraId="5D903366" w14:textId="18F35ABA" w:rsidR="00010CCA" w:rsidRPr="004C46B4" w:rsidRDefault="00010CCA" w:rsidP="00010CCA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t>Rechercher et analyser des cas d</w:t>
            </w:r>
            <w:r w:rsidR="001A2152">
              <w:t>’</w:t>
            </w:r>
            <w:r>
              <w:t>utilisation de la chaîne de blocs auprès des membres de la communauté de la propriété intellectuelle qui l</w:t>
            </w:r>
            <w:r w:rsidR="001A2152">
              <w:t>’</w:t>
            </w:r>
            <w:r>
              <w:t>utilisent, tels que l</w:t>
            </w:r>
            <w:r w:rsidR="001A2152">
              <w:t>’</w:t>
            </w:r>
            <w:r>
              <w:t>identifiant mondial de l</w:t>
            </w:r>
            <w:r w:rsidR="001A2152">
              <w:t>’</w:t>
            </w:r>
            <w:r>
              <w:t>OMPI, et améliorer encore le projet de norme.</w:t>
            </w:r>
          </w:p>
        </w:tc>
        <w:tc>
          <w:tcPr>
            <w:tcW w:w="1701" w:type="dxa"/>
          </w:tcPr>
          <w:p w14:paraId="0010ADCB" w14:textId="5F9D7E00" w:rsidR="00010CCA" w:rsidRPr="004C46B4" w:rsidRDefault="00010CCA" w:rsidP="001E321F">
            <w:r>
              <w:t xml:space="preserve">2024 </w:t>
            </w:r>
            <w:r w:rsidR="00E22C9B">
              <w:t>–</w:t>
            </w:r>
            <w:r>
              <w:t xml:space="preserve"> 2025</w:t>
            </w:r>
          </w:p>
        </w:tc>
      </w:tr>
      <w:tr w:rsidR="00010CCA" w:rsidRPr="0045545B" w14:paraId="6308493E" w14:textId="77777777" w:rsidTr="001E321F">
        <w:tc>
          <w:tcPr>
            <w:tcW w:w="3369" w:type="dxa"/>
          </w:tcPr>
          <w:p w14:paraId="518084FD" w14:textId="15BD28AC" w:rsidR="00010CCA" w:rsidRDefault="00010CCA" w:rsidP="001E321F">
            <w:pPr>
              <w:spacing w:after="240"/>
            </w:pPr>
            <w:r>
              <w:t>Réunion de l</w:t>
            </w:r>
            <w:r w:rsidR="001A2152">
              <w:t>’</w:t>
            </w:r>
            <w:r>
              <w:t>équipe d</w:t>
            </w:r>
            <w:r w:rsidR="001A2152">
              <w:t>’</w:t>
            </w:r>
            <w:r>
              <w:t xml:space="preserve">experts </w:t>
            </w:r>
          </w:p>
        </w:tc>
        <w:tc>
          <w:tcPr>
            <w:tcW w:w="4536" w:type="dxa"/>
          </w:tcPr>
          <w:p w14:paraId="4A7ACD41" w14:textId="42F40401" w:rsidR="00010CCA" w:rsidRDefault="00010CCA" w:rsidP="001E321F">
            <w:pPr>
              <w:spacing w:after="240"/>
            </w:pPr>
            <w:r>
              <w:t>Organiser une réunion virtuelle de l</w:t>
            </w:r>
            <w:r w:rsidR="001A2152">
              <w:t>’</w:t>
            </w:r>
            <w:r>
              <w:t>équipe d</w:t>
            </w:r>
            <w:r w:rsidR="001A2152">
              <w:t>’</w:t>
            </w:r>
            <w:r>
              <w:t>experts pour examiner les résultats de la recherche</w:t>
            </w:r>
          </w:p>
        </w:tc>
        <w:tc>
          <w:tcPr>
            <w:tcW w:w="1701" w:type="dxa"/>
          </w:tcPr>
          <w:p w14:paraId="64210D4E" w14:textId="77777777" w:rsidR="00010CCA" w:rsidRDefault="00010CCA" w:rsidP="001E321F">
            <w:pPr>
              <w:spacing w:after="240"/>
            </w:pPr>
            <w:r>
              <w:t>2025</w:t>
            </w:r>
          </w:p>
        </w:tc>
      </w:tr>
      <w:tr w:rsidR="00010CCA" w:rsidRPr="0045545B" w14:paraId="1A1E6654" w14:textId="77777777" w:rsidTr="001E321F">
        <w:tc>
          <w:tcPr>
            <w:tcW w:w="3369" w:type="dxa"/>
          </w:tcPr>
          <w:p w14:paraId="4FEEBC8B" w14:textId="66754AA2" w:rsidR="00010CCA" w:rsidRPr="0045545B" w:rsidRDefault="00010CCA" w:rsidP="001E321F">
            <w:pPr>
              <w:spacing w:after="240"/>
            </w:pPr>
            <w:r>
              <w:t>Préparation en vue de la treiz</w:t>
            </w:r>
            <w:r w:rsidR="001A2152">
              <w:t>ième session du CWS</w:t>
            </w:r>
          </w:p>
        </w:tc>
        <w:tc>
          <w:tcPr>
            <w:tcW w:w="4536" w:type="dxa"/>
          </w:tcPr>
          <w:p w14:paraId="14C4055A" w14:textId="66C93481" w:rsidR="00010CCA" w:rsidRPr="0045545B" w:rsidRDefault="00010CCA" w:rsidP="001E321F">
            <w:pPr>
              <w:spacing w:after="240"/>
            </w:pPr>
            <w:r>
              <w:t>Rédaction des documents de travail pour la prochaine session</w:t>
            </w:r>
            <w:r w:rsidR="001A2152">
              <w:t xml:space="preserve"> du CWS</w:t>
            </w:r>
          </w:p>
        </w:tc>
        <w:tc>
          <w:tcPr>
            <w:tcW w:w="1701" w:type="dxa"/>
          </w:tcPr>
          <w:p w14:paraId="3F0E13E7" w14:textId="77777777" w:rsidR="00010CCA" w:rsidRPr="0045545B" w:rsidRDefault="00010CCA" w:rsidP="001E321F">
            <w:pPr>
              <w:spacing w:after="240"/>
            </w:pPr>
            <w:r>
              <w:t>2025</w:t>
            </w:r>
          </w:p>
        </w:tc>
      </w:tr>
      <w:tr w:rsidR="00010CCA" w:rsidRPr="0045545B" w14:paraId="31F4B15A" w14:textId="77777777" w:rsidTr="001E321F">
        <w:tc>
          <w:tcPr>
            <w:tcW w:w="3369" w:type="dxa"/>
          </w:tcPr>
          <w:p w14:paraId="1B485D17" w14:textId="77777777" w:rsidR="00010CCA" w:rsidRPr="0045545B" w:rsidRDefault="00010CCA" w:rsidP="001E321F">
            <w:pPr>
              <w:spacing w:after="240"/>
            </w:pPr>
            <w:r>
              <w:t>CWS/13</w:t>
            </w:r>
          </w:p>
        </w:tc>
        <w:tc>
          <w:tcPr>
            <w:tcW w:w="4536" w:type="dxa"/>
          </w:tcPr>
          <w:p w14:paraId="4227F427" w14:textId="0DC6A340" w:rsidR="00010CCA" w:rsidRPr="0045545B" w:rsidRDefault="00010CCA" w:rsidP="001E321F">
            <w:pPr>
              <w:spacing w:after="240"/>
            </w:pPr>
            <w:r>
              <w:t>Rapport de l</w:t>
            </w:r>
            <w:r w:rsidR="001A2152">
              <w:t>’</w:t>
            </w:r>
            <w:r>
              <w:t>équipe d</w:t>
            </w:r>
            <w:r w:rsidR="001A2152">
              <w:t>’</w:t>
            </w:r>
            <w:r>
              <w:t>experts à la treiz</w:t>
            </w:r>
            <w:r w:rsidR="001A2152">
              <w:t>ième session du CWS</w:t>
            </w:r>
          </w:p>
        </w:tc>
        <w:tc>
          <w:tcPr>
            <w:tcW w:w="1701" w:type="dxa"/>
          </w:tcPr>
          <w:p w14:paraId="11CE49DF" w14:textId="77777777" w:rsidR="00010CCA" w:rsidRPr="0016180A" w:rsidRDefault="00010CCA" w:rsidP="001E321F">
            <w:pPr>
              <w:spacing w:after="240"/>
            </w:pPr>
            <w:r>
              <w:t>2025</w:t>
            </w:r>
          </w:p>
        </w:tc>
      </w:tr>
    </w:tbl>
    <w:p w14:paraId="6DDB0A8D" w14:textId="52B649DA" w:rsidR="00010CCA" w:rsidRDefault="00010CCA" w:rsidP="00091961">
      <w:pPr>
        <w:pStyle w:val="ONUMFS"/>
        <w:spacing w:before="220"/>
        <w:ind w:left="5530"/>
        <w:rPr>
          <w:i/>
          <w:szCs w:val="22"/>
        </w:rPr>
      </w:pPr>
      <w:r>
        <w:rPr>
          <w:i/>
        </w:rPr>
        <w:t>Le CWS est invité</w:t>
      </w:r>
    </w:p>
    <w:p w14:paraId="0730B604" w14:textId="77777777" w:rsidR="00010CCA" w:rsidRDefault="00010CCA" w:rsidP="00010CCA">
      <w:pPr>
        <w:pStyle w:val="BodyText"/>
        <w:numPr>
          <w:ilvl w:val="0"/>
          <w:numId w:val="11"/>
        </w:numPr>
        <w:tabs>
          <w:tab w:val="left" w:pos="6160"/>
          <w:tab w:val="left" w:pos="6710"/>
        </w:tabs>
        <w:spacing w:after="120"/>
        <w:ind w:left="5528" w:firstLine="680"/>
        <w:rPr>
          <w:rFonts w:eastAsia="Arial"/>
          <w:i/>
          <w:szCs w:val="22"/>
        </w:rPr>
      </w:pPr>
      <w:r>
        <w:rPr>
          <w:i/>
        </w:rPr>
        <w:t>à prendre note du contenu du présent document et</w:t>
      </w:r>
    </w:p>
    <w:p w14:paraId="4F7C6C07" w14:textId="6AA3DCBF" w:rsidR="00010CCA" w:rsidRPr="00091961" w:rsidRDefault="00010CCA" w:rsidP="00010CCA">
      <w:pPr>
        <w:pStyle w:val="BodyText"/>
        <w:numPr>
          <w:ilvl w:val="0"/>
          <w:numId w:val="11"/>
        </w:numPr>
        <w:tabs>
          <w:tab w:val="left" w:pos="6160"/>
          <w:tab w:val="left" w:pos="6710"/>
        </w:tabs>
        <w:spacing w:after="120"/>
        <w:ind w:left="5528" w:firstLine="680"/>
        <w:rPr>
          <w:rFonts w:eastAsia="Arial"/>
          <w:i/>
          <w:szCs w:val="22"/>
        </w:rPr>
      </w:pPr>
      <w:r>
        <w:rPr>
          <w:i/>
        </w:rPr>
        <w:t>à prendre note du programme de travail proposé de l</w:t>
      </w:r>
      <w:r w:rsidR="001A2152">
        <w:rPr>
          <w:i/>
        </w:rPr>
        <w:t>’</w:t>
      </w:r>
      <w:r>
        <w:rPr>
          <w:i/>
        </w:rPr>
        <w:t>Équipe d</w:t>
      </w:r>
      <w:r w:rsidR="001A2152">
        <w:rPr>
          <w:i/>
        </w:rPr>
        <w:t>’</w:t>
      </w:r>
      <w:r>
        <w:rPr>
          <w:i/>
        </w:rPr>
        <w:t>experts chargée de la chaîne de blocs, présenté au paragraphe 9.</w:t>
      </w:r>
    </w:p>
    <w:p w14:paraId="4D145DB6" w14:textId="5BA94F43" w:rsidR="000F5E56" w:rsidRDefault="00010CCA" w:rsidP="00091961">
      <w:pPr>
        <w:pStyle w:val="Endofdocument-Annex"/>
        <w:spacing w:before="720"/>
      </w:pPr>
      <w:r>
        <w:t>[Fin du document]</w:t>
      </w:r>
    </w:p>
    <w:sectPr w:rsidR="000F5E56" w:rsidSect="00010CC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7510F" w14:textId="77777777" w:rsidR="00010CCA" w:rsidRDefault="00010CCA">
      <w:r>
        <w:separator/>
      </w:r>
    </w:p>
  </w:endnote>
  <w:endnote w:type="continuationSeparator" w:id="0">
    <w:p w14:paraId="4A4F5A6F" w14:textId="77777777" w:rsidR="00010CCA" w:rsidRPr="009D30E6" w:rsidRDefault="00010CC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14D3641" w14:textId="77777777" w:rsidR="00010CCA" w:rsidRPr="009D30E6" w:rsidRDefault="00010CC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F8D7A0A" w14:textId="77777777" w:rsidR="00010CCA" w:rsidRPr="009D30E6" w:rsidRDefault="00010CC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16A90" w14:textId="77777777" w:rsidR="00010CCA" w:rsidRDefault="00010CCA">
      <w:r>
        <w:separator/>
      </w:r>
    </w:p>
  </w:footnote>
  <w:footnote w:type="continuationSeparator" w:id="0">
    <w:p w14:paraId="063B1A0C" w14:textId="77777777" w:rsidR="00010CCA" w:rsidRDefault="00010CCA" w:rsidP="007461F1">
      <w:r>
        <w:separator/>
      </w:r>
    </w:p>
    <w:p w14:paraId="2462E7B9" w14:textId="77777777" w:rsidR="00010CCA" w:rsidRPr="009D30E6" w:rsidRDefault="00010CC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9794A8" w14:textId="77777777" w:rsidR="00010CCA" w:rsidRPr="009D30E6" w:rsidRDefault="00010CC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4C0D7" w14:textId="77777777" w:rsidR="00F16975" w:rsidRDefault="00010CCA" w:rsidP="00477D6B">
    <w:pPr>
      <w:jc w:val="right"/>
    </w:pPr>
    <w:bookmarkStart w:id="5" w:name="Code2"/>
    <w:bookmarkEnd w:id="5"/>
    <w:r>
      <w:t>CWS/12/11</w:t>
    </w:r>
  </w:p>
  <w:p w14:paraId="47B5E1B8" w14:textId="7025EC5C" w:rsidR="00091961" w:rsidRDefault="00F16975" w:rsidP="00091961">
    <w:pPr>
      <w:spacing w:after="480"/>
      <w:jc w:val="right"/>
    </w:pPr>
    <w:r>
      <w:t>page</w:t>
    </w:r>
    <w:r w:rsidR="0009196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881"/>
    <w:multiLevelType w:val="hybridMultilevel"/>
    <w:tmpl w:val="88C20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22552"/>
    <w:multiLevelType w:val="hybridMultilevel"/>
    <w:tmpl w:val="F56E0BAE"/>
    <w:lvl w:ilvl="0" w:tplc="04090017">
      <w:start w:val="1"/>
      <w:numFmt w:val="lowerLetter"/>
      <w:lvlText w:val="%1)"/>
      <w:lvlJc w:val="left"/>
      <w:pPr>
        <w:ind w:left="7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19" w:hanging="360"/>
      </w:pPr>
    </w:lvl>
    <w:lvl w:ilvl="2" w:tplc="0409001B" w:tentative="1">
      <w:start w:val="1"/>
      <w:numFmt w:val="lowerRoman"/>
      <w:lvlText w:val="%3."/>
      <w:lvlJc w:val="right"/>
      <w:pPr>
        <w:ind w:left="8539" w:hanging="180"/>
      </w:pPr>
    </w:lvl>
    <w:lvl w:ilvl="3" w:tplc="0409000F" w:tentative="1">
      <w:start w:val="1"/>
      <w:numFmt w:val="decimal"/>
      <w:lvlText w:val="%4."/>
      <w:lvlJc w:val="left"/>
      <w:pPr>
        <w:ind w:left="9259" w:hanging="360"/>
      </w:pPr>
    </w:lvl>
    <w:lvl w:ilvl="4" w:tplc="04090019" w:tentative="1">
      <w:start w:val="1"/>
      <w:numFmt w:val="lowerLetter"/>
      <w:lvlText w:val="%5."/>
      <w:lvlJc w:val="left"/>
      <w:pPr>
        <w:ind w:left="9979" w:hanging="360"/>
      </w:pPr>
    </w:lvl>
    <w:lvl w:ilvl="5" w:tplc="0409001B" w:tentative="1">
      <w:start w:val="1"/>
      <w:numFmt w:val="lowerRoman"/>
      <w:lvlText w:val="%6."/>
      <w:lvlJc w:val="right"/>
      <w:pPr>
        <w:ind w:left="10699" w:hanging="180"/>
      </w:pPr>
    </w:lvl>
    <w:lvl w:ilvl="6" w:tplc="0409000F" w:tentative="1">
      <w:start w:val="1"/>
      <w:numFmt w:val="decimal"/>
      <w:lvlText w:val="%7."/>
      <w:lvlJc w:val="left"/>
      <w:pPr>
        <w:ind w:left="11419" w:hanging="360"/>
      </w:pPr>
    </w:lvl>
    <w:lvl w:ilvl="7" w:tplc="04090019" w:tentative="1">
      <w:start w:val="1"/>
      <w:numFmt w:val="lowerLetter"/>
      <w:lvlText w:val="%8."/>
      <w:lvlJc w:val="left"/>
      <w:pPr>
        <w:ind w:left="12139" w:hanging="360"/>
      </w:pPr>
    </w:lvl>
    <w:lvl w:ilvl="8" w:tplc="0409001B" w:tentative="1">
      <w:start w:val="1"/>
      <w:numFmt w:val="lowerRoman"/>
      <w:lvlText w:val="%9."/>
      <w:lvlJc w:val="right"/>
      <w:pPr>
        <w:ind w:left="12859" w:hanging="180"/>
      </w:pPr>
    </w:lvl>
  </w:abstractNum>
  <w:num w:numId="1" w16cid:durableId="1398548192">
    <w:abstractNumId w:val="3"/>
  </w:num>
  <w:num w:numId="2" w16cid:durableId="1870607316">
    <w:abstractNumId w:val="7"/>
  </w:num>
  <w:num w:numId="3" w16cid:durableId="844322595">
    <w:abstractNumId w:val="0"/>
  </w:num>
  <w:num w:numId="4" w16cid:durableId="1456631763">
    <w:abstractNumId w:val="8"/>
  </w:num>
  <w:num w:numId="5" w16cid:durableId="628778745">
    <w:abstractNumId w:val="1"/>
  </w:num>
  <w:num w:numId="6" w16cid:durableId="670451745">
    <w:abstractNumId w:val="4"/>
  </w:num>
  <w:num w:numId="7" w16cid:durableId="667906302">
    <w:abstractNumId w:val="5"/>
  </w:num>
  <w:num w:numId="8" w16cid:durableId="2121560195">
    <w:abstractNumId w:val="9"/>
  </w:num>
  <w:num w:numId="9" w16cid:durableId="1021860978">
    <w:abstractNumId w:val="2"/>
  </w:num>
  <w:num w:numId="10" w16cid:durableId="1688827229">
    <w:abstractNumId w:val="6"/>
  </w:num>
  <w:num w:numId="11" w16cid:durableId="860970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CA"/>
    <w:rsid w:val="00010CCA"/>
    <w:rsid w:val="00011B7D"/>
    <w:rsid w:val="00075432"/>
    <w:rsid w:val="00091961"/>
    <w:rsid w:val="000F5E56"/>
    <w:rsid w:val="001352EC"/>
    <w:rsid w:val="001362EE"/>
    <w:rsid w:val="001832A6"/>
    <w:rsid w:val="00195C6E"/>
    <w:rsid w:val="00197881"/>
    <w:rsid w:val="001A2152"/>
    <w:rsid w:val="001B266A"/>
    <w:rsid w:val="001D3D56"/>
    <w:rsid w:val="0022704F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36359"/>
    <w:rsid w:val="004647DA"/>
    <w:rsid w:val="00477D6B"/>
    <w:rsid w:val="004A733C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13C68"/>
    <w:rsid w:val="00966A22"/>
    <w:rsid w:val="00974CD6"/>
    <w:rsid w:val="009D30E6"/>
    <w:rsid w:val="009E3F6F"/>
    <w:rsid w:val="009F499F"/>
    <w:rsid w:val="00A02BD3"/>
    <w:rsid w:val="00A12F13"/>
    <w:rsid w:val="00AA1F20"/>
    <w:rsid w:val="00AC0AE4"/>
    <w:rsid w:val="00AC4AA4"/>
    <w:rsid w:val="00AD1EFE"/>
    <w:rsid w:val="00AD61DB"/>
    <w:rsid w:val="00B87BCF"/>
    <w:rsid w:val="00BA62D4"/>
    <w:rsid w:val="00C153FD"/>
    <w:rsid w:val="00C40E15"/>
    <w:rsid w:val="00C664C8"/>
    <w:rsid w:val="00C76A79"/>
    <w:rsid w:val="00CA15F5"/>
    <w:rsid w:val="00CC300E"/>
    <w:rsid w:val="00CF0460"/>
    <w:rsid w:val="00CF12E7"/>
    <w:rsid w:val="00D45252"/>
    <w:rsid w:val="00D71B4D"/>
    <w:rsid w:val="00D75C1E"/>
    <w:rsid w:val="00D93D55"/>
    <w:rsid w:val="00DB0349"/>
    <w:rsid w:val="00DD6A16"/>
    <w:rsid w:val="00E0091A"/>
    <w:rsid w:val="00E203AA"/>
    <w:rsid w:val="00E22C9B"/>
    <w:rsid w:val="00E527A5"/>
    <w:rsid w:val="00E76456"/>
    <w:rsid w:val="00EE71CB"/>
    <w:rsid w:val="00F16975"/>
    <w:rsid w:val="00F66152"/>
    <w:rsid w:val="00FA3E29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80CE4"/>
  <w15:docId w15:val="{EA63337A-6AB2-4905-B9F5-884CDFA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010CC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10CCA"/>
    <w:pPr>
      <w:ind w:left="567"/>
    </w:pPr>
    <w:rPr>
      <w:lang w:val="fr-FR"/>
    </w:rPr>
  </w:style>
  <w:style w:type="paragraph" w:customStyle="1" w:styleId="Body">
    <w:name w:val="Body"/>
    <w:rsid w:val="00010CC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fr-FR" w:eastAsia="ru-RU"/>
    </w:rPr>
  </w:style>
  <w:style w:type="character" w:customStyle="1" w:styleId="Heading2Char">
    <w:name w:val="Heading 2 Char"/>
    <w:basedOn w:val="DefaultParagraphFont"/>
    <w:link w:val="Heading2"/>
    <w:rsid w:val="00010CCA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010CCA"/>
    <w:rPr>
      <w:rFonts w:asciiTheme="minorHAnsi" w:eastAsia="MS Mincho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10CC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436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10</TotalTime>
  <Pages>3</Pages>
  <Words>981</Words>
  <Characters>5228</Characters>
  <Application>Microsoft Office Word</Application>
  <DocSecurity>0</DocSecurity>
  <Lines>134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CWS/12/11</vt:lpstr>
    </vt:vector>
  </TitlesOfParts>
  <Company>WIPO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CWS/12/11</dc:title>
  <dc:creator>WIPO</dc:creator>
  <cp:keywords>Comité des normes de l’OMPI (CWS) Douzième session</cp:keywords>
  <cp:lastModifiedBy>BLANCHET Gaspard</cp:lastModifiedBy>
  <cp:revision>6</cp:revision>
  <cp:lastPrinted>2011-05-19T12:37:00Z</cp:lastPrinted>
  <dcterms:created xsi:type="dcterms:W3CDTF">2024-08-05T14:08:00Z</dcterms:created>
  <dcterms:modified xsi:type="dcterms:W3CDTF">2024-08-20T14:35:00Z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2024-08-05T14:10:09Z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86372094-d73f-4a2e-839d-07bc16d8c495</vt:lpwstr>
  </property>
  <property fmtid="{D5CDD505-2E9C-101B-9397-08002B2CF9AE}" pid="14" name="MSIP_Label_20773ee6-353b-4fb9-a59d-0b94c8c67bea_ContentBits">
    <vt:lpwstr>0</vt:lpwstr>
  </property>
</Properties>
</file>