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B0B3" w14:textId="13681846" w:rsidR="00500907" w:rsidRPr="004E327C" w:rsidRDefault="00500907" w:rsidP="00A85452">
      <w:pPr>
        <w:pStyle w:val="Heading1"/>
        <w:spacing w:before="0" w:after="480"/>
        <w:jc w:val="center"/>
        <w:rPr>
          <w:szCs w:val="22"/>
        </w:rPr>
      </w:pPr>
      <w:r w:rsidRPr="004E327C">
        <w:rPr>
          <w:szCs w:val="22"/>
        </w:rPr>
        <w:t>Norme</w:t>
      </w:r>
      <w:r w:rsidR="001E0C8B">
        <w:rPr>
          <w:szCs w:val="22"/>
        </w:rPr>
        <w:t> </w:t>
      </w:r>
      <w:r w:rsidRPr="004E327C">
        <w:rPr>
          <w:szCs w:val="22"/>
        </w:rPr>
        <w:t>ST.61</w:t>
      </w:r>
    </w:p>
    <w:p w14:paraId="1B2D8A49" w14:textId="77777777" w:rsidR="00500907" w:rsidRPr="004E327C" w:rsidRDefault="00500907" w:rsidP="004E327C">
      <w:pPr>
        <w:pStyle w:val="BodyText"/>
        <w:jc w:val="center"/>
      </w:pPr>
      <w:r w:rsidRPr="004E327C">
        <w:t>RECOMMANDATION CONCERNANT L’ÉCHANGE DE DONNÉES SUR LA SITUATION JURIDIQUE DES MARQUES</w:t>
      </w:r>
    </w:p>
    <w:p w14:paraId="01AB09A7" w14:textId="44A26C09" w:rsidR="00500907" w:rsidRPr="004E327C" w:rsidRDefault="00500907" w:rsidP="00A85452">
      <w:pPr>
        <w:spacing w:before="240" w:after="480"/>
        <w:ind w:right="-1"/>
        <w:jc w:val="center"/>
        <w:rPr>
          <w:i/>
        </w:rPr>
      </w:pPr>
      <w:r w:rsidRPr="004E327C">
        <w:rPr>
          <w:i/>
        </w:rPr>
        <w:t>Révision soumise à l’approbation du Comité des normes de l’OMPI (CWS)</w:t>
      </w:r>
      <w:r w:rsidR="00A85452">
        <w:rPr>
          <w:i/>
        </w:rPr>
        <w:br/>
      </w:r>
      <w:r w:rsidRPr="004E327C">
        <w:rPr>
          <w:i/>
        </w:rPr>
        <w:t xml:space="preserve">à sa douzième session </w:t>
      </w:r>
    </w:p>
    <w:p w14:paraId="715980FB" w14:textId="77777777" w:rsidR="00500907" w:rsidRPr="004E327C" w:rsidRDefault="00500907" w:rsidP="004E327C">
      <w:pPr>
        <w:spacing w:before="240" w:after="240"/>
        <w:rPr>
          <w:u w:val="single"/>
        </w:rPr>
      </w:pPr>
      <w:r w:rsidRPr="004E327C">
        <w:rPr>
          <w:u w:val="single"/>
        </w:rPr>
        <w:t>[…]</w:t>
      </w:r>
    </w:p>
    <w:p w14:paraId="1D392865" w14:textId="77777777" w:rsidR="00500907" w:rsidRPr="004E327C" w:rsidRDefault="00500907" w:rsidP="00A85452">
      <w:pPr>
        <w:pStyle w:val="Heading3"/>
        <w:spacing w:after="220"/>
      </w:pPr>
      <w:bookmarkStart w:id="0" w:name="STANDARD_ST.61"/>
      <w:bookmarkStart w:id="1" w:name="Supplementary_event_data"/>
      <w:bookmarkStart w:id="2" w:name="_bookmark20"/>
      <w:bookmarkEnd w:id="0"/>
      <w:bookmarkEnd w:id="1"/>
      <w:bookmarkEnd w:id="2"/>
      <w:r w:rsidRPr="004E327C">
        <w:t>Données supplémentaires relatives à l’événement</w:t>
      </w:r>
    </w:p>
    <w:p w14:paraId="130EA147" w14:textId="04A65BA9" w:rsidR="00500907" w:rsidRPr="004E327C" w:rsidRDefault="00500907" w:rsidP="00B27062">
      <w:pPr>
        <w:pStyle w:val="ONUMFS"/>
        <w:ind w:left="567" w:hanging="567"/>
      </w:pPr>
      <w:r w:rsidRPr="004E327C">
        <w:t xml:space="preserve">La présente norme recommande que les offices de propriété industrielle fournissent des informations supplémentaires sur les événements, afin que les utilisateurs puissent comprendre le contexte dans lequel s’inscrit l’événement national, régional ou international. </w:t>
      </w:r>
      <w:r w:rsidR="00BC67D5">
        <w:t xml:space="preserve"> </w:t>
      </w:r>
      <w:r w:rsidRPr="004E327C">
        <w:t xml:space="preserve">La présente norme prévoit les données supplémentaires minimales à échanger à cet égard; les offices de propriété industrielle peuvent fournir d’autres informations. </w:t>
      </w:r>
      <w:r w:rsidR="00BC67D5">
        <w:t xml:space="preserve"> </w:t>
      </w:r>
      <w:r w:rsidRPr="004E327C">
        <w:t>L’échange de données supplémentaires sur les événements est facultatif.</w:t>
      </w:r>
    </w:p>
    <w:p w14:paraId="4DB81703" w14:textId="780570D2" w:rsidR="00500907" w:rsidRPr="004E327C" w:rsidRDefault="00500907" w:rsidP="00B27062">
      <w:pPr>
        <w:pStyle w:val="ONUMFS"/>
        <w:ind w:left="567" w:hanging="567"/>
      </w:pPr>
      <w:r w:rsidRPr="004E327C">
        <w:t xml:space="preserve">Les données supplémentaires minimales relatives aux événements par catégorie sont indiquées à l’annexe II. </w:t>
      </w:r>
      <w:r w:rsidR="00BC67D5">
        <w:t xml:space="preserve"> </w:t>
      </w:r>
      <w:r w:rsidRPr="004E327C">
        <w:t xml:space="preserve">Il existe deux groupes de données : </w:t>
      </w:r>
      <w:r w:rsidRPr="004E327C">
        <w:rPr>
          <w:strike/>
        </w:rPr>
        <w:t>les données de la première ligne du tableau sont des</w:t>
      </w:r>
      <w:r w:rsidRPr="004E327C">
        <w:t xml:space="preserve"> </w:t>
      </w:r>
      <w:r w:rsidRPr="004E327C">
        <w:rPr>
          <w:u w:val="single"/>
        </w:rPr>
        <w:t>un</w:t>
      </w:r>
      <w:r w:rsidRPr="004E327C">
        <w:t xml:space="preserve"> ensemble de données supplémentaires communes qu’un office peut communiquer pour tout événement national, régional ou international indépendamment de la catégorie dont il relève; </w:t>
      </w:r>
      <w:r w:rsidRPr="004E327C">
        <w:rPr>
          <w:u w:val="single"/>
        </w:rPr>
        <w:t>et un ensemble de</w:t>
      </w:r>
      <w:r w:rsidRPr="004E327C">
        <w:t xml:space="preserve"> données </w:t>
      </w:r>
      <w:r w:rsidRPr="004E327C">
        <w:rPr>
          <w:u w:val="single"/>
        </w:rPr>
        <w:t>supplémentaires relatives aux événements qui</w:t>
      </w:r>
      <w:r w:rsidRPr="004E327C">
        <w:t xml:space="preserve"> </w:t>
      </w:r>
      <w:r w:rsidRPr="004E327C">
        <w:rPr>
          <w:strike/>
        </w:rPr>
        <w:t>figurant sur la ligne d’une catégorie</w:t>
      </w:r>
      <w:r w:rsidRPr="004E327C">
        <w:t xml:space="preserve"> sont propres à cette catégorie. </w:t>
      </w:r>
      <w:r w:rsidRPr="004E327C">
        <w:rPr>
          <w:u w:val="single"/>
        </w:rPr>
        <w:t xml:space="preserve"> Pour de plus amples informations, se reporter à l’Annexe II. </w:t>
      </w:r>
    </w:p>
    <w:p w14:paraId="7F7BEB02" w14:textId="77777777" w:rsidR="00500907" w:rsidRPr="004E327C" w:rsidRDefault="00500907" w:rsidP="00A85452">
      <w:pPr>
        <w:pStyle w:val="Heading2"/>
        <w:spacing w:after="220"/>
      </w:pPr>
      <w:bookmarkStart w:id="3" w:name="IMPLEMENTATION"/>
      <w:bookmarkStart w:id="4" w:name="_bookmark21"/>
      <w:bookmarkEnd w:id="3"/>
      <w:bookmarkEnd w:id="4"/>
      <w:r w:rsidRPr="004E327C">
        <w:t>Mise en œuvre</w:t>
      </w:r>
    </w:p>
    <w:p w14:paraId="534E0D3D" w14:textId="03C6244D" w:rsidR="00500907" w:rsidRPr="004E327C" w:rsidRDefault="00500907" w:rsidP="00B27062">
      <w:pPr>
        <w:pStyle w:val="ONUMFS"/>
        <w:ind w:left="567" w:hanging="567"/>
      </w:pPr>
      <w:r w:rsidRPr="004E327C">
        <w:t xml:space="preserve">Les offices de propriété industrielle sont encouragés à mettre en œuvre la présente norme dès que possible afin de favoriser un échange efficace de données harmonisées sur la situation juridique des demandes et des droits de propriété industrielle. </w:t>
      </w:r>
      <w:r w:rsidR="00BC67D5">
        <w:t xml:space="preserve"> </w:t>
      </w:r>
      <w:r w:rsidRPr="004E327C">
        <w:t>La mise en œuvre de cette norme suppose que les offices de propriété industrielle relient leurs événements nationaux, régionaux ou internationaux aux événements définis dans cette norme ou à tout le moins à une catégorie.</w:t>
      </w:r>
    </w:p>
    <w:p w14:paraId="73E3C709" w14:textId="177DFF1D" w:rsidR="00500907" w:rsidRPr="004E327C" w:rsidRDefault="00500907" w:rsidP="00B27062">
      <w:pPr>
        <w:pStyle w:val="ONUMFS"/>
        <w:ind w:left="567" w:hanging="567"/>
      </w:pPr>
      <w:r w:rsidRPr="004E327C">
        <w:t>Il est recommandé que la mise en œuvre de cette norme fasse l’objet d’une annonce et que le Bureau international de l’OMPI soit informé moyennant la remise d’une table de correspondance entre les événements nationaux, régionaux ou internationaux et les événements prévus dans la présente norme sur la base du modèle figurant à l’annexe IV.</w:t>
      </w:r>
    </w:p>
    <w:p w14:paraId="2FC0D98D" w14:textId="636B42C3" w:rsidR="00500907" w:rsidRPr="004E327C" w:rsidRDefault="00500907" w:rsidP="00B27062">
      <w:pPr>
        <w:pStyle w:val="ONUMFS"/>
        <w:ind w:left="567" w:hanging="567"/>
      </w:pPr>
      <w:r w:rsidRPr="004E327C">
        <w:t xml:space="preserve">Les offices de propriété industrielle sont invités à fournir un titre et une description de leurs codes d’événements nationaux, régionaux ou internationaux en anglais, afin que les utilisateurs puissent obtenir de plus amples informations sur les différents événements nationaux, régionaux ou internationaux. </w:t>
      </w:r>
      <w:r w:rsidR="00BC67D5">
        <w:t xml:space="preserve"> </w:t>
      </w:r>
      <w:r w:rsidRPr="004E327C">
        <w:t>Il est recommandé que les offices de propriété industrielle fournissent ces informations en même temps que les données relatives à la situation juridique, ou en communiquant l’URI de leur registre national ou régional de propriété industrielle ou d’une autre plateforme où ces informations sont accessibles au public.</w:t>
      </w:r>
    </w:p>
    <w:p w14:paraId="1C1815A8" w14:textId="701CC9D5" w:rsidR="00500907" w:rsidRPr="004E327C" w:rsidRDefault="00500907" w:rsidP="00B27062">
      <w:pPr>
        <w:pStyle w:val="ONUMFS"/>
        <w:ind w:left="567" w:hanging="567"/>
      </w:pPr>
      <w:r w:rsidRPr="004E327C">
        <w:t>Il est suggéré que les échanges de données relatives à la situation juridique aient lieu au minimum sur une base mensuelle, et idéalement à une fréquence hebdomadaire.</w:t>
      </w:r>
    </w:p>
    <w:p w14:paraId="35D62462" w14:textId="4782979D" w:rsidR="00500907" w:rsidRPr="004E327C" w:rsidRDefault="00500907" w:rsidP="00B27062">
      <w:r w:rsidRPr="004E327C">
        <w:rPr>
          <w:u w:val="single"/>
        </w:rPr>
        <w:t>[…]</w:t>
      </w:r>
    </w:p>
    <w:p w14:paraId="733E9B57" w14:textId="6A824850" w:rsidR="00500907" w:rsidRPr="00DA607F" w:rsidRDefault="00500907" w:rsidP="00685043">
      <w:pPr>
        <w:pStyle w:val="Heading1"/>
        <w:spacing w:before="0" w:after="480"/>
        <w:jc w:val="center"/>
        <w:rPr>
          <w:rFonts w:ascii="Arial Bold" w:hAnsi="Arial Bold"/>
          <w:szCs w:val="22"/>
        </w:rPr>
      </w:pPr>
      <w:bookmarkStart w:id="5" w:name="ANNEX_II"/>
      <w:bookmarkStart w:id="6" w:name="_bookmark23"/>
      <w:bookmarkEnd w:id="5"/>
      <w:bookmarkEnd w:id="6"/>
      <w:r w:rsidRPr="00DA607F">
        <w:rPr>
          <w:rFonts w:ascii="Arial Bold" w:hAnsi="Arial Bold"/>
          <w:szCs w:val="22"/>
        </w:rPr>
        <w:lastRenderedPageBreak/>
        <w:t>A</w:t>
      </w:r>
      <w:r w:rsidR="00DA607F" w:rsidRPr="00DA607F">
        <w:rPr>
          <w:rFonts w:ascii="Arial Bold" w:hAnsi="Arial Bold"/>
          <w:szCs w:val="22"/>
        </w:rPr>
        <w:t>nnexe</w:t>
      </w:r>
      <w:r w:rsidRPr="00DA607F">
        <w:rPr>
          <w:rFonts w:ascii="Arial Bold" w:hAnsi="Arial Bold"/>
          <w:szCs w:val="22"/>
        </w:rPr>
        <w:t> II</w:t>
      </w:r>
    </w:p>
    <w:p w14:paraId="592A01A4" w14:textId="319FC06F" w:rsidR="00500907" w:rsidRPr="00685043" w:rsidRDefault="00500907" w:rsidP="00685043">
      <w:pPr>
        <w:pStyle w:val="BodyText"/>
        <w:spacing w:after="480"/>
        <w:ind w:right="215"/>
        <w:jc w:val="center"/>
        <w:rPr>
          <w:caps/>
        </w:rPr>
      </w:pPr>
      <w:r w:rsidRPr="00685043">
        <w:rPr>
          <w:caps/>
        </w:rPr>
        <w:t>Données supplémentaires relatives aux événements</w:t>
      </w:r>
    </w:p>
    <w:p w14:paraId="4CDC4963" w14:textId="15537B8C" w:rsidR="00500907" w:rsidRPr="004E327C" w:rsidRDefault="00500907" w:rsidP="00A85452">
      <w:pPr>
        <w:spacing w:after="480"/>
        <w:ind w:right="-1"/>
        <w:jc w:val="center"/>
        <w:rPr>
          <w:i/>
        </w:rPr>
      </w:pPr>
      <w:r w:rsidRPr="004E327C">
        <w:rPr>
          <w:i/>
        </w:rPr>
        <w:t>Révision soumise à l’approbation du Comité des normes de l’OMPI (CWS)</w:t>
      </w:r>
      <w:r w:rsidR="00A85452">
        <w:rPr>
          <w:i/>
        </w:rPr>
        <w:br/>
      </w:r>
      <w:r w:rsidRPr="004E327C">
        <w:rPr>
          <w:i/>
        </w:rPr>
        <w:t>à sa douzième session</w:t>
      </w:r>
    </w:p>
    <w:p w14:paraId="016D9BC1" w14:textId="4C5FF3E9" w:rsidR="00500907" w:rsidRPr="004E327C" w:rsidRDefault="00500907" w:rsidP="00685043">
      <w:pPr>
        <w:pStyle w:val="ONUMFS"/>
        <w:numPr>
          <w:ilvl w:val="0"/>
          <w:numId w:val="30"/>
        </w:numPr>
      </w:pPr>
      <w:r w:rsidRPr="004E327C">
        <w:t xml:space="preserve">Chaque code de situation peut être accompagné de données supplémentaires concernant les événements. </w:t>
      </w:r>
      <w:r w:rsidR="00BC67D5">
        <w:t xml:space="preserve"> </w:t>
      </w:r>
      <w:r w:rsidRPr="004E327C">
        <w:t xml:space="preserve">Il existe des données supplémentaires propres aux événements relevant d’une catégorie particulière et des données supplémentaires communes à tous les événements. </w:t>
      </w:r>
      <w:r w:rsidR="00BC67D5">
        <w:t xml:space="preserve"> </w:t>
      </w:r>
      <w:r w:rsidRPr="004E327C">
        <w:t xml:space="preserve">Les données supplémentaires communes comprennent 1) le pays ou la région où l’événement produit ses effets, 2) le numéro du bulletin, 3) les commentaires (texte libre), 4) la date d’un événement antérieur pertinent et 5) une règle pertinente. </w:t>
      </w:r>
      <w:r w:rsidR="00BC67D5">
        <w:t xml:space="preserve"> </w:t>
      </w:r>
      <w:r w:rsidRPr="004E327C">
        <w:t xml:space="preserve">L’élément “pays ou région où l’événement produit ses effets” est particulièrement indiqué pour les offices régionaux où l’effet d’un événement, tel que la suspension pour cause de non-paiement des taxes de renouvellement, produit ses effets uniquement dans certains des pays où le droit de propriété industrielle est actif. </w:t>
      </w:r>
      <w:r w:rsidR="00BC67D5">
        <w:t xml:space="preserve"> </w:t>
      </w:r>
      <w:r w:rsidRPr="004E327C">
        <w:t xml:space="preserve">Le “numéro du bulletin” correspond au volume du bulletin national ou régional où les données relatives à l’événement sont publiées. </w:t>
      </w:r>
      <w:r w:rsidR="00BC67D5">
        <w:t xml:space="preserve"> </w:t>
      </w:r>
      <w:r w:rsidRPr="004E327C">
        <w:t xml:space="preserve">Les offices de propriété industrielle pourront fournir des données connexes supplémentaires non prévues ici dans la rubrique “commentaires”. </w:t>
      </w:r>
      <w:r w:rsidR="00BC67D5">
        <w:t xml:space="preserve"> </w:t>
      </w:r>
      <w:r w:rsidRPr="004E327C">
        <w:t xml:space="preserve">La “date d’un événement antérieur pertinent” désigne la date d’un événement antérieur pertinent pour l’événement actuel, telle la date de début d’un délai de paiement d’une taxe qui a expiré. </w:t>
      </w:r>
      <w:r w:rsidR="00BC67D5">
        <w:t xml:space="preserve"> </w:t>
      </w:r>
      <w:r w:rsidRPr="004E327C">
        <w:t>La “règle pertinente” désigne une règle, une réglementation, une loi ou un autre principe spécifique à un office qui a été appliqué pour obtenir le résultat associé à l’événement.</w:t>
      </w:r>
    </w:p>
    <w:p w14:paraId="2EC73BAE" w14:textId="2EC9D4A6" w:rsidR="00500907" w:rsidRPr="004E327C" w:rsidRDefault="00500907" w:rsidP="00685043">
      <w:pPr>
        <w:pStyle w:val="ONUMFS"/>
      </w:pPr>
      <w:r w:rsidRPr="004E327C">
        <w:t xml:space="preserve">Le tableau ci-après présente les champs de données supplémentaires qui peuvent être utilisés pour les différentes catégories. </w:t>
      </w:r>
      <w:r w:rsidR="00BC67D5">
        <w:t xml:space="preserve"> </w:t>
      </w:r>
      <w:r w:rsidRPr="004E327C">
        <w:t xml:space="preserve">La première ligne présente les éléments communs pouvant être utilisés dans n’importe quelle catégorie, et les lignes suivantes présentent les éléments de données propres à chaque catégorie. </w:t>
      </w:r>
      <w:r w:rsidR="00BC67D5">
        <w:t xml:space="preserve"> </w:t>
      </w:r>
      <w:r w:rsidRPr="004E327C">
        <w:t xml:space="preserve">Notez que les éléments de données supplémentaires mentionnés dans la présente norme sont des descriptions générales des types de données qui peuvent être fournis.  </w:t>
      </w:r>
      <w:r w:rsidRPr="004E327C">
        <w:rPr>
          <w:u w:val="single"/>
        </w:rPr>
        <w:t>Les formats particuliers et les valeurs prévues pour les données supplémentaires sont établis dans les normes relatives à la représentation des données, notamment dans la norme ST.96 de l’OMPI concernant le langage XML (eXtensible Markup Language).</w:t>
      </w:r>
    </w:p>
    <w:tbl>
      <w:tblPr>
        <w:tblW w:w="949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42"/>
        <w:gridCol w:w="145"/>
        <w:gridCol w:w="4390"/>
        <w:gridCol w:w="42"/>
        <w:gridCol w:w="3500"/>
        <w:gridCol w:w="145"/>
      </w:tblGrid>
      <w:tr w:rsidR="007C4B3E" w:rsidRPr="004E327C" w14:paraId="3F1E3CC2" w14:textId="77777777" w:rsidTr="00DA607F">
        <w:trPr>
          <w:trHeight w:val="557"/>
        </w:trPr>
        <w:tc>
          <w:tcPr>
            <w:tcW w:w="1417" w:type="dxa"/>
            <w:gridSpan w:val="3"/>
            <w:shd w:val="clear" w:color="auto" w:fill="D9D9D9"/>
          </w:tcPr>
          <w:p w14:paraId="2C49492B" w14:textId="77777777" w:rsidR="00500907" w:rsidRPr="004E327C" w:rsidRDefault="00500907" w:rsidP="002153BB">
            <w:pPr>
              <w:pStyle w:val="TableParagraph"/>
              <w:ind w:left="134"/>
              <w:rPr>
                <w:b/>
              </w:rPr>
            </w:pPr>
            <w:r w:rsidRPr="004E327C">
              <w:rPr>
                <w:b/>
              </w:rPr>
              <w:t>Code de catégorie</w:t>
            </w:r>
          </w:p>
        </w:tc>
        <w:tc>
          <w:tcPr>
            <w:tcW w:w="4391" w:type="dxa"/>
            <w:shd w:val="clear" w:color="auto" w:fill="D9D9D9"/>
          </w:tcPr>
          <w:p w14:paraId="1288D0FD" w14:textId="77777777" w:rsidR="00500907" w:rsidRPr="004E327C" w:rsidRDefault="00500907" w:rsidP="002153BB">
            <w:pPr>
              <w:pStyle w:val="TableParagraph"/>
              <w:ind w:left="107"/>
              <w:rPr>
                <w:b/>
              </w:rPr>
            </w:pPr>
            <w:r w:rsidRPr="004E327C">
              <w:rPr>
                <w:b/>
              </w:rPr>
              <w:t>Titre et description de la catégorie</w:t>
            </w:r>
          </w:p>
        </w:tc>
        <w:tc>
          <w:tcPr>
            <w:tcW w:w="3685" w:type="dxa"/>
            <w:gridSpan w:val="3"/>
            <w:shd w:val="clear" w:color="auto" w:fill="D9D9D9"/>
          </w:tcPr>
          <w:p w14:paraId="25C62FA3" w14:textId="77777777" w:rsidR="00500907" w:rsidRPr="004E327C" w:rsidRDefault="00500907" w:rsidP="002153BB">
            <w:pPr>
              <w:pStyle w:val="TableParagraph"/>
              <w:ind w:left="106"/>
              <w:rPr>
                <w:b/>
              </w:rPr>
            </w:pPr>
            <w:r w:rsidRPr="004E327C">
              <w:rPr>
                <w:b/>
              </w:rPr>
              <w:t>Données supplémentaires relatives à l’événement</w:t>
            </w:r>
          </w:p>
        </w:tc>
      </w:tr>
      <w:tr w:rsidR="00DA607F" w:rsidRPr="004E327C" w14:paraId="61A1C0A6" w14:textId="77777777" w:rsidTr="00DA607F">
        <w:trPr>
          <w:trHeight w:val="2097"/>
        </w:trPr>
        <w:tc>
          <w:tcPr>
            <w:tcW w:w="1417" w:type="dxa"/>
            <w:gridSpan w:val="3"/>
          </w:tcPr>
          <w:p w14:paraId="060DAF54" w14:textId="77777777" w:rsidR="00500907" w:rsidRPr="004E327C" w:rsidRDefault="00500907" w:rsidP="00BC67D5">
            <w:pPr>
              <w:pStyle w:val="TableParagraph"/>
              <w:spacing w:before="118" w:after="220"/>
              <w:ind w:left="107"/>
            </w:pPr>
            <w:r w:rsidRPr="004E327C">
              <w:t>s.o.</w:t>
            </w:r>
          </w:p>
        </w:tc>
        <w:tc>
          <w:tcPr>
            <w:tcW w:w="4391" w:type="dxa"/>
          </w:tcPr>
          <w:p w14:paraId="201B6E98" w14:textId="1EC56449" w:rsidR="00500907" w:rsidRPr="004E327C" w:rsidRDefault="00500907" w:rsidP="00BC67D5">
            <w:pPr>
              <w:pStyle w:val="TableParagraph"/>
              <w:spacing w:before="118" w:after="220"/>
              <w:ind w:left="107"/>
            </w:pPr>
            <w:r w:rsidRPr="004E327C">
              <w:t>Toutes les catégories</w:t>
            </w:r>
          </w:p>
          <w:p w14:paraId="576E84D9" w14:textId="75493D9E" w:rsidR="00500907" w:rsidRPr="004E327C" w:rsidRDefault="00500907" w:rsidP="00BC67D5">
            <w:pPr>
              <w:pStyle w:val="TableParagraph"/>
              <w:spacing w:before="1" w:after="220"/>
              <w:ind w:left="107"/>
            </w:pPr>
            <w:r w:rsidRPr="004E327C">
              <w:t>Présente les éléments de données communs</w:t>
            </w:r>
            <w:r w:rsidR="00685043">
              <w:t xml:space="preserve"> </w:t>
            </w:r>
            <w:r w:rsidRPr="004E327C">
              <w:t>qui peuvent être utilisés dans toutes les catégories.</w:t>
            </w:r>
          </w:p>
        </w:tc>
        <w:tc>
          <w:tcPr>
            <w:tcW w:w="3685" w:type="dxa"/>
            <w:gridSpan w:val="3"/>
          </w:tcPr>
          <w:p w14:paraId="7389B738" w14:textId="6A1262FF" w:rsidR="00500907" w:rsidRPr="004E327C" w:rsidRDefault="00500907" w:rsidP="00BC67D5">
            <w:pPr>
              <w:pStyle w:val="TableParagraph"/>
              <w:numPr>
                <w:ilvl w:val="0"/>
                <w:numId w:val="27"/>
              </w:numPr>
              <w:tabs>
                <w:tab w:val="left" w:pos="565"/>
                <w:tab w:val="left" w:pos="566"/>
              </w:tabs>
              <w:spacing w:before="118" w:after="220"/>
              <w:ind w:hanging="426"/>
            </w:pPr>
            <w:r w:rsidRPr="004E327C">
              <w:t>Pays ou région où l’événement produit ses effets</w:t>
            </w:r>
          </w:p>
          <w:p w14:paraId="07183C5B" w14:textId="0AC0023F" w:rsidR="00500907" w:rsidRPr="004E327C" w:rsidRDefault="00500907" w:rsidP="00BC67D5">
            <w:pPr>
              <w:pStyle w:val="TableParagraph"/>
              <w:numPr>
                <w:ilvl w:val="0"/>
                <w:numId w:val="27"/>
              </w:numPr>
              <w:tabs>
                <w:tab w:val="left" w:pos="565"/>
                <w:tab w:val="left" w:pos="566"/>
              </w:tabs>
              <w:spacing w:after="220"/>
              <w:ind w:hanging="426"/>
            </w:pPr>
            <w:r w:rsidRPr="004E327C">
              <w:t>Numéro du bulletin</w:t>
            </w:r>
          </w:p>
          <w:p w14:paraId="18BAFD12" w14:textId="080EF8B6" w:rsidR="00500907" w:rsidRPr="004E327C" w:rsidRDefault="00500907" w:rsidP="00BC67D5">
            <w:pPr>
              <w:pStyle w:val="TableParagraph"/>
              <w:numPr>
                <w:ilvl w:val="0"/>
                <w:numId w:val="27"/>
              </w:numPr>
              <w:tabs>
                <w:tab w:val="left" w:pos="565"/>
                <w:tab w:val="left" w:pos="566"/>
              </w:tabs>
              <w:spacing w:after="220"/>
              <w:ind w:hanging="426"/>
            </w:pPr>
            <w:r w:rsidRPr="004E327C">
              <w:t>Commentaires (texte libre)</w:t>
            </w:r>
          </w:p>
          <w:p w14:paraId="75B6235A" w14:textId="4DBF2A68" w:rsidR="00500907" w:rsidRPr="004E327C" w:rsidRDefault="00500907" w:rsidP="00BC67D5">
            <w:pPr>
              <w:pStyle w:val="TableParagraph"/>
              <w:numPr>
                <w:ilvl w:val="0"/>
                <w:numId w:val="27"/>
              </w:numPr>
              <w:tabs>
                <w:tab w:val="left" w:pos="565"/>
                <w:tab w:val="left" w:pos="566"/>
              </w:tabs>
              <w:spacing w:after="220"/>
              <w:ind w:hanging="426"/>
            </w:pPr>
            <w:r w:rsidRPr="004E327C">
              <w:t>Date d’un événement antérieur pertinent</w:t>
            </w:r>
          </w:p>
          <w:p w14:paraId="67772A61" w14:textId="77777777" w:rsidR="00500907" w:rsidRPr="004E327C" w:rsidRDefault="00500907" w:rsidP="00BC67D5">
            <w:pPr>
              <w:pStyle w:val="TableParagraph"/>
              <w:numPr>
                <w:ilvl w:val="0"/>
                <w:numId w:val="27"/>
              </w:numPr>
              <w:tabs>
                <w:tab w:val="left" w:pos="565"/>
                <w:tab w:val="left" w:pos="566"/>
              </w:tabs>
              <w:spacing w:after="220"/>
              <w:ind w:hanging="426"/>
            </w:pPr>
            <w:r w:rsidRPr="004E327C">
              <w:t>Règle pertinente (p. ex., numéro de la règle)</w:t>
            </w:r>
          </w:p>
        </w:tc>
      </w:tr>
      <w:tr w:rsidR="007C4B3E" w:rsidRPr="004E327C" w14:paraId="417A5ECC" w14:textId="77777777" w:rsidTr="00DA607F">
        <w:trPr>
          <w:trHeight w:val="554"/>
        </w:trPr>
        <w:tc>
          <w:tcPr>
            <w:tcW w:w="1130" w:type="dxa"/>
            <w:shd w:val="clear" w:color="auto" w:fill="D9D9D9"/>
          </w:tcPr>
          <w:p w14:paraId="2BF4A031" w14:textId="77777777" w:rsidR="00500907" w:rsidRPr="004E327C" w:rsidRDefault="00500907" w:rsidP="002153BB">
            <w:pPr>
              <w:pStyle w:val="TableParagraph"/>
              <w:keepNext/>
              <w:ind w:left="134"/>
              <w:rPr>
                <w:b/>
              </w:rPr>
            </w:pPr>
            <w:r w:rsidRPr="004E327C">
              <w:rPr>
                <w:b/>
              </w:rPr>
              <w:lastRenderedPageBreak/>
              <w:t>Code de catégorie</w:t>
            </w:r>
          </w:p>
        </w:tc>
        <w:tc>
          <w:tcPr>
            <w:tcW w:w="4678" w:type="dxa"/>
            <w:gridSpan w:val="3"/>
            <w:shd w:val="clear" w:color="auto" w:fill="D9D9D9"/>
          </w:tcPr>
          <w:p w14:paraId="62B2377D" w14:textId="77777777" w:rsidR="00500907" w:rsidRPr="004E327C" w:rsidRDefault="00500907" w:rsidP="002153BB">
            <w:pPr>
              <w:pStyle w:val="TableParagraph"/>
              <w:ind w:left="107"/>
              <w:rPr>
                <w:b/>
              </w:rPr>
            </w:pPr>
            <w:r w:rsidRPr="004E327C">
              <w:rPr>
                <w:b/>
              </w:rPr>
              <w:t>Titre et description de la catégorie</w:t>
            </w:r>
          </w:p>
        </w:tc>
        <w:tc>
          <w:tcPr>
            <w:tcW w:w="3685" w:type="dxa"/>
            <w:gridSpan w:val="3"/>
            <w:shd w:val="clear" w:color="auto" w:fill="D9D9D9"/>
          </w:tcPr>
          <w:p w14:paraId="6A079F62" w14:textId="77777777" w:rsidR="00500907" w:rsidRPr="004E327C" w:rsidRDefault="00500907" w:rsidP="002153BB">
            <w:pPr>
              <w:pStyle w:val="TableParagraph"/>
              <w:ind w:left="106"/>
              <w:rPr>
                <w:b/>
              </w:rPr>
            </w:pPr>
            <w:r w:rsidRPr="004E327C">
              <w:rPr>
                <w:b/>
              </w:rPr>
              <w:t>Données supplémentaires relatives à l’événement</w:t>
            </w:r>
          </w:p>
        </w:tc>
      </w:tr>
      <w:tr w:rsidR="00500907" w:rsidRPr="00BC67D5" w14:paraId="63BED29A" w14:textId="77777777" w:rsidTr="00DA607F">
        <w:trPr>
          <w:trHeight w:val="4624"/>
        </w:trPr>
        <w:tc>
          <w:tcPr>
            <w:tcW w:w="1130" w:type="dxa"/>
          </w:tcPr>
          <w:p w14:paraId="0E939D0B" w14:textId="77777777" w:rsidR="00500907" w:rsidRPr="00BC67D5" w:rsidRDefault="00500907" w:rsidP="00BC67D5">
            <w:pPr>
              <w:pStyle w:val="TableParagraph"/>
              <w:spacing w:before="118" w:after="220"/>
              <w:ind w:left="107"/>
            </w:pPr>
            <w:r w:rsidRPr="00BC67D5">
              <w:t>A</w:t>
            </w:r>
          </w:p>
        </w:tc>
        <w:tc>
          <w:tcPr>
            <w:tcW w:w="4678" w:type="dxa"/>
            <w:gridSpan w:val="3"/>
          </w:tcPr>
          <w:p w14:paraId="1E74C37D" w14:textId="05B7E246" w:rsidR="00500907" w:rsidRPr="00BC67D5" w:rsidRDefault="00500907" w:rsidP="00BC67D5">
            <w:pPr>
              <w:pStyle w:val="TableParagraph"/>
              <w:spacing w:before="118" w:after="220"/>
              <w:ind w:left="107"/>
              <w:rPr>
                <w:u w:val="single"/>
              </w:rPr>
            </w:pPr>
            <w:r w:rsidRPr="00BC67D5">
              <w:rPr>
                <w:u w:val="single"/>
              </w:rPr>
              <w:t>Dépôt d’une demande</w:t>
            </w:r>
          </w:p>
          <w:p w14:paraId="007C4B5C" w14:textId="38189FA4" w:rsidR="00500907" w:rsidRPr="00BC67D5" w:rsidRDefault="00500907" w:rsidP="00BC67D5">
            <w:pPr>
              <w:pStyle w:val="TableParagraph"/>
              <w:spacing w:before="1" w:after="220"/>
              <w:ind w:left="107" w:right="121"/>
            </w:pPr>
            <w:r w:rsidRPr="00BC67D5">
              <w:t xml:space="preserve">Cette catégorie désigne un groupe d’événements en rapport avec le dépôt d’une demande. </w:t>
            </w:r>
            <w:r w:rsidR="00BC67D5" w:rsidRPr="00BC67D5">
              <w:t xml:space="preserve"> </w:t>
            </w:r>
            <w:r w:rsidRPr="00BC67D5">
              <w:t xml:space="preserve">Elle englobe tout événement entraînant la création d’un nouveau numéro d’élément, qu’une nouvelle demande soit déposée ou non auprès de l’office de propriété industrielle. </w:t>
            </w:r>
            <w:r w:rsidR="00BC67D5" w:rsidRPr="00BC67D5">
              <w:t xml:space="preserve"> </w:t>
            </w:r>
            <w:r w:rsidRPr="00BC67D5">
              <w:t xml:space="preserve">Par exemple, elle englobe la réception par un office de propriété industrielle national ou régional ou par le Bureau international de l’Organisation Mondiale de la Propriété Intellectuelle d’une demande d’enregistrement d’une marque accompagnée de toute indication ou de tout élément ou document supplémentaire et des taxes nécessaires pour l’obtention d’une date de dépôt en vertu de la législation nationale, de la législation ou de la convention régionale ou du système de Madrid, selon le cas. </w:t>
            </w:r>
            <w:r w:rsidR="00BC67D5" w:rsidRPr="00BC67D5">
              <w:t xml:space="preserve"> </w:t>
            </w:r>
            <w:r w:rsidRPr="00BC67D5">
              <w:t>Cette catégorie comprend également des événements relatifs à une demande de désignation postérieure, une demande divisionnaire, une demande de continuation ou de transformation.</w:t>
            </w:r>
          </w:p>
        </w:tc>
        <w:tc>
          <w:tcPr>
            <w:tcW w:w="3685" w:type="dxa"/>
            <w:gridSpan w:val="3"/>
          </w:tcPr>
          <w:p w14:paraId="3B63BDB2" w14:textId="77777777" w:rsidR="00500907" w:rsidRPr="00BC67D5" w:rsidRDefault="00500907" w:rsidP="00BC67D5">
            <w:pPr>
              <w:pStyle w:val="TableParagraph"/>
              <w:numPr>
                <w:ilvl w:val="0"/>
                <w:numId w:val="26"/>
              </w:numPr>
              <w:tabs>
                <w:tab w:val="left" w:pos="567"/>
                <w:tab w:val="left" w:pos="568"/>
              </w:tabs>
              <w:spacing w:before="118" w:after="220"/>
              <w:ind w:right="125"/>
            </w:pPr>
            <w:r w:rsidRPr="00BC67D5">
              <w:t>Identification de document connexe (p. ex., identificateur du document parent)</w:t>
            </w:r>
          </w:p>
          <w:p w14:paraId="1E0FDB4D" w14:textId="77777777" w:rsidR="00500907" w:rsidRPr="00BC67D5" w:rsidRDefault="00500907" w:rsidP="00BC67D5">
            <w:pPr>
              <w:pStyle w:val="TableParagraph"/>
              <w:numPr>
                <w:ilvl w:val="0"/>
                <w:numId w:val="26"/>
              </w:numPr>
              <w:tabs>
                <w:tab w:val="left" w:pos="567"/>
                <w:tab w:val="left" w:pos="568"/>
              </w:tabs>
              <w:spacing w:after="220"/>
              <w:ind w:hanging="433"/>
            </w:pPr>
            <w:r w:rsidRPr="00BC67D5">
              <w:t>Date de priorité</w:t>
            </w:r>
          </w:p>
          <w:p w14:paraId="44497957" w14:textId="77777777" w:rsidR="00500907" w:rsidRPr="00BC67D5" w:rsidRDefault="00500907" w:rsidP="00BC67D5">
            <w:pPr>
              <w:pStyle w:val="TableParagraph"/>
              <w:numPr>
                <w:ilvl w:val="0"/>
                <w:numId w:val="26"/>
              </w:numPr>
              <w:tabs>
                <w:tab w:val="left" w:pos="567"/>
                <w:tab w:val="left" w:pos="568"/>
              </w:tabs>
              <w:spacing w:after="220"/>
              <w:ind w:right="191"/>
            </w:pPr>
            <w:r w:rsidRPr="00BC67D5">
              <w:t>Données relatives au dépôt d’une demande internationale ou régionale</w:t>
            </w:r>
          </w:p>
          <w:p w14:paraId="6E649D46" w14:textId="77777777" w:rsidR="00500907" w:rsidRPr="00BC67D5" w:rsidRDefault="00500907" w:rsidP="00BC67D5">
            <w:pPr>
              <w:pStyle w:val="TableParagraph"/>
              <w:numPr>
                <w:ilvl w:val="0"/>
                <w:numId w:val="26"/>
              </w:numPr>
              <w:tabs>
                <w:tab w:val="left" w:pos="567"/>
                <w:tab w:val="left" w:pos="568"/>
              </w:tabs>
              <w:spacing w:after="220"/>
              <w:ind w:right="312"/>
            </w:pPr>
            <w:r w:rsidRPr="00BC67D5">
              <w:t>Données relatives au déposant (p. ex., nom, coordonnées)</w:t>
            </w:r>
          </w:p>
          <w:p w14:paraId="042CE8BF" w14:textId="77777777" w:rsidR="00500907" w:rsidRPr="00BC67D5" w:rsidRDefault="00500907" w:rsidP="00BC67D5">
            <w:pPr>
              <w:pStyle w:val="TableParagraph"/>
              <w:numPr>
                <w:ilvl w:val="0"/>
                <w:numId w:val="26"/>
              </w:numPr>
              <w:tabs>
                <w:tab w:val="left" w:pos="567"/>
                <w:tab w:val="left" w:pos="568"/>
              </w:tabs>
              <w:spacing w:before="1" w:after="220"/>
              <w:ind w:hanging="433"/>
            </w:pPr>
            <w:r w:rsidRPr="00BC67D5">
              <w:t>Demandes divisées</w:t>
            </w:r>
          </w:p>
          <w:p w14:paraId="1F322120" w14:textId="77777777" w:rsidR="00500907" w:rsidRPr="00BC67D5" w:rsidRDefault="00500907" w:rsidP="00BC67D5">
            <w:pPr>
              <w:pStyle w:val="TableParagraph"/>
              <w:numPr>
                <w:ilvl w:val="0"/>
                <w:numId w:val="26"/>
              </w:numPr>
              <w:tabs>
                <w:tab w:val="left" w:pos="567"/>
                <w:tab w:val="left" w:pos="568"/>
              </w:tabs>
              <w:spacing w:before="1" w:after="220"/>
              <w:ind w:hanging="433"/>
            </w:pPr>
            <w:r w:rsidRPr="00BC67D5">
              <w:t>Type de marque (par exemple, marque collective)</w:t>
            </w:r>
          </w:p>
          <w:p w14:paraId="2E09690D" w14:textId="77777777" w:rsidR="00500907" w:rsidRPr="00BC67D5" w:rsidRDefault="00500907" w:rsidP="00BC67D5">
            <w:pPr>
              <w:pStyle w:val="TableParagraph"/>
              <w:numPr>
                <w:ilvl w:val="0"/>
                <w:numId w:val="26"/>
              </w:numPr>
              <w:tabs>
                <w:tab w:val="left" w:pos="567"/>
                <w:tab w:val="left" w:pos="568"/>
              </w:tabs>
              <w:spacing w:before="1" w:after="220"/>
              <w:ind w:hanging="433"/>
            </w:pPr>
            <w:r w:rsidRPr="00BC67D5">
              <w:t>Type de marque (par exemple, texte ou marque figurative)</w:t>
            </w:r>
          </w:p>
          <w:p w14:paraId="0F4BA327" w14:textId="77777777" w:rsidR="00500907" w:rsidRPr="00BC67D5" w:rsidRDefault="00500907" w:rsidP="00BC67D5">
            <w:pPr>
              <w:pStyle w:val="TableParagraph"/>
              <w:numPr>
                <w:ilvl w:val="0"/>
                <w:numId w:val="26"/>
              </w:numPr>
              <w:tabs>
                <w:tab w:val="left" w:pos="567"/>
                <w:tab w:val="left" w:pos="568"/>
              </w:tabs>
              <w:spacing w:before="1" w:after="220"/>
              <w:ind w:hanging="433"/>
              <w:rPr>
                <w:u w:val="single"/>
              </w:rPr>
            </w:pPr>
            <w:r w:rsidRPr="00BC67D5">
              <w:rPr>
                <w:color w:val="000000"/>
                <w:u w:val="single"/>
              </w:rPr>
              <w:t>Code d’accès délivré par le service WIPO DAS</w:t>
            </w:r>
          </w:p>
        </w:tc>
      </w:tr>
      <w:tr w:rsidR="00500907" w:rsidRPr="00BC67D5" w14:paraId="772D032B" w14:textId="77777777" w:rsidTr="00DA607F">
        <w:trPr>
          <w:trHeight w:val="3159"/>
        </w:trPr>
        <w:tc>
          <w:tcPr>
            <w:tcW w:w="1130" w:type="dxa"/>
          </w:tcPr>
          <w:p w14:paraId="2AA24A12" w14:textId="77777777" w:rsidR="00500907" w:rsidRPr="00BC67D5" w:rsidRDefault="00500907" w:rsidP="00BC67D5">
            <w:pPr>
              <w:pStyle w:val="TableParagraph"/>
              <w:spacing w:before="120" w:after="220"/>
              <w:ind w:left="107"/>
            </w:pPr>
            <w:r w:rsidRPr="00BC67D5">
              <w:t>B</w:t>
            </w:r>
          </w:p>
        </w:tc>
        <w:tc>
          <w:tcPr>
            <w:tcW w:w="4678" w:type="dxa"/>
            <w:gridSpan w:val="3"/>
          </w:tcPr>
          <w:p w14:paraId="3975AC03" w14:textId="7A70474E" w:rsidR="00500907" w:rsidRPr="00BC67D5" w:rsidRDefault="00500907" w:rsidP="00BC67D5">
            <w:pPr>
              <w:pStyle w:val="TableParagraph"/>
              <w:spacing w:before="120" w:after="220"/>
              <w:ind w:left="107"/>
              <w:rPr>
                <w:u w:val="single"/>
              </w:rPr>
            </w:pPr>
            <w:r w:rsidRPr="00BC67D5">
              <w:rPr>
                <w:u w:val="single"/>
              </w:rPr>
              <w:t>Suspension de la demande</w:t>
            </w:r>
          </w:p>
          <w:p w14:paraId="7254CC00" w14:textId="5E1FDB9D" w:rsidR="00500907" w:rsidRPr="00BC67D5" w:rsidRDefault="00500907" w:rsidP="00BC67D5">
            <w:pPr>
              <w:pStyle w:val="TableParagraph"/>
              <w:spacing w:after="220"/>
              <w:ind w:left="107" w:right="131"/>
            </w:pPr>
            <w:r w:rsidRPr="00BC67D5">
              <w:t xml:space="preserve">Cette catégorie regroupe des événements liés à la suspension de l’instruction d’une demande. </w:t>
            </w:r>
            <w:r w:rsidR="00BC67D5" w:rsidRPr="00BC67D5">
              <w:t xml:space="preserve"> </w:t>
            </w:r>
            <w:r w:rsidRPr="00BC67D5">
              <w:t xml:space="preserve">Les événements relevant de cette catégorie peuvent faire passer une demande du stade du dépôt, de l’examen ou de la contestation avant l’enregistrement au stade de l’extinction probable ou définitive. </w:t>
            </w:r>
            <w:r w:rsidR="00BC67D5" w:rsidRPr="00BC67D5">
              <w:t xml:space="preserve"> </w:t>
            </w:r>
            <w:r w:rsidRPr="00BC67D5">
              <w:t>Elle englobe par exemple une demande volontairement retirée par le déposant, qui est réputée avoir été retirée, avoir été abandonnée ou avoir expiré ou qui a été rejetée par l’office de propriété industrielle.</w:t>
            </w:r>
          </w:p>
        </w:tc>
        <w:tc>
          <w:tcPr>
            <w:tcW w:w="3685" w:type="dxa"/>
            <w:gridSpan w:val="3"/>
          </w:tcPr>
          <w:p w14:paraId="3A22FED5" w14:textId="77777777" w:rsidR="00500907" w:rsidRPr="00BC67D5" w:rsidRDefault="00500907" w:rsidP="00BC67D5">
            <w:pPr>
              <w:pStyle w:val="TableParagraph"/>
              <w:numPr>
                <w:ilvl w:val="0"/>
                <w:numId w:val="25"/>
              </w:numPr>
              <w:tabs>
                <w:tab w:val="left" w:pos="567"/>
                <w:tab w:val="left" w:pos="568"/>
              </w:tabs>
              <w:spacing w:before="120" w:after="220"/>
              <w:ind w:hanging="433"/>
            </w:pPr>
            <w:r w:rsidRPr="00BC67D5">
              <w:t>Motif de non-entrée en vigueur</w:t>
            </w:r>
          </w:p>
          <w:p w14:paraId="6B96FB55" w14:textId="77777777" w:rsidR="00500907" w:rsidRPr="00BC67D5" w:rsidRDefault="00500907" w:rsidP="00BC67D5">
            <w:pPr>
              <w:pStyle w:val="TableParagraph"/>
              <w:numPr>
                <w:ilvl w:val="0"/>
                <w:numId w:val="25"/>
              </w:numPr>
              <w:tabs>
                <w:tab w:val="left" w:pos="567"/>
                <w:tab w:val="left" w:pos="568"/>
              </w:tabs>
              <w:spacing w:before="120" w:after="220"/>
              <w:ind w:hanging="433"/>
              <w:rPr>
                <w:u w:val="single"/>
              </w:rPr>
            </w:pPr>
            <w:r w:rsidRPr="00BC67D5">
              <w:rPr>
                <w:u w:val="single"/>
              </w:rPr>
              <w:t>Date de non-entrée en vigueur</w:t>
            </w:r>
          </w:p>
          <w:p w14:paraId="1A34D06F" w14:textId="77777777" w:rsidR="00500907" w:rsidRPr="00BC67D5" w:rsidRDefault="00500907" w:rsidP="00BC67D5">
            <w:pPr>
              <w:pStyle w:val="TableParagraph"/>
              <w:numPr>
                <w:ilvl w:val="0"/>
                <w:numId w:val="25"/>
              </w:numPr>
              <w:tabs>
                <w:tab w:val="left" w:pos="567"/>
                <w:tab w:val="left" w:pos="568"/>
              </w:tabs>
              <w:spacing w:before="120" w:after="220"/>
              <w:ind w:hanging="433"/>
              <w:rPr>
                <w:strike/>
              </w:rPr>
            </w:pPr>
            <w:r w:rsidRPr="00BC67D5">
              <w:rPr>
                <w:strike/>
              </w:rPr>
              <w:t>Informations judiciaires</w:t>
            </w:r>
          </w:p>
        </w:tc>
      </w:tr>
      <w:tr w:rsidR="00BC67D5" w:rsidRPr="00BC67D5" w14:paraId="4090A7FC" w14:textId="77777777" w:rsidTr="00DA607F">
        <w:trPr>
          <w:trHeight w:val="696"/>
        </w:trPr>
        <w:tc>
          <w:tcPr>
            <w:tcW w:w="1130" w:type="dxa"/>
            <w:shd w:val="clear" w:color="auto" w:fill="D9D9D9" w:themeFill="background1" w:themeFillShade="D9"/>
          </w:tcPr>
          <w:p w14:paraId="1E237382" w14:textId="625B7618" w:rsidR="00BC67D5" w:rsidRPr="00BC67D5" w:rsidRDefault="00BC67D5" w:rsidP="002153BB">
            <w:pPr>
              <w:pStyle w:val="TableParagraph"/>
              <w:keepNext/>
              <w:spacing w:before="117"/>
              <w:ind w:left="134"/>
              <w:rPr>
                <w:b/>
              </w:rPr>
            </w:pPr>
            <w:bookmarkStart w:id="7" w:name="_Hlk172904804"/>
            <w:r w:rsidRPr="004E327C">
              <w:rPr>
                <w:b/>
              </w:rPr>
              <w:lastRenderedPageBreak/>
              <w:t>Code de catégorie</w:t>
            </w:r>
          </w:p>
        </w:tc>
        <w:tc>
          <w:tcPr>
            <w:tcW w:w="4678" w:type="dxa"/>
            <w:gridSpan w:val="3"/>
            <w:shd w:val="clear" w:color="auto" w:fill="D9D9D9" w:themeFill="background1" w:themeFillShade="D9"/>
          </w:tcPr>
          <w:p w14:paraId="5112FAA6" w14:textId="69CE6948" w:rsidR="00BC67D5" w:rsidRPr="00BC67D5" w:rsidRDefault="00BC67D5" w:rsidP="002153BB">
            <w:pPr>
              <w:pStyle w:val="TableParagraph"/>
              <w:keepNext/>
              <w:spacing w:before="117"/>
              <w:ind w:left="134"/>
              <w:rPr>
                <w:b/>
              </w:rPr>
            </w:pPr>
            <w:r w:rsidRPr="004E327C">
              <w:rPr>
                <w:b/>
              </w:rPr>
              <w:t>Titre et description de la catégorie</w:t>
            </w:r>
          </w:p>
        </w:tc>
        <w:tc>
          <w:tcPr>
            <w:tcW w:w="3685" w:type="dxa"/>
            <w:gridSpan w:val="3"/>
            <w:shd w:val="clear" w:color="auto" w:fill="D9D9D9" w:themeFill="background1" w:themeFillShade="D9"/>
          </w:tcPr>
          <w:p w14:paraId="60268386" w14:textId="2EA9E4F2" w:rsidR="00BC67D5" w:rsidRPr="00BC67D5" w:rsidRDefault="00BC67D5" w:rsidP="002153BB">
            <w:pPr>
              <w:pStyle w:val="TableParagraph"/>
              <w:keepNext/>
              <w:tabs>
                <w:tab w:val="left" w:pos="567"/>
                <w:tab w:val="left" w:pos="568"/>
              </w:tabs>
              <w:spacing w:before="117"/>
              <w:ind w:left="134"/>
              <w:rPr>
                <w:b/>
              </w:rPr>
            </w:pPr>
            <w:r w:rsidRPr="004E327C">
              <w:rPr>
                <w:b/>
              </w:rPr>
              <w:t>Données supplémentaires relatives à l’événement</w:t>
            </w:r>
          </w:p>
        </w:tc>
      </w:tr>
      <w:bookmarkEnd w:id="7"/>
      <w:tr w:rsidR="00DA607F" w:rsidRPr="00BC67D5" w14:paraId="37BDC627" w14:textId="77777777" w:rsidTr="00DA607F">
        <w:trPr>
          <w:trHeight w:val="4522"/>
        </w:trPr>
        <w:tc>
          <w:tcPr>
            <w:tcW w:w="1130" w:type="dxa"/>
          </w:tcPr>
          <w:p w14:paraId="14DF8874" w14:textId="77777777" w:rsidR="00500907" w:rsidRPr="00BC67D5" w:rsidRDefault="00500907" w:rsidP="00BC67D5">
            <w:pPr>
              <w:pStyle w:val="TableParagraph"/>
              <w:spacing w:before="120" w:after="220"/>
              <w:ind w:left="107"/>
            </w:pPr>
            <w:r w:rsidRPr="00BC67D5">
              <w:t>C</w:t>
            </w:r>
          </w:p>
        </w:tc>
        <w:tc>
          <w:tcPr>
            <w:tcW w:w="4678" w:type="dxa"/>
            <w:gridSpan w:val="3"/>
          </w:tcPr>
          <w:p w14:paraId="4E6D6FD4" w14:textId="406C7E29" w:rsidR="00500907" w:rsidRPr="00BC67D5" w:rsidRDefault="00500907" w:rsidP="00BC67D5">
            <w:pPr>
              <w:pStyle w:val="TableParagraph"/>
              <w:spacing w:before="120" w:after="220"/>
              <w:ind w:left="107"/>
              <w:rPr>
                <w:u w:val="single"/>
              </w:rPr>
            </w:pPr>
            <w:r w:rsidRPr="00BC67D5">
              <w:rPr>
                <w:u w:val="single"/>
              </w:rPr>
              <w:t>Réactivation de la demande</w:t>
            </w:r>
          </w:p>
          <w:p w14:paraId="4C345385" w14:textId="3E35E1DE" w:rsidR="00500907" w:rsidRPr="00BC67D5" w:rsidRDefault="00500907" w:rsidP="002153BB">
            <w:pPr>
              <w:pStyle w:val="TableParagraph"/>
              <w:ind w:left="107" w:right="121" w:hanging="10"/>
            </w:pPr>
            <w:r w:rsidRPr="00BC67D5">
              <w:t xml:space="preserve">Cette catégorie regroupe des événements liés à la réactivation, au rétablissement ou à la restauration d’une demande après que celle-ci a été suspendue, lorsque l’office l’autorise. </w:t>
            </w:r>
            <w:r w:rsidR="00BC67D5" w:rsidRPr="00BC67D5">
              <w:t xml:space="preserve"> </w:t>
            </w:r>
            <w:r w:rsidRPr="00BC67D5">
              <w:t xml:space="preserve">Elle comprend par exemple les demandes réactivées à la suite d’une demande de réactivation après paiement d’une taxe en suspens, d’une réponse à une action en suspens ou à une décision ayant abouti à la suspension de l’instruction, ou d’un recours. </w:t>
            </w:r>
            <w:r w:rsidR="00BC67D5" w:rsidRPr="00BC67D5">
              <w:t xml:space="preserve"> </w:t>
            </w:r>
            <w:r w:rsidRPr="00BC67D5">
              <w:t>Les événements relevant de cette catégorie peuvent faire passer une demande du stade de l’extinction probable</w:t>
            </w:r>
            <w:r w:rsidR="00BC67D5">
              <w:t xml:space="preserve"> </w:t>
            </w:r>
            <w:r w:rsidRPr="00BC67D5">
              <w:t>ou définitive au stade du dépôt, de l’examen ou de la contestation avant l’enregistrement.</w:t>
            </w:r>
          </w:p>
        </w:tc>
        <w:tc>
          <w:tcPr>
            <w:tcW w:w="3685" w:type="dxa"/>
            <w:gridSpan w:val="3"/>
          </w:tcPr>
          <w:p w14:paraId="0E74F48E" w14:textId="77777777" w:rsidR="00500907" w:rsidRPr="00BC67D5" w:rsidRDefault="00500907" w:rsidP="00BC67D5">
            <w:pPr>
              <w:pStyle w:val="TableParagraph"/>
              <w:numPr>
                <w:ilvl w:val="0"/>
                <w:numId w:val="24"/>
              </w:numPr>
              <w:tabs>
                <w:tab w:val="left" w:pos="567"/>
                <w:tab w:val="left" w:pos="568"/>
              </w:tabs>
              <w:spacing w:before="120" w:after="220"/>
              <w:ind w:hanging="433"/>
            </w:pPr>
            <w:r w:rsidRPr="00BC67D5">
              <w:t>Date de suspension</w:t>
            </w:r>
          </w:p>
          <w:p w14:paraId="3EDAA369" w14:textId="77777777" w:rsidR="00500907" w:rsidRPr="00BC67D5" w:rsidRDefault="00500907" w:rsidP="00BC67D5">
            <w:pPr>
              <w:pStyle w:val="TableParagraph"/>
              <w:numPr>
                <w:ilvl w:val="0"/>
                <w:numId w:val="24"/>
              </w:numPr>
              <w:tabs>
                <w:tab w:val="left" w:pos="565"/>
                <w:tab w:val="left" w:pos="566"/>
              </w:tabs>
              <w:spacing w:after="220"/>
              <w:ind w:left="565" w:hanging="426"/>
            </w:pPr>
            <w:r w:rsidRPr="00BC67D5">
              <w:t>Motif de non-entrée en vigueur</w:t>
            </w:r>
          </w:p>
          <w:p w14:paraId="104138ED" w14:textId="77777777" w:rsidR="00500907" w:rsidRPr="00BC67D5" w:rsidRDefault="00500907" w:rsidP="00BC67D5">
            <w:pPr>
              <w:pStyle w:val="TableParagraph"/>
              <w:numPr>
                <w:ilvl w:val="0"/>
                <w:numId w:val="24"/>
              </w:numPr>
              <w:tabs>
                <w:tab w:val="left" w:pos="565"/>
                <w:tab w:val="left" w:pos="566"/>
              </w:tabs>
              <w:spacing w:after="220"/>
              <w:ind w:left="565" w:hanging="426"/>
            </w:pPr>
            <w:r w:rsidRPr="00BC67D5">
              <w:t>Motif de réactivation</w:t>
            </w:r>
          </w:p>
          <w:p w14:paraId="552CEE46" w14:textId="77777777" w:rsidR="00500907" w:rsidRPr="00BC67D5" w:rsidRDefault="00500907" w:rsidP="00BC67D5">
            <w:pPr>
              <w:pStyle w:val="TableParagraph"/>
              <w:numPr>
                <w:ilvl w:val="0"/>
                <w:numId w:val="24"/>
              </w:numPr>
              <w:tabs>
                <w:tab w:val="left" w:pos="565"/>
                <w:tab w:val="left" w:pos="566"/>
              </w:tabs>
              <w:spacing w:after="220"/>
              <w:ind w:left="565" w:hanging="426"/>
              <w:rPr>
                <w:u w:val="single"/>
              </w:rPr>
            </w:pPr>
            <w:r w:rsidRPr="00BC67D5">
              <w:rPr>
                <w:u w:val="single"/>
              </w:rPr>
              <w:t>Indicateur de droit d’utilisation antérieure</w:t>
            </w:r>
          </w:p>
        </w:tc>
      </w:tr>
      <w:tr w:rsidR="00500907" w:rsidRPr="00BC67D5" w14:paraId="6B870C70" w14:textId="77777777" w:rsidTr="00DA607F">
        <w:trPr>
          <w:trHeight w:val="129"/>
        </w:trPr>
        <w:tc>
          <w:tcPr>
            <w:tcW w:w="1130" w:type="dxa"/>
          </w:tcPr>
          <w:p w14:paraId="4849D54F" w14:textId="77777777" w:rsidR="00500907" w:rsidRPr="00BC67D5" w:rsidRDefault="00500907" w:rsidP="00BC67D5">
            <w:pPr>
              <w:pStyle w:val="TableParagraph"/>
              <w:spacing w:before="118" w:after="220"/>
              <w:ind w:left="107"/>
            </w:pPr>
            <w:r w:rsidRPr="00BC67D5">
              <w:t>D</w:t>
            </w:r>
          </w:p>
        </w:tc>
        <w:tc>
          <w:tcPr>
            <w:tcW w:w="4678" w:type="dxa"/>
            <w:gridSpan w:val="3"/>
          </w:tcPr>
          <w:p w14:paraId="5389235F" w14:textId="77777777" w:rsidR="00500907" w:rsidRPr="00BC67D5" w:rsidRDefault="00500907" w:rsidP="00BC67D5">
            <w:pPr>
              <w:pStyle w:val="TableParagraph"/>
              <w:spacing w:before="118" w:after="220"/>
              <w:ind w:left="107"/>
              <w:rPr>
                <w:u w:val="single"/>
              </w:rPr>
            </w:pPr>
            <w:r w:rsidRPr="00BC67D5">
              <w:rPr>
                <w:u w:val="single"/>
              </w:rPr>
              <w:t>Recherche et examen</w:t>
            </w:r>
          </w:p>
          <w:p w14:paraId="6BD2A633" w14:textId="145B9E76" w:rsidR="00500907" w:rsidRPr="00BC67D5" w:rsidRDefault="00500907" w:rsidP="00BC67D5">
            <w:pPr>
              <w:pStyle w:val="TableParagraph"/>
              <w:spacing w:before="1" w:after="220"/>
              <w:ind w:left="107" w:right="121"/>
            </w:pPr>
            <w:r w:rsidRPr="00BC67D5">
              <w:t xml:space="preserve">Cette catégorie regroupe les événements liés à la procédure d’examen et aux recherches des droits antérieurs qui précèdent l’acceptation ou le rejet de la marque. </w:t>
            </w:r>
            <w:r w:rsidR="00BC67D5" w:rsidRPr="00BC67D5">
              <w:t xml:space="preserve"> </w:t>
            </w:r>
            <w:r w:rsidRPr="00BC67D5">
              <w:t xml:space="preserve">Elle englobe par exemple l’examen quant à la forme ou l’examen quant au fond. </w:t>
            </w:r>
            <w:r w:rsidR="00BC67D5" w:rsidRPr="00BC67D5">
              <w:t xml:space="preserve"> </w:t>
            </w:r>
            <w:r w:rsidRPr="00BC67D5">
              <w:t xml:space="preserve">Elle comprend également la demande de recherche des droits antérieurs et la déclaration selon laquelle l’office a l’intention d’enregistrer la marque ou d’octroyer un droit de propriété industrielle. </w:t>
            </w:r>
            <w:r w:rsidR="00BC67D5" w:rsidRPr="00BC67D5">
              <w:t xml:space="preserve"> </w:t>
            </w:r>
            <w:r w:rsidRPr="00BC67D5">
              <w:t>Les événements relevant de cette catégorie peuvent faire passer une demande du stade du dépôt ou de la contestation avant l’enregistrement au stade de l’examen.</w:t>
            </w:r>
          </w:p>
        </w:tc>
        <w:tc>
          <w:tcPr>
            <w:tcW w:w="3685" w:type="dxa"/>
            <w:gridSpan w:val="3"/>
          </w:tcPr>
          <w:p w14:paraId="0B3EF38F" w14:textId="77777777" w:rsidR="00500907" w:rsidRPr="00BC67D5" w:rsidRDefault="00500907" w:rsidP="00BC67D5">
            <w:pPr>
              <w:pStyle w:val="TableParagraph"/>
              <w:numPr>
                <w:ilvl w:val="0"/>
                <w:numId w:val="23"/>
              </w:numPr>
              <w:tabs>
                <w:tab w:val="left" w:pos="567"/>
                <w:tab w:val="left" w:pos="568"/>
              </w:tabs>
              <w:spacing w:before="118" w:after="220"/>
              <w:ind w:hanging="433"/>
            </w:pPr>
            <w:r w:rsidRPr="00BC67D5">
              <w:t>Catégorie “origine de la recherche”</w:t>
            </w:r>
          </w:p>
          <w:p w14:paraId="21067D3D" w14:textId="77777777" w:rsidR="00500907" w:rsidRPr="00BC67D5" w:rsidRDefault="00500907" w:rsidP="00BC67D5">
            <w:pPr>
              <w:pStyle w:val="TableParagraph"/>
              <w:numPr>
                <w:ilvl w:val="0"/>
                <w:numId w:val="23"/>
              </w:numPr>
              <w:tabs>
                <w:tab w:val="left" w:pos="567"/>
                <w:tab w:val="left" w:pos="568"/>
              </w:tabs>
              <w:spacing w:after="220"/>
              <w:ind w:right="104"/>
            </w:pPr>
            <w:r w:rsidRPr="00BC67D5">
              <w:t>Demandeur de la recherche (p. ex., déposant, tiers, ou office de manière indépendante)</w:t>
            </w:r>
          </w:p>
          <w:p w14:paraId="2EC397D5" w14:textId="77777777" w:rsidR="00500907" w:rsidRPr="00BC67D5" w:rsidRDefault="00500907" w:rsidP="00BC67D5">
            <w:pPr>
              <w:pStyle w:val="TableParagraph"/>
              <w:numPr>
                <w:ilvl w:val="0"/>
                <w:numId w:val="23"/>
              </w:numPr>
              <w:tabs>
                <w:tab w:val="left" w:pos="567"/>
                <w:tab w:val="left" w:pos="568"/>
              </w:tabs>
              <w:spacing w:before="1" w:after="220"/>
              <w:ind w:right="532"/>
            </w:pPr>
            <w:r w:rsidRPr="00BC67D5">
              <w:t>Demandeur de l’examen (p. ex., déposant, tiers, ou office de manière indépendante)</w:t>
            </w:r>
          </w:p>
          <w:p w14:paraId="64087404" w14:textId="77777777" w:rsidR="00500907" w:rsidRPr="00BC67D5" w:rsidRDefault="00500907" w:rsidP="00BC67D5">
            <w:pPr>
              <w:pStyle w:val="TableParagraph"/>
              <w:numPr>
                <w:ilvl w:val="0"/>
                <w:numId w:val="23"/>
              </w:numPr>
              <w:tabs>
                <w:tab w:val="left" w:pos="567"/>
                <w:tab w:val="left" w:pos="568"/>
              </w:tabs>
              <w:spacing w:before="1" w:after="220"/>
              <w:ind w:hanging="433"/>
            </w:pPr>
            <w:r w:rsidRPr="00BC67D5">
              <w:t>Données relatives à la publication</w:t>
            </w:r>
          </w:p>
          <w:p w14:paraId="478F6DA7" w14:textId="77777777" w:rsidR="00500907" w:rsidRPr="00BC67D5" w:rsidRDefault="00500907" w:rsidP="00BC67D5">
            <w:pPr>
              <w:pStyle w:val="TableParagraph"/>
              <w:numPr>
                <w:ilvl w:val="0"/>
                <w:numId w:val="23"/>
              </w:numPr>
              <w:tabs>
                <w:tab w:val="left" w:pos="567"/>
                <w:tab w:val="left" w:pos="568"/>
              </w:tabs>
              <w:spacing w:before="1" w:after="220"/>
              <w:ind w:hanging="433"/>
            </w:pPr>
            <w:r w:rsidRPr="00BC67D5">
              <w:t>Données relatives à la priorité</w:t>
            </w:r>
          </w:p>
          <w:p w14:paraId="7CD0C68D" w14:textId="77777777" w:rsidR="00500907" w:rsidRPr="00BC67D5" w:rsidRDefault="00500907" w:rsidP="00BC67D5">
            <w:pPr>
              <w:pStyle w:val="TableParagraph"/>
              <w:numPr>
                <w:ilvl w:val="0"/>
                <w:numId w:val="23"/>
              </w:numPr>
              <w:tabs>
                <w:tab w:val="left" w:pos="567"/>
                <w:tab w:val="left" w:pos="568"/>
              </w:tabs>
              <w:spacing w:after="220"/>
              <w:ind w:right="124"/>
            </w:pPr>
            <w:r w:rsidRPr="00BC67D5">
              <w:t>Données relatives aux documents connexes (p. ex., données relatives au dépôt régional, données relatives au dépôt international)</w:t>
            </w:r>
          </w:p>
          <w:p w14:paraId="62ADE3EA" w14:textId="77777777" w:rsidR="00500907" w:rsidRPr="00BC67D5" w:rsidRDefault="00500907" w:rsidP="00BC67D5">
            <w:pPr>
              <w:pStyle w:val="TableParagraph"/>
              <w:numPr>
                <w:ilvl w:val="0"/>
                <w:numId w:val="23"/>
              </w:numPr>
              <w:tabs>
                <w:tab w:val="left" w:pos="567"/>
                <w:tab w:val="left" w:pos="568"/>
              </w:tabs>
              <w:spacing w:after="220"/>
              <w:ind w:hanging="433"/>
            </w:pPr>
            <w:r w:rsidRPr="00BC67D5">
              <w:t>Données relatives aux demandes</w:t>
            </w:r>
          </w:p>
          <w:p w14:paraId="5121CB7C" w14:textId="77777777" w:rsidR="00500907" w:rsidRPr="00BC67D5" w:rsidRDefault="00500907" w:rsidP="00BC67D5">
            <w:pPr>
              <w:pStyle w:val="TableParagraph"/>
              <w:numPr>
                <w:ilvl w:val="0"/>
                <w:numId w:val="23"/>
              </w:numPr>
              <w:tabs>
                <w:tab w:val="left" w:pos="567"/>
                <w:tab w:val="left" w:pos="568"/>
              </w:tabs>
              <w:spacing w:after="220"/>
              <w:ind w:hanging="433"/>
            </w:pPr>
            <w:r w:rsidRPr="00BC67D5">
              <w:t>Type d’examen (par exemple, examen quant au fond)</w:t>
            </w:r>
          </w:p>
          <w:p w14:paraId="3D381969" w14:textId="77777777" w:rsidR="00500907" w:rsidRPr="00BC67D5" w:rsidRDefault="00500907" w:rsidP="00BC67D5">
            <w:pPr>
              <w:pStyle w:val="TableParagraph"/>
              <w:numPr>
                <w:ilvl w:val="0"/>
                <w:numId w:val="23"/>
              </w:numPr>
              <w:tabs>
                <w:tab w:val="left" w:pos="567"/>
                <w:tab w:val="left" w:pos="568"/>
              </w:tabs>
              <w:spacing w:after="220"/>
              <w:ind w:hanging="433"/>
            </w:pPr>
            <w:r w:rsidRPr="00BC67D5">
              <w:t>Données du rapport d’examen</w:t>
            </w:r>
          </w:p>
          <w:p w14:paraId="41657003" w14:textId="210B802C" w:rsidR="00500907" w:rsidRPr="00BC67D5" w:rsidRDefault="00500907" w:rsidP="00BC67D5">
            <w:pPr>
              <w:pStyle w:val="TableParagraph"/>
              <w:numPr>
                <w:ilvl w:val="0"/>
                <w:numId w:val="23"/>
              </w:numPr>
              <w:tabs>
                <w:tab w:val="left" w:pos="567"/>
                <w:tab w:val="left" w:pos="568"/>
              </w:tabs>
              <w:ind w:hanging="433"/>
            </w:pPr>
            <w:r w:rsidRPr="00BC67D5">
              <w:t>Données du rapport de recherche</w:t>
            </w:r>
          </w:p>
        </w:tc>
      </w:tr>
      <w:tr w:rsidR="002153BB" w:rsidRPr="00BC67D5" w14:paraId="7E4358F1" w14:textId="77777777" w:rsidTr="00DA607F">
        <w:trPr>
          <w:trHeight w:val="554"/>
        </w:trPr>
        <w:tc>
          <w:tcPr>
            <w:tcW w:w="1130" w:type="dxa"/>
            <w:shd w:val="clear" w:color="auto" w:fill="D9D9D9" w:themeFill="background1" w:themeFillShade="D9"/>
          </w:tcPr>
          <w:p w14:paraId="7A72ADAE" w14:textId="0C242459" w:rsidR="002153BB" w:rsidRPr="00BC67D5" w:rsidRDefault="002153BB" w:rsidP="002153BB">
            <w:pPr>
              <w:pStyle w:val="TableParagraph"/>
              <w:ind w:left="107"/>
            </w:pPr>
            <w:r w:rsidRPr="004E327C">
              <w:rPr>
                <w:b/>
              </w:rPr>
              <w:lastRenderedPageBreak/>
              <w:t>Code de catégorie</w:t>
            </w:r>
          </w:p>
        </w:tc>
        <w:tc>
          <w:tcPr>
            <w:tcW w:w="4678" w:type="dxa"/>
            <w:gridSpan w:val="3"/>
            <w:shd w:val="clear" w:color="auto" w:fill="D9D9D9" w:themeFill="background1" w:themeFillShade="D9"/>
          </w:tcPr>
          <w:p w14:paraId="1C7DDDF4" w14:textId="61932586" w:rsidR="002153BB" w:rsidRPr="00BC67D5" w:rsidRDefault="002153BB" w:rsidP="002153BB">
            <w:pPr>
              <w:pStyle w:val="TableParagraph"/>
              <w:ind w:left="107"/>
              <w:rPr>
                <w:u w:val="single"/>
              </w:rPr>
            </w:pPr>
            <w:r w:rsidRPr="004E327C">
              <w:rPr>
                <w:b/>
              </w:rPr>
              <w:t>Titre et description de la catégorie</w:t>
            </w:r>
          </w:p>
        </w:tc>
        <w:tc>
          <w:tcPr>
            <w:tcW w:w="3685" w:type="dxa"/>
            <w:gridSpan w:val="3"/>
            <w:shd w:val="clear" w:color="auto" w:fill="D9D9D9" w:themeFill="background1" w:themeFillShade="D9"/>
          </w:tcPr>
          <w:p w14:paraId="23B8A94B" w14:textId="6513728C" w:rsidR="002153BB" w:rsidRPr="00BC67D5" w:rsidRDefault="002153BB" w:rsidP="002153BB">
            <w:pPr>
              <w:pStyle w:val="TableParagraph"/>
              <w:tabs>
                <w:tab w:val="left" w:pos="565"/>
                <w:tab w:val="left" w:pos="566"/>
              </w:tabs>
              <w:ind w:left="106" w:right="136"/>
              <w:rPr>
                <w:color w:val="000000"/>
                <w:u w:val="single"/>
              </w:rPr>
            </w:pPr>
            <w:r w:rsidRPr="004E327C">
              <w:rPr>
                <w:b/>
              </w:rPr>
              <w:t>Données supplémentaires relatives à l’événement</w:t>
            </w:r>
          </w:p>
        </w:tc>
      </w:tr>
      <w:tr w:rsidR="00500907" w:rsidRPr="00BC67D5" w14:paraId="56C49653" w14:textId="77777777" w:rsidTr="00DA607F">
        <w:trPr>
          <w:trHeight w:val="3159"/>
        </w:trPr>
        <w:tc>
          <w:tcPr>
            <w:tcW w:w="1130" w:type="dxa"/>
          </w:tcPr>
          <w:p w14:paraId="36F50D5D" w14:textId="77777777" w:rsidR="00500907" w:rsidRPr="00BC67D5" w:rsidRDefault="00500907" w:rsidP="00BC67D5">
            <w:pPr>
              <w:pStyle w:val="TableParagraph"/>
              <w:spacing w:before="120" w:after="220"/>
              <w:ind w:left="107"/>
            </w:pPr>
            <w:r w:rsidRPr="00BC67D5">
              <w:t>E</w:t>
            </w:r>
          </w:p>
        </w:tc>
        <w:tc>
          <w:tcPr>
            <w:tcW w:w="4678" w:type="dxa"/>
            <w:gridSpan w:val="3"/>
          </w:tcPr>
          <w:p w14:paraId="720E792E" w14:textId="77777777" w:rsidR="00500907" w:rsidRPr="00BC67D5" w:rsidRDefault="00500907" w:rsidP="00BC67D5">
            <w:pPr>
              <w:pStyle w:val="TableParagraph"/>
              <w:spacing w:before="120" w:after="220"/>
              <w:ind w:left="107"/>
              <w:rPr>
                <w:u w:val="single"/>
              </w:rPr>
            </w:pPr>
            <w:r w:rsidRPr="00BC67D5">
              <w:rPr>
                <w:u w:val="single"/>
              </w:rPr>
              <w:t>Demande de réexamen avant l’enregistrement</w:t>
            </w:r>
          </w:p>
          <w:p w14:paraId="68611E46" w14:textId="117EB294" w:rsidR="00500907" w:rsidRPr="00BC67D5" w:rsidRDefault="00500907" w:rsidP="00BC67D5">
            <w:pPr>
              <w:pStyle w:val="TableParagraph"/>
              <w:spacing w:after="220"/>
              <w:ind w:left="107" w:right="121" w:hanging="15"/>
            </w:pPr>
            <w:r w:rsidRPr="00BC67D5">
              <w:t xml:space="preserve">Cette catégorie regroupe les événements liés à la demande d’un réexamen avant l’enregistrement. </w:t>
            </w:r>
            <w:r w:rsidR="00BC67D5" w:rsidRPr="00BC67D5">
              <w:t xml:space="preserve"> </w:t>
            </w:r>
            <w:r w:rsidRPr="00BC67D5">
              <w:t xml:space="preserve">Elle englobe par exemple les demandes d’opposition, de réexamen ou de limitation avant l’enregistrement. </w:t>
            </w:r>
            <w:r w:rsidR="00BC67D5" w:rsidRPr="00BC67D5">
              <w:t xml:space="preserve"> </w:t>
            </w:r>
            <w:r w:rsidRPr="00BC67D5">
              <w:t xml:space="preserve">Elle comprend également les cas où ces demandes ont été déclarées irrecevables, ont été rejetées ou ont été retirées. </w:t>
            </w:r>
            <w:r w:rsidR="00BC67D5" w:rsidRPr="00BC67D5">
              <w:t xml:space="preserve"> </w:t>
            </w:r>
            <w:r w:rsidRPr="00BC67D5">
              <w:t>Les événements relevant de cette catégorie peuvent faire passer une demande du stade de l’examen ou de l’extinction probable ou définitive au stade de la contestation avant l’enregistrement.</w:t>
            </w:r>
          </w:p>
        </w:tc>
        <w:tc>
          <w:tcPr>
            <w:tcW w:w="3685" w:type="dxa"/>
            <w:gridSpan w:val="3"/>
          </w:tcPr>
          <w:p w14:paraId="70D34F2D" w14:textId="77777777" w:rsidR="00500907" w:rsidRPr="00BC67D5" w:rsidRDefault="00500907" w:rsidP="00BC67D5">
            <w:pPr>
              <w:pStyle w:val="TableParagraph"/>
              <w:numPr>
                <w:ilvl w:val="0"/>
                <w:numId w:val="22"/>
              </w:numPr>
              <w:tabs>
                <w:tab w:val="left" w:pos="565"/>
                <w:tab w:val="left" w:pos="566"/>
              </w:tabs>
              <w:spacing w:before="120" w:after="220"/>
              <w:ind w:right="136"/>
            </w:pPr>
            <w:r w:rsidRPr="00BC67D5">
              <w:rPr>
                <w:color w:val="000000"/>
                <w:u w:val="single"/>
              </w:rPr>
              <w:t>Informations sur l’autorité décisionnaire (p. ex., le nom de l’autorité et sa catégorie, telle que tribunal national, organe de l’office</w:t>
            </w:r>
            <w:r w:rsidRPr="00BC67D5">
              <w:rPr>
                <w:strike/>
              </w:rPr>
              <w:t>Données concernant le tribunal (p. ex., nom du tribunal, organe de l’office</w:t>
            </w:r>
            <w:r w:rsidRPr="00BC67D5">
              <w:t>)</w:t>
            </w:r>
          </w:p>
          <w:p w14:paraId="632374FE" w14:textId="77777777" w:rsidR="00500907" w:rsidRPr="00BC67D5" w:rsidRDefault="00500907" w:rsidP="00BC67D5">
            <w:pPr>
              <w:pStyle w:val="TableParagraph"/>
              <w:numPr>
                <w:ilvl w:val="0"/>
                <w:numId w:val="22"/>
              </w:numPr>
              <w:tabs>
                <w:tab w:val="left" w:pos="565"/>
                <w:tab w:val="left" w:pos="566"/>
              </w:tabs>
              <w:spacing w:after="220"/>
              <w:ind w:hanging="426"/>
            </w:pPr>
            <w:r w:rsidRPr="00BC67D5">
              <w:t>Nom de la ou des parties</w:t>
            </w:r>
          </w:p>
          <w:p w14:paraId="1C0271FC" w14:textId="77777777" w:rsidR="00500907" w:rsidRPr="00BC67D5" w:rsidRDefault="00500907" w:rsidP="00BC67D5">
            <w:pPr>
              <w:pStyle w:val="TableParagraph"/>
              <w:numPr>
                <w:ilvl w:val="0"/>
                <w:numId w:val="22"/>
              </w:numPr>
              <w:tabs>
                <w:tab w:val="left" w:pos="565"/>
                <w:tab w:val="left" w:pos="566"/>
              </w:tabs>
              <w:spacing w:after="220"/>
              <w:ind w:right="249"/>
            </w:pPr>
            <w:r w:rsidRPr="00BC67D5">
              <w:t>Données relatives au(x) mandataire(s) (p. ex. nom(s) et coordonnées)</w:t>
            </w:r>
          </w:p>
          <w:p w14:paraId="1561A079" w14:textId="77777777" w:rsidR="00500907" w:rsidRPr="00BC67D5" w:rsidRDefault="00500907" w:rsidP="00BC67D5">
            <w:pPr>
              <w:pStyle w:val="TableParagraph"/>
              <w:numPr>
                <w:ilvl w:val="0"/>
                <w:numId w:val="22"/>
              </w:numPr>
              <w:tabs>
                <w:tab w:val="left" w:pos="565"/>
                <w:tab w:val="left" w:pos="566"/>
              </w:tabs>
              <w:spacing w:after="220"/>
              <w:ind w:right="108"/>
            </w:pPr>
            <w:r w:rsidRPr="00BC67D5">
              <w:t>Données relatives à la procédure de réexamen (p. ex., date, référence, langue de l’opposition)</w:t>
            </w:r>
          </w:p>
          <w:p w14:paraId="64B38A11" w14:textId="2213AF27" w:rsidR="00500907" w:rsidRPr="007C4B3E" w:rsidRDefault="00500907" w:rsidP="00BC67D5">
            <w:pPr>
              <w:pStyle w:val="TableParagraph"/>
              <w:numPr>
                <w:ilvl w:val="0"/>
                <w:numId w:val="22"/>
              </w:numPr>
              <w:tabs>
                <w:tab w:val="left" w:pos="565"/>
                <w:tab w:val="left" w:pos="566"/>
              </w:tabs>
              <w:spacing w:after="220"/>
              <w:ind w:right="108"/>
              <w:rPr>
                <w:u w:val="single"/>
              </w:rPr>
            </w:pPr>
            <w:r w:rsidRPr="00BC67D5">
              <w:rPr>
                <w:u w:val="single"/>
              </w:rPr>
              <w:t>Indicateur de droit d’utilisation antérieure</w:t>
            </w:r>
          </w:p>
        </w:tc>
      </w:tr>
      <w:tr w:rsidR="00500907" w:rsidRPr="00BC67D5" w14:paraId="679B18D9" w14:textId="77777777" w:rsidTr="00DA607F">
        <w:trPr>
          <w:trHeight w:val="613"/>
        </w:trPr>
        <w:tc>
          <w:tcPr>
            <w:tcW w:w="1130" w:type="dxa"/>
          </w:tcPr>
          <w:p w14:paraId="4EC7DA6C" w14:textId="77777777" w:rsidR="00500907" w:rsidRPr="00BC67D5" w:rsidRDefault="00500907" w:rsidP="00BC67D5">
            <w:pPr>
              <w:pStyle w:val="TableParagraph"/>
              <w:spacing w:before="120" w:after="220"/>
              <w:ind w:left="107"/>
            </w:pPr>
            <w:r w:rsidRPr="00BC67D5">
              <w:t>F</w:t>
            </w:r>
          </w:p>
        </w:tc>
        <w:tc>
          <w:tcPr>
            <w:tcW w:w="4678" w:type="dxa"/>
            <w:gridSpan w:val="3"/>
          </w:tcPr>
          <w:p w14:paraId="64134D21" w14:textId="77777777" w:rsidR="00500907" w:rsidRPr="00BC67D5" w:rsidRDefault="00500907" w:rsidP="00BC67D5">
            <w:pPr>
              <w:pStyle w:val="TableParagraph"/>
              <w:spacing w:before="120" w:after="220"/>
              <w:ind w:left="107"/>
              <w:rPr>
                <w:u w:val="single"/>
              </w:rPr>
            </w:pPr>
            <w:r w:rsidRPr="00BC67D5">
              <w:rPr>
                <w:u w:val="single"/>
              </w:rPr>
              <w:t>Enregistrement de la marque</w:t>
            </w:r>
          </w:p>
          <w:p w14:paraId="5E01A571" w14:textId="369BABC0" w:rsidR="00500907" w:rsidRPr="00BC67D5" w:rsidRDefault="00500907" w:rsidP="00BC67D5">
            <w:pPr>
              <w:pStyle w:val="TableParagraph"/>
              <w:spacing w:after="220"/>
              <w:ind w:left="107" w:right="167" w:hanging="15"/>
            </w:pPr>
            <w:r w:rsidRPr="00BC67D5">
              <w:t xml:space="preserve">Cette catégorie regroupe les événements qui se rapportent à la date d’effet de l’octroi d’un droit de propriété industrielle ou de l’inscription de la marque au registre de l’office de propriété industrielle. </w:t>
            </w:r>
            <w:r w:rsidR="00BC67D5" w:rsidRPr="00BC67D5">
              <w:t xml:space="preserve"> </w:t>
            </w:r>
            <w:r w:rsidRPr="00BC67D5">
              <w:t xml:space="preserve">Il peut s’agir par exemple de l’enregistrement d’une marque ou de l’octroi d’un droit de propriété industrielle à la suite d’un examen, d’un recours, d’un réexamen avant l’enregistrement ou de l’irrecevabilité, du rejet ou du retrait d’une demande de réexamen avant l’enregistrement. </w:t>
            </w:r>
            <w:r w:rsidR="00BC67D5" w:rsidRPr="00BC67D5">
              <w:t xml:space="preserve"> </w:t>
            </w:r>
            <w:r w:rsidRPr="00BC67D5">
              <w:t>Les événements relevant de cette catégorie peuvent faire passer une demande du stade de l’examen ou de la contestation avant l’enregistrement au stade de l’enregistrement.</w:t>
            </w:r>
          </w:p>
        </w:tc>
        <w:tc>
          <w:tcPr>
            <w:tcW w:w="3685" w:type="dxa"/>
            <w:gridSpan w:val="3"/>
          </w:tcPr>
          <w:p w14:paraId="0034BBD8" w14:textId="77777777" w:rsidR="00500907" w:rsidRPr="00BC67D5" w:rsidRDefault="00500907" w:rsidP="00BC67D5">
            <w:pPr>
              <w:pStyle w:val="TableParagraph"/>
              <w:numPr>
                <w:ilvl w:val="0"/>
                <w:numId w:val="21"/>
              </w:numPr>
              <w:tabs>
                <w:tab w:val="left" w:pos="567"/>
                <w:tab w:val="left" w:pos="568"/>
              </w:tabs>
              <w:spacing w:before="120" w:after="220"/>
              <w:ind w:hanging="433"/>
            </w:pPr>
            <w:r w:rsidRPr="00BC67D5">
              <w:t>Nom du titulaire inscrit</w:t>
            </w:r>
          </w:p>
          <w:p w14:paraId="44BA960C" w14:textId="77777777" w:rsidR="00500907" w:rsidRPr="00BC67D5" w:rsidRDefault="00500907" w:rsidP="00BC67D5">
            <w:pPr>
              <w:pStyle w:val="TableParagraph"/>
              <w:numPr>
                <w:ilvl w:val="0"/>
                <w:numId w:val="21"/>
              </w:numPr>
              <w:tabs>
                <w:tab w:val="left" w:pos="567"/>
                <w:tab w:val="left" w:pos="568"/>
              </w:tabs>
              <w:spacing w:after="220"/>
              <w:ind w:right="115"/>
            </w:pPr>
            <w:r w:rsidRPr="00BC67D5">
              <w:t>Renvoi à une décision de réexamen avant la délivrance (p. ex., ordonnance du tribunal à l’issue d’un réexamen avant la délivrance)</w:t>
            </w:r>
          </w:p>
          <w:p w14:paraId="3F282196" w14:textId="77777777" w:rsidR="00500907" w:rsidRPr="00BC67D5" w:rsidRDefault="00500907" w:rsidP="00BC67D5">
            <w:pPr>
              <w:pStyle w:val="TableParagraph"/>
              <w:numPr>
                <w:ilvl w:val="0"/>
                <w:numId w:val="21"/>
              </w:numPr>
              <w:tabs>
                <w:tab w:val="left" w:pos="567"/>
                <w:tab w:val="left" w:pos="568"/>
              </w:tabs>
              <w:spacing w:after="220"/>
              <w:ind w:hanging="433"/>
            </w:pPr>
            <w:r w:rsidRPr="00BC67D5">
              <w:t>Données relatives à la priorité</w:t>
            </w:r>
          </w:p>
          <w:p w14:paraId="0C992C4B" w14:textId="77777777" w:rsidR="00500907" w:rsidRPr="00BC67D5" w:rsidRDefault="00500907" w:rsidP="00BC67D5">
            <w:pPr>
              <w:pStyle w:val="TableParagraph"/>
              <w:numPr>
                <w:ilvl w:val="0"/>
                <w:numId w:val="21"/>
              </w:numPr>
              <w:tabs>
                <w:tab w:val="left" w:pos="567"/>
                <w:tab w:val="left" w:pos="568"/>
              </w:tabs>
              <w:spacing w:before="1" w:after="220"/>
              <w:ind w:hanging="433"/>
            </w:pPr>
            <w:r w:rsidRPr="00BC67D5">
              <w:t>Données de classement</w:t>
            </w:r>
          </w:p>
          <w:p w14:paraId="50063DB0" w14:textId="2CE90B2C" w:rsidR="00500907" w:rsidRPr="00BC67D5" w:rsidRDefault="00685043" w:rsidP="00BC67D5">
            <w:pPr>
              <w:pStyle w:val="TableParagraph"/>
              <w:numPr>
                <w:ilvl w:val="0"/>
                <w:numId w:val="21"/>
              </w:numPr>
              <w:tabs>
                <w:tab w:val="left" w:pos="567"/>
                <w:tab w:val="left" w:pos="568"/>
              </w:tabs>
              <w:spacing w:before="1" w:after="220"/>
              <w:ind w:hanging="433"/>
            </w:pPr>
            <w:r w:rsidRPr="00BC67D5">
              <w:t>T</w:t>
            </w:r>
            <w:r w:rsidR="00500907" w:rsidRPr="00BC67D5">
              <w:t>ype de marque (par exemple, marque collective)</w:t>
            </w:r>
          </w:p>
          <w:p w14:paraId="3EDD71CF" w14:textId="77777777" w:rsidR="00500907" w:rsidRPr="00BC67D5" w:rsidRDefault="00500907" w:rsidP="00BC67D5">
            <w:pPr>
              <w:pStyle w:val="TableParagraph"/>
              <w:numPr>
                <w:ilvl w:val="0"/>
                <w:numId w:val="21"/>
              </w:numPr>
              <w:tabs>
                <w:tab w:val="left" w:pos="567"/>
                <w:tab w:val="left" w:pos="568"/>
              </w:tabs>
              <w:spacing w:before="1" w:after="220"/>
              <w:ind w:hanging="433"/>
            </w:pPr>
            <w:r w:rsidRPr="00BC67D5">
              <w:t>Type de marque (par exemple, texte ou marque figurative)</w:t>
            </w:r>
          </w:p>
          <w:p w14:paraId="23C2148D" w14:textId="77777777" w:rsidR="00500907" w:rsidRPr="00BC67D5" w:rsidRDefault="00500907" w:rsidP="00BC67D5">
            <w:pPr>
              <w:pStyle w:val="TableParagraph"/>
              <w:numPr>
                <w:ilvl w:val="0"/>
                <w:numId w:val="21"/>
              </w:numPr>
              <w:tabs>
                <w:tab w:val="left" w:pos="567"/>
                <w:tab w:val="left" w:pos="568"/>
              </w:tabs>
              <w:spacing w:before="1" w:after="220"/>
              <w:ind w:hanging="433"/>
              <w:rPr>
                <w:u w:val="single"/>
              </w:rPr>
            </w:pPr>
            <w:r w:rsidRPr="00BC67D5">
              <w:tab/>
            </w:r>
            <w:r w:rsidRPr="00BC67D5">
              <w:rPr>
                <w:u w:val="single"/>
              </w:rPr>
              <w:t>Données relatives à l’enregistrement international de marque</w:t>
            </w:r>
          </w:p>
        </w:tc>
      </w:tr>
      <w:tr w:rsidR="00500907" w:rsidRPr="00BC67D5" w14:paraId="133F34BC" w14:textId="77777777" w:rsidTr="00DA607F">
        <w:trPr>
          <w:gridAfter w:val="1"/>
          <w:wAfter w:w="145" w:type="dxa"/>
          <w:trHeight w:val="554"/>
        </w:trPr>
        <w:tc>
          <w:tcPr>
            <w:tcW w:w="1130" w:type="dxa"/>
            <w:shd w:val="clear" w:color="auto" w:fill="D9D9D9"/>
          </w:tcPr>
          <w:p w14:paraId="19BF35D2" w14:textId="6A411BB8" w:rsidR="00500907" w:rsidRPr="00BC67D5" w:rsidRDefault="002153BB" w:rsidP="002153BB">
            <w:pPr>
              <w:pStyle w:val="TableParagraph"/>
              <w:keepNext/>
              <w:ind w:left="134"/>
              <w:rPr>
                <w:b/>
              </w:rPr>
            </w:pPr>
            <w:r>
              <w:rPr>
                <w:b/>
              </w:rPr>
              <w:lastRenderedPageBreak/>
              <w:t>C</w:t>
            </w:r>
            <w:r w:rsidR="00500907" w:rsidRPr="00BC67D5">
              <w:rPr>
                <w:b/>
              </w:rPr>
              <w:t>ode de catégorie</w:t>
            </w:r>
          </w:p>
        </w:tc>
        <w:tc>
          <w:tcPr>
            <w:tcW w:w="4678" w:type="dxa"/>
            <w:gridSpan w:val="3"/>
            <w:shd w:val="clear" w:color="auto" w:fill="D9D9D9"/>
          </w:tcPr>
          <w:p w14:paraId="57806B6A" w14:textId="77777777" w:rsidR="00500907" w:rsidRPr="00BC67D5" w:rsidRDefault="00500907" w:rsidP="002153BB">
            <w:pPr>
              <w:pStyle w:val="TableParagraph"/>
              <w:ind w:left="107"/>
              <w:rPr>
                <w:b/>
              </w:rPr>
            </w:pPr>
            <w:r w:rsidRPr="00BC67D5">
              <w:rPr>
                <w:b/>
              </w:rPr>
              <w:t>Titre et description de la catégorie</w:t>
            </w:r>
          </w:p>
        </w:tc>
        <w:tc>
          <w:tcPr>
            <w:tcW w:w="3540" w:type="dxa"/>
            <w:gridSpan w:val="2"/>
            <w:shd w:val="clear" w:color="auto" w:fill="D9D9D9"/>
          </w:tcPr>
          <w:p w14:paraId="74A5AF33" w14:textId="77777777" w:rsidR="00500907" w:rsidRPr="00BC67D5" w:rsidRDefault="00500907" w:rsidP="002153BB">
            <w:pPr>
              <w:pStyle w:val="TableParagraph"/>
              <w:ind w:left="106"/>
              <w:rPr>
                <w:b/>
              </w:rPr>
            </w:pPr>
            <w:r w:rsidRPr="00BC67D5">
              <w:rPr>
                <w:b/>
              </w:rPr>
              <w:t>Données supplémentaires relatives à l’événement</w:t>
            </w:r>
          </w:p>
        </w:tc>
      </w:tr>
      <w:tr w:rsidR="00500907" w:rsidRPr="00BC67D5" w14:paraId="2B55D619" w14:textId="77777777" w:rsidTr="00DA607F">
        <w:trPr>
          <w:gridAfter w:val="1"/>
          <w:wAfter w:w="145" w:type="dxa"/>
          <w:trHeight w:val="2865"/>
        </w:trPr>
        <w:tc>
          <w:tcPr>
            <w:tcW w:w="1130" w:type="dxa"/>
          </w:tcPr>
          <w:p w14:paraId="7AD6D7DA" w14:textId="77777777" w:rsidR="00500907" w:rsidRPr="00BC67D5" w:rsidRDefault="00500907" w:rsidP="007C4B3E">
            <w:pPr>
              <w:pStyle w:val="TableParagraph"/>
              <w:spacing w:before="118" w:after="120"/>
              <w:ind w:left="107"/>
            </w:pPr>
            <w:r w:rsidRPr="00BC67D5">
              <w:t>H</w:t>
            </w:r>
          </w:p>
        </w:tc>
        <w:tc>
          <w:tcPr>
            <w:tcW w:w="4678" w:type="dxa"/>
            <w:gridSpan w:val="3"/>
          </w:tcPr>
          <w:p w14:paraId="1F23B1F2" w14:textId="77777777" w:rsidR="00500907" w:rsidRPr="00BC67D5" w:rsidRDefault="00500907" w:rsidP="007C4B3E">
            <w:pPr>
              <w:pStyle w:val="TableParagraph"/>
              <w:spacing w:before="118" w:after="120"/>
              <w:ind w:left="107"/>
              <w:rPr>
                <w:u w:val="single"/>
              </w:rPr>
            </w:pPr>
            <w:r w:rsidRPr="00BC67D5">
              <w:rPr>
                <w:u w:val="single"/>
              </w:rPr>
              <w:t>Suspension du droit de propriété industrielle</w:t>
            </w:r>
          </w:p>
          <w:p w14:paraId="1D6D748D" w14:textId="07D349DC" w:rsidR="00500907" w:rsidRPr="00BC67D5" w:rsidRDefault="00500907" w:rsidP="007C4B3E">
            <w:pPr>
              <w:pStyle w:val="TableParagraph"/>
              <w:spacing w:before="1" w:after="120"/>
              <w:ind w:left="107" w:right="121" w:hanging="15"/>
            </w:pPr>
            <w:r w:rsidRPr="00BC67D5">
              <w:t xml:space="preserve">Cette catégorie regroupe les événements liés à la suspension d’un droit de propriété industrielle. </w:t>
            </w:r>
            <w:r w:rsidR="00BC67D5" w:rsidRPr="00BC67D5">
              <w:t xml:space="preserve"> </w:t>
            </w:r>
            <w:r w:rsidRPr="00BC67D5">
              <w:t xml:space="preserve">Elle englobe par exemple la suspension d’un droit de propriété industrielle à la suite d’un réexamen, d’un recours, d’un refus de rétablissement du droit, d’une déchéance ou d’une expiration. </w:t>
            </w:r>
            <w:r w:rsidR="00BC67D5" w:rsidRPr="00BC67D5">
              <w:t xml:space="preserve"> </w:t>
            </w:r>
            <w:r w:rsidRPr="00BC67D5">
              <w:t>Les événements relevant de cette catégorie peuvent faire passer un droit de propriété industrielle du stade de l’enregistrement ou de la contestation après l’enregistrement au stade de l’extinction probable ou définitive.</w:t>
            </w:r>
          </w:p>
        </w:tc>
        <w:tc>
          <w:tcPr>
            <w:tcW w:w="3540" w:type="dxa"/>
            <w:gridSpan w:val="2"/>
          </w:tcPr>
          <w:p w14:paraId="0B1D1806" w14:textId="77777777" w:rsidR="00500907" w:rsidRPr="00BC67D5" w:rsidRDefault="00500907" w:rsidP="007C4B3E">
            <w:pPr>
              <w:pStyle w:val="TableParagraph"/>
              <w:numPr>
                <w:ilvl w:val="0"/>
                <w:numId w:val="20"/>
              </w:numPr>
              <w:tabs>
                <w:tab w:val="left" w:pos="565"/>
                <w:tab w:val="left" w:pos="566"/>
              </w:tabs>
              <w:spacing w:before="118" w:after="120"/>
              <w:ind w:hanging="426"/>
            </w:pPr>
            <w:r w:rsidRPr="00BC67D5">
              <w:t>Date de début de l’effet juridique</w:t>
            </w:r>
          </w:p>
          <w:p w14:paraId="0EB5DEB8" w14:textId="77777777" w:rsidR="00500907" w:rsidRPr="00BC67D5" w:rsidRDefault="00500907" w:rsidP="007C4B3E">
            <w:pPr>
              <w:pStyle w:val="TableParagraph"/>
              <w:numPr>
                <w:ilvl w:val="0"/>
                <w:numId w:val="20"/>
              </w:numPr>
              <w:tabs>
                <w:tab w:val="left" w:pos="565"/>
                <w:tab w:val="left" w:pos="566"/>
              </w:tabs>
              <w:spacing w:after="120"/>
              <w:ind w:right="383"/>
            </w:pPr>
            <w:r w:rsidRPr="00BC67D5">
              <w:rPr>
                <w:color w:val="000000"/>
                <w:u w:val="single"/>
              </w:rPr>
              <w:t>Informations sur l’autorité décisionnaire (p. ex., le nom de l’autorité et sa catégorie, telle que tribunal national, organe de l’office)</w:t>
            </w:r>
            <w:r w:rsidRPr="00BC67D5">
              <w:rPr>
                <w:strike/>
              </w:rPr>
              <w:t xml:space="preserve"> Catégorie d’autorité décisionnaire (p. ex., tribunal national, office de propriété industrielle)</w:t>
            </w:r>
          </w:p>
          <w:p w14:paraId="658DE5F2" w14:textId="77777777" w:rsidR="00500907" w:rsidRPr="007C4B3E" w:rsidRDefault="00500907" w:rsidP="007C4B3E">
            <w:pPr>
              <w:pStyle w:val="TableParagraph"/>
              <w:numPr>
                <w:ilvl w:val="0"/>
                <w:numId w:val="20"/>
              </w:numPr>
              <w:tabs>
                <w:tab w:val="left" w:pos="565"/>
                <w:tab w:val="left" w:pos="566"/>
              </w:tabs>
              <w:spacing w:after="120"/>
              <w:ind w:hanging="426"/>
              <w:rPr>
                <w:spacing w:val="-4"/>
              </w:rPr>
            </w:pPr>
            <w:r w:rsidRPr="007C4B3E">
              <w:rPr>
                <w:spacing w:val="-4"/>
              </w:rPr>
              <w:t>Motif de non-entrée en vigueur</w:t>
            </w:r>
          </w:p>
          <w:p w14:paraId="1FEB923C" w14:textId="77777777" w:rsidR="00500907" w:rsidRPr="00BC67D5" w:rsidRDefault="00500907" w:rsidP="007C4B3E">
            <w:pPr>
              <w:pStyle w:val="TableParagraph"/>
              <w:numPr>
                <w:ilvl w:val="0"/>
                <w:numId w:val="20"/>
              </w:numPr>
              <w:tabs>
                <w:tab w:val="left" w:pos="565"/>
                <w:tab w:val="left" w:pos="566"/>
              </w:tabs>
              <w:spacing w:after="120"/>
              <w:ind w:hanging="426"/>
              <w:rPr>
                <w:strike/>
              </w:rPr>
            </w:pPr>
            <w:r w:rsidRPr="00BC67D5">
              <w:rPr>
                <w:strike/>
              </w:rPr>
              <w:t>Informations judiciaires</w:t>
            </w:r>
          </w:p>
        </w:tc>
      </w:tr>
      <w:tr w:rsidR="00500907" w:rsidRPr="00BC67D5" w14:paraId="57EC51F9" w14:textId="77777777" w:rsidTr="00DA607F">
        <w:trPr>
          <w:gridAfter w:val="1"/>
          <w:wAfter w:w="145" w:type="dxa"/>
          <w:trHeight w:val="2866"/>
        </w:trPr>
        <w:tc>
          <w:tcPr>
            <w:tcW w:w="1130" w:type="dxa"/>
          </w:tcPr>
          <w:p w14:paraId="17034FCE" w14:textId="77777777" w:rsidR="00500907" w:rsidRPr="00BC67D5" w:rsidRDefault="00500907" w:rsidP="007C4B3E">
            <w:pPr>
              <w:pStyle w:val="TableParagraph"/>
              <w:spacing w:before="120" w:after="120"/>
              <w:ind w:left="107"/>
            </w:pPr>
            <w:r w:rsidRPr="00BC67D5">
              <w:t>K</w:t>
            </w:r>
          </w:p>
        </w:tc>
        <w:tc>
          <w:tcPr>
            <w:tcW w:w="4678" w:type="dxa"/>
            <w:gridSpan w:val="3"/>
          </w:tcPr>
          <w:p w14:paraId="751959B0" w14:textId="77777777" w:rsidR="00500907" w:rsidRPr="00BC67D5" w:rsidRDefault="00500907" w:rsidP="007C4B3E">
            <w:pPr>
              <w:pStyle w:val="TableParagraph"/>
              <w:spacing w:before="120" w:after="120"/>
              <w:ind w:left="107"/>
              <w:rPr>
                <w:u w:val="single"/>
              </w:rPr>
            </w:pPr>
            <w:r w:rsidRPr="00BC67D5">
              <w:rPr>
                <w:u w:val="single"/>
              </w:rPr>
              <w:t>Réactivation du droit de propriété industrielle</w:t>
            </w:r>
          </w:p>
          <w:p w14:paraId="60588B18" w14:textId="5D11F161" w:rsidR="00500907" w:rsidRPr="00BC67D5" w:rsidRDefault="00500907" w:rsidP="007C4B3E">
            <w:pPr>
              <w:pStyle w:val="TableParagraph"/>
              <w:spacing w:after="120"/>
              <w:ind w:left="107" w:right="206" w:hanging="15"/>
            </w:pPr>
            <w:r w:rsidRPr="00BC67D5">
              <w:t xml:space="preserve">Cette catégorie regroupe les événements liés à la réactivation, au rétablissement ou à la restauration d’un droit de propriété industrielle après sa suspension. </w:t>
            </w:r>
            <w:r w:rsidR="00BC67D5" w:rsidRPr="00BC67D5">
              <w:t xml:space="preserve"> </w:t>
            </w:r>
            <w:r w:rsidRPr="00BC67D5">
              <w:t xml:space="preserve">Elle comprend par exemple la demande de réactivation et la décision de réactiver un droit de propriété industrielle, y compris à l’issue d’un recours. </w:t>
            </w:r>
            <w:r w:rsidR="00BC67D5" w:rsidRPr="00BC67D5">
              <w:t xml:space="preserve"> </w:t>
            </w:r>
            <w:r w:rsidRPr="00BC67D5">
              <w:t>Les événements relevant de cette catégorie peuvent faire passer un droit de propriété industrielle du stade de l’extinction probable ou définitive au stade de l’enregistrement ou de la contestation après l’enregistrement.</w:t>
            </w:r>
          </w:p>
        </w:tc>
        <w:tc>
          <w:tcPr>
            <w:tcW w:w="3540" w:type="dxa"/>
            <w:gridSpan w:val="2"/>
          </w:tcPr>
          <w:p w14:paraId="3FDD0D0F" w14:textId="77777777" w:rsidR="00500907" w:rsidRPr="00BC67D5" w:rsidRDefault="00500907" w:rsidP="007C4B3E">
            <w:pPr>
              <w:pStyle w:val="TableParagraph"/>
              <w:numPr>
                <w:ilvl w:val="0"/>
                <w:numId w:val="19"/>
              </w:numPr>
              <w:tabs>
                <w:tab w:val="left" w:pos="565"/>
                <w:tab w:val="left" w:pos="566"/>
              </w:tabs>
              <w:spacing w:before="118" w:after="120"/>
              <w:ind w:right="457"/>
            </w:pPr>
            <w:r w:rsidRPr="00BC67D5">
              <w:t>Catégorie de motif de rétablissement (p. ex., suite au paiement d’une taxe)</w:t>
            </w:r>
          </w:p>
          <w:p w14:paraId="34479707" w14:textId="77777777" w:rsidR="00500907" w:rsidRPr="00BC67D5" w:rsidRDefault="00500907" w:rsidP="007C4B3E">
            <w:pPr>
              <w:pStyle w:val="TableParagraph"/>
              <w:numPr>
                <w:ilvl w:val="0"/>
                <w:numId w:val="19"/>
              </w:numPr>
              <w:tabs>
                <w:tab w:val="left" w:pos="565"/>
                <w:tab w:val="left" w:pos="566"/>
              </w:tabs>
              <w:spacing w:before="1" w:after="120"/>
              <w:ind w:hanging="426"/>
            </w:pPr>
            <w:r w:rsidRPr="00BC67D5">
              <w:t>Date de cessation</w:t>
            </w:r>
          </w:p>
          <w:p w14:paraId="0ADACDDE" w14:textId="77777777" w:rsidR="00500907" w:rsidRPr="00BC67D5" w:rsidRDefault="00500907" w:rsidP="007C4B3E">
            <w:pPr>
              <w:pStyle w:val="TableParagraph"/>
              <w:numPr>
                <w:ilvl w:val="0"/>
                <w:numId w:val="19"/>
              </w:numPr>
              <w:tabs>
                <w:tab w:val="left" w:pos="565"/>
                <w:tab w:val="left" w:pos="566"/>
              </w:tabs>
              <w:spacing w:before="1" w:after="120"/>
              <w:ind w:hanging="426"/>
            </w:pPr>
            <w:r w:rsidRPr="00BC67D5">
              <w:t>Date d’expiration</w:t>
            </w:r>
          </w:p>
          <w:p w14:paraId="52B547E5" w14:textId="683324A3" w:rsidR="00500907" w:rsidRPr="00BC67D5" w:rsidRDefault="00500907" w:rsidP="007C4B3E">
            <w:pPr>
              <w:pStyle w:val="TableParagraph"/>
              <w:numPr>
                <w:ilvl w:val="0"/>
                <w:numId w:val="19"/>
              </w:numPr>
              <w:tabs>
                <w:tab w:val="left" w:pos="565"/>
                <w:tab w:val="left" w:pos="566"/>
              </w:tabs>
              <w:spacing w:before="1" w:after="120"/>
              <w:ind w:hanging="426"/>
              <w:rPr>
                <w:u w:val="single"/>
              </w:rPr>
            </w:pPr>
            <w:r w:rsidRPr="00BC67D5">
              <w:rPr>
                <w:color w:val="000000"/>
                <w:u w:val="single"/>
              </w:rPr>
              <w:t>Informations sur l’autorité décisionnaire (p. ex., le nom de l’autorité et sa catégorie, telle que tribunal national, organe de l’office</w:t>
            </w:r>
            <w:r w:rsidRPr="00BC67D5">
              <w:rPr>
                <w:u w:val="single"/>
              </w:rPr>
              <w:t>)</w:t>
            </w:r>
          </w:p>
          <w:p w14:paraId="3CB3C729" w14:textId="77777777" w:rsidR="00500907" w:rsidRPr="00BC67D5" w:rsidRDefault="00500907" w:rsidP="007C4B3E">
            <w:pPr>
              <w:pStyle w:val="TableParagraph"/>
              <w:numPr>
                <w:ilvl w:val="0"/>
                <w:numId w:val="19"/>
              </w:numPr>
              <w:tabs>
                <w:tab w:val="left" w:pos="565"/>
                <w:tab w:val="left" w:pos="566"/>
              </w:tabs>
              <w:spacing w:before="1" w:after="120"/>
              <w:ind w:hanging="426"/>
            </w:pPr>
            <w:r w:rsidRPr="00BC67D5">
              <w:rPr>
                <w:u w:val="single"/>
              </w:rPr>
              <w:t>Indicateur de droit d’utilisation antérieure</w:t>
            </w:r>
          </w:p>
        </w:tc>
      </w:tr>
      <w:tr w:rsidR="00500907" w:rsidRPr="00BC67D5" w14:paraId="3ABF14F3" w14:textId="77777777" w:rsidTr="00DA607F">
        <w:trPr>
          <w:gridAfter w:val="1"/>
          <w:wAfter w:w="145" w:type="dxa"/>
          <w:trHeight w:val="3451"/>
        </w:trPr>
        <w:tc>
          <w:tcPr>
            <w:tcW w:w="1130" w:type="dxa"/>
          </w:tcPr>
          <w:p w14:paraId="2011B4BF" w14:textId="77777777" w:rsidR="00500907" w:rsidRPr="00BC67D5" w:rsidRDefault="00500907" w:rsidP="007C4B3E">
            <w:pPr>
              <w:pStyle w:val="TableParagraph"/>
              <w:spacing w:before="118" w:after="120"/>
              <w:ind w:left="107"/>
            </w:pPr>
            <w:r w:rsidRPr="00BC67D5">
              <w:t>L</w:t>
            </w:r>
          </w:p>
        </w:tc>
        <w:tc>
          <w:tcPr>
            <w:tcW w:w="4678" w:type="dxa"/>
            <w:gridSpan w:val="3"/>
          </w:tcPr>
          <w:p w14:paraId="624FBD74" w14:textId="77777777" w:rsidR="00500907" w:rsidRPr="00BC67D5" w:rsidRDefault="00500907" w:rsidP="007C4B3E">
            <w:pPr>
              <w:pStyle w:val="TableParagraph"/>
              <w:spacing w:before="118" w:after="120"/>
              <w:ind w:left="107"/>
              <w:rPr>
                <w:u w:val="single"/>
              </w:rPr>
            </w:pPr>
            <w:r w:rsidRPr="00BC67D5">
              <w:rPr>
                <w:u w:val="single"/>
              </w:rPr>
              <w:t>Demande de réexamen du droit de propriété industrielle</w:t>
            </w:r>
          </w:p>
          <w:p w14:paraId="0883AFC7" w14:textId="79AEC04B" w:rsidR="00500907" w:rsidRPr="00BC67D5" w:rsidRDefault="00500907" w:rsidP="007C4B3E">
            <w:pPr>
              <w:pStyle w:val="TableParagraph"/>
              <w:spacing w:before="1" w:after="120"/>
              <w:ind w:left="107" w:right="150" w:hanging="15"/>
            </w:pPr>
            <w:r w:rsidRPr="00BC67D5">
              <w:t xml:space="preserve">Cette catégorie regroupe les événements liés à une demande de réexamen à la suite de l’enregistrement d’une marque ou de l’octroi d’un droit de propriété industrielle. </w:t>
            </w:r>
            <w:r w:rsidR="00BC67D5" w:rsidRPr="00BC67D5">
              <w:t xml:space="preserve"> </w:t>
            </w:r>
            <w:r w:rsidRPr="00BC67D5">
              <w:t xml:space="preserve">Elle englobe par exemple les demandes d’opposition après l’enregistrement, de réexamen après l’enregistrement, de limitation, de redélivrance, de renonciation ou d’invalidation. </w:t>
            </w:r>
            <w:r w:rsidR="00BC67D5" w:rsidRPr="00BC67D5">
              <w:t xml:space="preserve"> </w:t>
            </w:r>
            <w:r w:rsidRPr="00BC67D5">
              <w:t xml:space="preserve">Elle comprend également les cas où ces demandes ont été déclarées irrecevables, ont été rejetées ou ont été retirées. </w:t>
            </w:r>
            <w:r w:rsidR="00BC67D5" w:rsidRPr="00BC67D5">
              <w:t xml:space="preserve"> </w:t>
            </w:r>
            <w:r w:rsidRPr="00BC67D5">
              <w:t>Les événements relevant de cette catégorie peuvent faire passer un droit de propriété industrielle du stade de l’enregistrement ou de l’extinction probable ou définitive au stade de la contestation après l’enregistrement.</w:t>
            </w:r>
          </w:p>
        </w:tc>
        <w:tc>
          <w:tcPr>
            <w:tcW w:w="3540" w:type="dxa"/>
            <w:gridSpan w:val="2"/>
          </w:tcPr>
          <w:p w14:paraId="3EFB07C3" w14:textId="77777777" w:rsidR="00500907" w:rsidRPr="00BC67D5" w:rsidRDefault="00500907" w:rsidP="007C4B3E">
            <w:pPr>
              <w:pStyle w:val="TableParagraph"/>
              <w:numPr>
                <w:ilvl w:val="0"/>
                <w:numId w:val="18"/>
              </w:numPr>
              <w:tabs>
                <w:tab w:val="left" w:pos="565"/>
                <w:tab w:val="left" w:pos="566"/>
              </w:tabs>
              <w:spacing w:before="118" w:after="120"/>
              <w:ind w:hanging="426"/>
            </w:pPr>
            <w:r w:rsidRPr="00BC67D5">
              <w:t>Nom de la ou des parties</w:t>
            </w:r>
          </w:p>
          <w:p w14:paraId="35CF8B5F" w14:textId="77777777" w:rsidR="00500907" w:rsidRPr="00BC67D5" w:rsidRDefault="00500907" w:rsidP="007C4B3E">
            <w:pPr>
              <w:pStyle w:val="TableParagraph"/>
              <w:numPr>
                <w:ilvl w:val="0"/>
                <w:numId w:val="18"/>
              </w:numPr>
              <w:tabs>
                <w:tab w:val="left" w:pos="565"/>
                <w:tab w:val="left" w:pos="566"/>
              </w:tabs>
              <w:spacing w:after="120"/>
              <w:ind w:right="598"/>
            </w:pPr>
            <w:r w:rsidRPr="00BC67D5">
              <w:t>Données relatives au(x) mandataire(s) (p. ex. nom(s) et coordonnées)</w:t>
            </w:r>
          </w:p>
          <w:p w14:paraId="24CBD1C5" w14:textId="77777777" w:rsidR="00500907" w:rsidRPr="00BC67D5" w:rsidRDefault="00500907" w:rsidP="007C4B3E">
            <w:pPr>
              <w:pStyle w:val="TableParagraph"/>
              <w:numPr>
                <w:ilvl w:val="0"/>
                <w:numId w:val="18"/>
              </w:numPr>
              <w:tabs>
                <w:tab w:val="left" w:pos="565"/>
                <w:tab w:val="left" w:pos="566"/>
              </w:tabs>
              <w:spacing w:after="120"/>
              <w:ind w:right="108"/>
            </w:pPr>
            <w:r w:rsidRPr="00BC67D5">
              <w:t>Données relatives à la procédure de réexamen (p. ex., date, référence, langue de l’opposition)</w:t>
            </w:r>
          </w:p>
          <w:p w14:paraId="0D6B206D" w14:textId="77777777" w:rsidR="00500907" w:rsidRPr="00BC67D5" w:rsidRDefault="00500907" w:rsidP="007C4B3E">
            <w:pPr>
              <w:pStyle w:val="TableParagraph"/>
              <w:numPr>
                <w:ilvl w:val="0"/>
                <w:numId w:val="18"/>
              </w:numPr>
              <w:tabs>
                <w:tab w:val="left" w:pos="565"/>
                <w:tab w:val="left" w:pos="566"/>
              </w:tabs>
              <w:spacing w:after="120"/>
              <w:ind w:right="108"/>
            </w:pPr>
            <w:r w:rsidRPr="00BC67D5">
              <w:t>Motif de demande de réexamen du droit de propriété industrielle</w:t>
            </w:r>
          </w:p>
          <w:p w14:paraId="43F8CC36" w14:textId="77777777" w:rsidR="00500907" w:rsidRPr="00BC67D5" w:rsidRDefault="00500907" w:rsidP="007C4B3E">
            <w:pPr>
              <w:pStyle w:val="TableParagraph"/>
              <w:numPr>
                <w:ilvl w:val="0"/>
                <w:numId w:val="18"/>
              </w:numPr>
              <w:tabs>
                <w:tab w:val="left" w:pos="565"/>
                <w:tab w:val="left" w:pos="566"/>
              </w:tabs>
              <w:spacing w:after="120"/>
              <w:ind w:right="108"/>
              <w:rPr>
                <w:u w:val="single"/>
              </w:rPr>
            </w:pPr>
            <w:r w:rsidRPr="00BC67D5">
              <w:rPr>
                <w:color w:val="000000"/>
                <w:u w:val="single"/>
              </w:rPr>
              <w:t>Informations sur l’autorité décisionnaire (p. ex., le nom de l’autorité et sa catégorie, telle que tribunal national, organe de l’office)</w:t>
            </w:r>
          </w:p>
        </w:tc>
      </w:tr>
      <w:tr w:rsidR="00500907" w:rsidRPr="00BC67D5" w14:paraId="0EA69E7F" w14:textId="77777777" w:rsidTr="00DA607F">
        <w:trPr>
          <w:gridAfter w:val="1"/>
          <w:wAfter w:w="145" w:type="dxa"/>
          <w:trHeight w:val="689"/>
        </w:trPr>
        <w:tc>
          <w:tcPr>
            <w:tcW w:w="1130" w:type="dxa"/>
            <w:shd w:val="clear" w:color="auto" w:fill="D9D9D9"/>
          </w:tcPr>
          <w:p w14:paraId="714E7844" w14:textId="77777777" w:rsidR="00500907" w:rsidRPr="00BC67D5" w:rsidRDefault="00500907" w:rsidP="007C4B3E">
            <w:pPr>
              <w:pStyle w:val="TableParagraph"/>
              <w:spacing w:before="117" w:after="120"/>
              <w:ind w:left="134"/>
              <w:rPr>
                <w:b/>
              </w:rPr>
            </w:pPr>
            <w:r w:rsidRPr="00BC67D5">
              <w:rPr>
                <w:b/>
              </w:rPr>
              <w:lastRenderedPageBreak/>
              <w:t>Code de catégorie</w:t>
            </w:r>
          </w:p>
        </w:tc>
        <w:tc>
          <w:tcPr>
            <w:tcW w:w="4717" w:type="dxa"/>
            <w:gridSpan w:val="4"/>
            <w:shd w:val="clear" w:color="auto" w:fill="D9D9D9"/>
          </w:tcPr>
          <w:p w14:paraId="6A68AF0E" w14:textId="77777777" w:rsidR="00500907" w:rsidRPr="00BC67D5" w:rsidRDefault="00500907" w:rsidP="007C4B3E">
            <w:pPr>
              <w:pStyle w:val="TableParagraph"/>
              <w:spacing w:before="117" w:after="120"/>
              <w:ind w:left="107"/>
              <w:rPr>
                <w:b/>
              </w:rPr>
            </w:pPr>
            <w:r w:rsidRPr="00BC67D5">
              <w:rPr>
                <w:b/>
              </w:rPr>
              <w:t>Titre et description de la catégorie</w:t>
            </w:r>
          </w:p>
        </w:tc>
        <w:tc>
          <w:tcPr>
            <w:tcW w:w="3501" w:type="dxa"/>
            <w:shd w:val="clear" w:color="auto" w:fill="D9D9D9"/>
          </w:tcPr>
          <w:p w14:paraId="4D108AB8" w14:textId="77777777" w:rsidR="00500907" w:rsidRPr="00BC67D5" w:rsidRDefault="00500907" w:rsidP="007C4B3E">
            <w:pPr>
              <w:pStyle w:val="TableParagraph"/>
              <w:spacing w:before="117" w:after="120"/>
              <w:ind w:left="106"/>
              <w:rPr>
                <w:b/>
              </w:rPr>
            </w:pPr>
            <w:r w:rsidRPr="00BC67D5">
              <w:rPr>
                <w:b/>
              </w:rPr>
              <w:t>Données supplémentaires relatives à l’événement</w:t>
            </w:r>
          </w:p>
        </w:tc>
      </w:tr>
      <w:tr w:rsidR="00500907" w:rsidRPr="00BC67D5" w14:paraId="0D968FE7" w14:textId="77777777" w:rsidTr="00DA607F">
        <w:trPr>
          <w:gridAfter w:val="1"/>
          <w:wAfter w:w="145" w:type="dxa"/>
          <w:trHeight w:val="3159"/>
        </w:trPr>
        <w:tc>
          <w:tcPr>
            <w:tcW w:w="1130" w:type="dxa"/>
          </w:tcPr>
          <w:p w14:paraId="291B25F6" w14:textId="77777777" w:rsidR="00500907" w:rsidRPr="00BC67D5" w:rsidRDefault="00500907" w:rsidP="007C4B3E">
            <w:pPr>
              <w:pStyle w:val="TableParagraph"/>
              <w:spacing w:before="118" w:after="120"/>
              <w:ind w:left="107"/>
            </w:pPr>
            <w:r w:rsidRPr="00BC67D5">
              <w:t>M</w:t>
            </w:r>
          </w:p>
        </w:tc>
        <w:tc>
          <w:tcPr>
            <w:tcW w:w="4717" w:type="dxa"/>
            <w:gridSpan w:val="4"/>
          </w:tcPr>
          <w:p w14:paraId="118C0E36" w14:textId="77777777" w:rsidR="00500907" w:rsidRPr="00BC67D5" w:rsidRDefault="00500907" w:rsidP="007C4B3E">
            <w:pPr>
              <w:pStyle w:val="TableParagraph"/>
              <w:spacing w:before="118" w:after="120"/>
              <w:ind w:left="107"/>
              <w:rPr>
                <w:u w:val="single"/>
              </w:rPr>
            </w:pPr>
            <w:r w:rsidRPr="00BC67D5">
              <w:rPr>
                <w:u w:val="single"/>
              </w:rPr>
              <w:t>Maintien du droit de propriété industrielle</w:t>
            </w:r>
          </w:p>
          <w:p w14:paraId="25A8B76E" w14:textId="5648C0A1" w:rsidR="00500907" w:rsidRPr="00BC67D5" w:rsidRDefault="00500907" w:rsidP="007C4B3E">
            <w:pPr>
              <w:pStyle w:val="TableParagraph"/>
              <w:spacing w:before="1" w:after="120"/>
              <w:ind w:left="107" w:right="131" w:hanging="15"/>
            </w:pPr>
            <w:r w:rsidRPr="00BC67D5">
              <w:t xml:space="preserve">Cette catégorie regroupe les événements liés au maintien dans son intégralité ou sous une forme modifiée d’un droit de propriété industrielle octroyé, à l’issue d’une contestation après l’enregistrement. </w:t>
            </w:r>
            <w:r w:rsidR="00BC67D5" w:rsidRPr="00BC67D5">
              <w:t xml:space="preserve"> </w:t>
            </w:r>
            <w:r w:rsidRPr="00BC67D5">
              <w:t xml:space="preserve">Elle englobe par exemple un droit de propriété industrielle maintenu dans son intégralité ou sous une forme modifiée à la suite d’un renouvellement total ou partiel, d’un recours, d’un réexamen ou de l’irrecevabilité, du rejet ou du retrait d’une demande de réexamen d’un droit de propriété industrielle. </w:t>
            </w:r>
            <w:r w:rsidR="00BC67D5" w:rsidRPr="00BC67D5">
              <w:t xml:space="preserve"> </w:t>
            </w:r>
            <w:r w:rsidRPr="00BC67D5">
              <w:t>Les événements relevant de cette catégorie peuvent faire passer un droit de propriété industrielle du stade de la contestation après l’enregistrement au stade de l’enregistrement.</w:t>
            </w:r>
          </w:p>
        </w:tc>
        <w:tc>
          <w:tcPr>
            <w:tcW w:w="3501" w:type="dxa"/>
          </w:tcPr>
          <w:p w14:paraId="5491B646" w14:textId="77777777" w:rsidR="00500907" w:rsidRPr="00BC67D5" w:rsidRDefault="00500907" w:rsidP="007C4B3E">
            <w:pPr>
              <w:pStyle w:val="TableParagraph"/>
              <w:numPr>
                <w:ilvl w:val="0"/>
                <w:numId w:val="17"/>
              </w:numPr>
              <w:tabs>
                <w:tab w:val="left" w:pos="565"/>
                <w:tab w:val="left" w:pos="566"/>
              </w:tabs>
              <w:spacing w:before="118" w:after="120"/>
              <w:ind w:right="157"/>
            </w:pPr>
            <w:r w:rsidRPr="00BC67D5">
              <w:t>Données relatives au réexamen du droit de propriété industrielle (p. ex., informations sur la décision de justice)</w:t>
            </w:r>
          </w:p>
          <w:p w14:paraId="300D698A" w14:textId="77777777" w:rsidR="00500907" w:rsidRPr="00BC67D5" w:rsidRDefault="00500907" w:rsidP="007C4B3E">
            <w:pPr>
              <w:pStyle w:val="TableParagraph"/>
              <w:numPr>
                <w:ilvl w:val="0"/>
                <w:numId w:val="17"/>
              </w:numPr>
              <w:tabs>
                <w:tab w:val="left" w:pos="565"/>
                <w:tab w:val="left" w:pos="566"/>
              </w:tabs>
              <w:spacing w:before="1" w:after="120"/>
              <w:ind w:right="440"/>
            </w:pPr>
            <w:r w:rsidRPr="00BC67D5">
              <w:rPr>
                <w:color w:val="000000"/>
                <w:u w:val="single"/>
              </w:rPr>
              <w:t>Informations sur l’autorité décisionnaire (p. ex., le nom de l’autorité et sa catégorie, telle que tribunal national, organe de l’office)</w:t>
            </w:r>
            <w:r w:rsidRPr="00BC67D5">
              <w:rPr>
                <w:strike/>
              </w:rPr>
              <w:t xml:space="preserve"> Catégorie d’autorité décisionnaire (p. ex., tribunal national, office de propriété industrielle)</w:t>
            </w:r>
          </w:p>
        </w:tc>
      </w:tr>
      <w:tr w:rsidR="00500907" w:rsidRPr="00BC67D5" w14:paraId="106B1EAC" w14:textId="77777777" w:rsidTr="00DA607F">
        <w:trPr>
          <w:gridAfter w:val="1"/>
          <w:wAfter w:w="145" w:type="dxa"/>
          <w:trHeight w:val="2278"/>
        </w:trPr>
        <w:tc>
          <w:tcPr>
            <w:tcW w:w="1130" w:type="dxa"/>
          </w:tcPr>
          <w:p w14:paraId="641B504E" w14:textId="77777777" w:rsidR="00500907" w:rsidRPr="00BC67D5" w:rsidRDefault="00500907" w:rsidP="007C4B3E">
            <w:pPr>
              <w:pStyle w:val="TableParagraph"/>
              <w:spacing w:before="118" w:after="120"/>
              <w:ind w:left="107"/>
            </w:pPr>
            <w:r w:rsidRPr="00BC67D5">
              <w:t>N</w:t>
            </w:r>
          </w:p>
        </w:tc>
        <w:tc>
          <w:tcPr>
            <w:tcW w:w="4717" w:type="dxa"/>
            <w:gridSpan w:val="4"/>
          </w:tcPr>
          <w:p w14:paraId="06E4B3CE" w14:textId="77777777" w:rsidR="00500907" w:rsidRPr="00BC67D5" w:rsidRDefault="00500907" w:rsidP="007C4B3E">
            <w:pPr>
              <w:pStyle w:val="TableParagraph"/>
              <w:spacing w:before="118" w:after="120"/>
              <w:ind w:left="107"/>
              <w:rPr>
                <w:u w:val="single"/>
              </w:rPr>
            </w:pPr>
            <w:r w:rsidRPr="00BC67D5">
              <w:rPr>
                <w:u w:val="single"/>
              </w:rPr>
              <w:t>Extinction</w:t>
            </w:r>
          </w:p>
          <w:p w14:paraId="3FC949D0" w14:textId="2B0708BB" w:rsidR="00500907" w:rsidRPr="00BC67D5" w:rsidRDefault="00500907" w:rsidP="007C4B3E">
            <w:pPr>
              <w:pStyle w:val="TableParagraph"/>
              <w:spacing w:before="1" w:after="120"/>
              <w:ind w:left="107" w:right="167" w:hanging="15"/>
            </w:pPr>
            <w:r w:rsidRPr="00BC67D5">
              <w:t xml:space="preserve">Cette catégorie regroupe les événements liés à l’extinction d’une demande ou d’un droit de propriété industrielle sans possibilité de réactivation. </w:t>
            </w:r>
            <w:r w:rsidR="00BC67D5" w:rsidRPr="00BC67D5">
              <w:t xml:space="preserve"> </w:t>
            </w:r>
            <w:r w:rsidRPr="00BC67D5">
              <w:t xml:space="preserve">Elle englobe par exemple une demande ou un droit de propriété industrielle auquel il a été mis fin de manière définitive par l’office de propriété industrielle ou un tribunal. </w:t>
            </w:r>
            <w:r w:rsidR="00BC67D5" w:rsidRPr="00BC67D5">
              <w:t xml:space="preserve"> </w:t>
            </w:r>
            <w:r w:rsidRPr="00BC67D5">
              <w:t>Tous les offices de propriété industrielle ne prévoient pas les événements relevant de cette catégorie.</w:t>
            </w:r>
          </w:p>
        </w:tc>
        <w:tc>
          <w:tcPr>
            <w:tcW w:w="3501" w:type="dxa"/>
          </w:tcPr>
          <w:p w14:paraId="28218BD4" w14:textId="77777777" w:rsidR="00500907" w:rsidRPr="00BC67D5" w:rsidRDefault="00500907" w:rsidP="007C4B3E">
            <w:pPr>
              <w:pStyle w:val="TableParagraph"/>
              <w:numPr>
                <w:ilvl w:val="0"/>
                <w:numId w:val="16"/>
              </w:numPr>
              <w:tabs>
                <w:tab w:val="left" w:pos="565"/>
                <w:tab w:val="left" w:pos="566"/>
              </w:tabs>
              <w:spacing w:before="118" w:after="120"/>
              <w:ind w:hanging="426"/>
            </w:pPr>
            <w:r w:rsidRPr="00BC67D5">
              <w:t>Motif de non-entrée en vigueur</w:t>
            </w:r>
          </w:p>
          <w:p w14:paraId="29FE00A2" w14:textId="77777777" w:rsidR="00500907" w:rsidRPr="00BC67D5" w:rsidRDefault="00500907" w:rsidP="007C4B3E">
            <w:pPr>
              <w:pStyle w:val="TableParagraph"/>
              <w:numPr>
                <w:ilvl w:val="0"/>
                <w:numId w:val="16"/>
              </w:numPr>
              <w:tabs>
                <w:tab w:val="left" w:pos="565"/>
                <w:tab w:val="left" w:pos="566"/>
              </w:tabs>
              <w:spacing w:before="118" w:after="120"/>
              <w:ind w:hanging="426"/>
              <w:rPr>
                <w:u w:val="single"/>
              </w:rPr>
            </w:pPr>
            <w:r w:rsidRPr="00BC67D5">
              <w:rPr>
                <w:color w:val="000000"/>
                <w:u w:val="single"/>
              </w:rPr>
              <w:t>Informations sur l’autorité décisionnaire (p. ex., le nom de l’autorité et sa catégorie, telle que tribunal national, organe de l’office)</w:t>
            </w:r>
          </w:p>
        </w:tc>
      </w:tr>
      <w:tr w:rsidR="00500907" w:rsidRPr="00BC67D5" w14:paraId="137FFC57" w14:textId="77777777" w:rsidTr="00DA607F">
        <w:trPr>
          <w:gridAfter w:val="1"/>
          <w:wAfter w:w="145" w:type="dxa"/>
          <w:trHeight w:val="3075"/>
        </w:trPr>
        <w:tc>
          <w:tcPr>
            <w:tcW w:w="1130" w:type="dxa"/>
          </w:tcPr>
          <w:p w14:paraId="78845B76" w14:textId="77777777" w:rsidR="00500907" w:rsidRPr="00BC67D5" w:rsidRDefault="00500907" w:rsidP="007C4B3E">
            <w:pPr>
              <w:pStyle w:val="TableParagraph"/>
              <w:spacing w:before="120" w:after="120"/>
              <w:ind w:left="107"/>
            </w:pPr>
            <w:r w:rsidRPr="00BC67D5">
              <w:t>P</w:t>
            </w:r>
          </w:p>
        </w:tc>
        <w:tc>
          <w:tcPr>
            <w:tcW w:w="4717" w:type="dxa"/>
            <w:gridSpan w:val="4"/>
          </w:tcPr>
          <w:p w14:paraId="08B5B9CD" w14:textId="77777777" w:rsidR="00500907" w:rsidRPr="00BC67D5" w:rsidRDefault="00500907" w:rsidP="007C4B3E">
            <w:pPr>
              <w:pStyle w:val="TableParagraph"/>
              <w:spacing w:before="120" w:after="120"/>
              <w:ind w:left="107"/>
              <w:rPr>
                <w:u w:val="single"/>
              </w:rPr>
            </w:pPr>
            <w:r w:rsidRPr="00BC67D5">
              <w:rPr>
                <w:u w:val="single"/>
              </w:rPr>
              <w:t>Modification de document</w:t>
            </w:r>
          </w:p>
          <w:p w14:paraId="75A03EFA" w14:textId="7896CA9C" w:rsidR="00500907" w:rsidRPr="00BC67D5" w:rsidRDefault="00500907" w:rsidP="007C4B3E">
            <w:pPr>
              <w:pStyle w:val="TableParagraph"/>
              <w:spacing w:after="120"/>
              <w:ind w:left="107" w:right="121" w:hanging="15"/>
            </w:pPr>
            <w:r w:rsidRPr="00BC67D5">
              <w:t xml:space="preserve">Cette catégorie regroupe les événements liés à la modification d’une demande, d’un titre de propriété industrielle ou d’un autre document hormis les modifications survenant dans le cadre d’un réexamen avant l’enregistrement ou du réexamen du droit de propriété industrielle. </w:t>
            </w:r>
            <w:r w:rsidR="00BC67D5" w:rsidRPr="00BC67D5">
              <w:t xml:space="preserve"> </w:t>
            </w:r>
            <w:r w:rsidRPr="00BC67D5">
              <w:t xml:space="preserve">Elle englobe par exemple les modifications et corrections apportées aux demandes et aux titres de propriété industrielle. </w:t>
            </w:r>
            <w:r w:rsidR="00BC67D5" w:rsidRPr="00BC67D5">
              <w:t xml:space="preserve"> </w:t>
            </w:r>
            <w:r w:rsidRPr="00BC67D5">
              <w:t>Les événements relevant de cette catégorie peuvent survenir à tout stade du traitement.</w:t>
            </w:r>
          </w:p>
        </w:tc>
        <w:tc>
          <w:tcPr>
            <w:tcW w:w="3501" w:type="dxa"/>
          </w:tcPr>
          <w:p w14:paraId="1F9CFA2D" w14:textId="77777777" w:rsidR="00500907" w:rsidRPr="00BC67D5" w:rsidRDefault="00500907" w:rsidP="007C4B3E">
            <w:pPr>
              <w:pStyle w:val="TableParagraph"/>
              <w:numPr>
                <w:ilvl w:val="0"/>
                <w:numId w:val="15"/>
              </w:numPr>
              <w:tabs>
                <w:tab w:val="left" w:pos="565"/>
                <w:tab w:val="left" w:pos="566"/>
              </w:tabs>
              <w:spacing w:before="120" w:after="120"/>
              <w:ind w:hanging="426"/>
            </w:pPr>
            <w:r w:rsidRPr="00BC67D5">
              <w:t>Identification de la publication</w:t>
            </w:r>
          </w:p>
          <w:p w14:paraId="15EDCC9D" w14:textId="77777777" w:rsidR="00500907" w:rsidRPr="00BC67D5" w:rsidRDefault="00500907" w:rsidP="007C4B3E">
            <w:pPr>
              <w:pStyle w:val="TableParagraph"/>
              <w:numPr>
                <w:ilvl w:val="0"/>
                <w:numId w:val="15"/>
              </w:numPr>
              <w:tabs>
                <w:tab w:val="left" w:pos="565"/>
                <w:tab w:val="left" w:pos="566"/>
              </w:tabs>
              <w:spacing w:after="120"/>
              <w:ind w:right="173"/>
            </w:pPr>
            <w:r w:rsidRPr="00BC67D5">
              <w:t>Catégorie de partie de document modifiée (p. ex., un élément figuratif, classification de NICE, données bibliographiques ou une revendication de priorité)</w:t>
            </w:r>
          </w:p>
          <w:p w14:paraId="5478A2C7" w14:textId="77777777" w:rsidR="00500907" w:rsidRPr="00BC67D5" w:rsidRDefault="00500907" w:rsidP="007C4B3E">
            <w:pPr>
              <w:pStyle w:val="TableParagraph"/>
              <w:numPr>
                <w:ilvl w:val="0"/>
                <w:numId w:val="15"/>
              </w:numPr>
              <w:tabs>
                <w:tab w:val="left" w:pos="565"/>
                <w:tab w:val="left" w:pos="566"/>
              </w:tabs>
              <w:spacing w:before="1" w:after="120"/>
              <w:ind w:right="845"/>
            </w:pPr>
            <w:r w:rsidRPr="00BC67D5">
              <w:t>Catégorie de modification (p. ex., modification ou correction)</w:t>
            </w:r>
          </w:p>
          <w:p w14:paraId="0F2C5ADF" w14:textId="77777777" w:rsidR="00500907" w:rsidRPr="00BC67D5" w:rsidRDefault="00500907" w:rsidP="007C4B3E">
            <w:pPr>
              <w:pStyle w:val="TableParagraph"/>
              <w:numPr>
                <w:ilvl w:val="0"/>
                <w:numId w:val="15"/>
              </w:numPr>
              <w:tabs>
                <w:tab w:val="left" w:pos="565"/>
                <w:tab w:val="left" w:pos="566"/>
              </w:tabs>
              <w:spacing w:after="120"/>
              <w:ind w:right="419"/>
            </w:pPr>
            <w:r w:rsidRPr="00BC67D5">
              <w:t>Contenu précédemment publié (de manière indue)</w:t>
            </w:r>
          </w:p>
          <w:p w14:paraId="239E85CE" w14:textId="77777777" w:rsidR="00500907" w:rsidRPr="00BC67D5" w:rsidRDefault="00500907" w:rsidP="007C4B3E">
            <w:pPr>
              <w:pStyle w:val="TableParagraph"/>
              <w:numPr>
                <w:ilvl w:val="0"/>
                <w:numId w:val="15"/>
              </w:numPr>
              <w:tabs>
                <w:tab w:val="left" w:pos="565"/>
                <w:tab w:val="left" w:pos="566"/>
              </w:tabs>
              <w:spacing w:after="120"/>
              <w:ind w:hanging="426"/>
            </w:pPr>
            <w:r w:rsidRPr="00BC67D5">
              <w:t>Nouveau contenu (corrigé)</w:t>
            </w:r>
          </w:p>
        </w:tc>
      </w:tr>
      <w:tr w:rsidR="007C4B3E" w:rsidRPr="00BC67D5" w14:paraId="045F8A3E" w14:textId="77777777" w:rsidTr="00DA607F">
        <w:trPr>
          <w:gridAfter w:val="1"/>
          <w:wAfter w:w="145" w:type="dxa"/>
          <w:trHeight w:val="760"/>
        </w:trPr>
        <w:tc>
          <w:tcPr>
            <w:tcW w:w="1130" w:type="dxa"/>
            <w:shd w:val="clear" w:color="auto" w:fill="D9D9D9" w:themeFill="background1" w:themeFillShade="D9"/>
          </w:tcPr>
          <w:p w14:paraId="4CBAA470" w14:textId="5BC1FE55" w:rsidR="007C4B3E" w:rsidRPr="00BC67D5" w:rsidRDefault="007C4B3E" w:rsidP="007C4B3E">
            <w:pPr>
              <w:pStyle w:val="TableParagraph"/>
              <w:keepNext/>
              <w:spacing w:before="118" w:after="120"/>
              <w:ind w:left="107"/>
            </w:pPr>
            <w:r w:rsidRPr="00BC67D5">
              <w:rPr>
                <w:b/>
              </w:rPr>
              <w:lastRenderedPageBreak/>
              <w:t>Code de catégorie</w:t>
            </w:r>
          </w:p>
        </w:tc>
        <w:tc>
          <w:tcPr>
            <w:tcW w:w="4717" w:type="dxa"/>
            <w:gridSpan w:val="4"/>
            <w:shd w:val="clear" w:color="auto" w:fill="D9D9D9" w:themeFill="background1" w:themeFillShade="D9"/>
          </w:tcPr>
          <w:p w14:paraId="2F4329F1" w14:textId="3C46E9E8" w:rsidR="007C4B3E" w:rsidRPr="00BC67D5" w:rsidRDefault="007C4B3E" w:rsidP="007C4B3E">
            <w:pPr>
              <w:pStyle w:val="TableParagraph"/>
              <w:keepNext/>
              <w:spacing w:before="118" w:after="120"/>
              <w:ind w:left="107"/>
              <w:rPr>
                <w:u w:val="single"/>
              </w:rPr>
            </w:pPr>
            <w:r w:rsidRPr="00BC67D5">
              <w:rPr>
                <w:b/>
              </w:rPr>
              <w:t>Titre et description de la catégorie</w:t>
            </w:r>
          </w:p>
        </w:tc>
        <w:tc>
          <w:tcPr>
            <w:tcW w:w="3501" w:type="dxa"/>
            <w:shd w:val="clear" w:color="auto" w:fill="D9D9D9" w:themeFill="background1" w:themeFillShade="D9"/>
          </w:tcPr>
          <w:p w14:paraId="3EACC071" w14:textId="078839C2" w:rsidR="007C4B3E" w:rsidRPr="00BC67D5" w:rsidRDefault="007C4B3E" w:rsidP="007C4B3E">
            <w:pPr>
              <w:pStyle w:val="TableParagraph"/>
              <w:keepNext/>
              <w:spacing w:before="118" w:after="120"/>
              <w:ind w:left="247"/>
            </w:pPr>
            <w:r w:rsidRPr="00BC67D5">
              <w:rPr>
                <w:b/>
              </w:rPr>
              <w:t>Données supplémentaires relatives à l’événement</w:t>
            </w:r>
          </w:p>
        </w:tc>
      </w:tr>
      <w:tr w:rsidR="007C4B3E" w:rsidRPr="00BC67D5" w14:paraId="69A3EEA5" w14:textId="77777777" w:rsidTr="00DA607F">
        <w:trPr>
          <w:gridAfter w:val="1"/>
          <w:wAfter w:w="145" w:type="dxa"/>
          <w:trHeight w:val="2280"/>
        </w:trPr>
        <w:tc>
          <w:tcPr>
            <w:tcW w:w="1130" w:type="dxa"/>
          </w:tcPr>
          <w:p w14:paraId="30005A8A" w14:textId="77777777" w:rsidR="007C4B3E" w:rsidRPr="00BC67D5" w:rsidRDefault="007C4B3E" w:rsidP="007C4B3E">
            <w:pPr>
              <w:pStyle w:val="TableParagraph"/>
              <w:spacing w:before="118" w:after="120"/>
              <w:ind w:left="107"/>
            </w:pPr>
            <w:r w:rsidRPr="00BC67D5">
              <w:t>Q</w:t>
            </w:r>
          </w:p>
        </w:tc>
        <w:tc>
          <w:tcPr>
            <w:tcW w:w="4717" w:type="dxa"/>
            <w:gridSpan w:val="4"/>
          </w:tcPr>
          <w:p w14:paraId="189E3E2C" w14:textId="77777777" w:rsidR="007C4B3E" w:rsidRPr="00BC67D5" w:rsidRDefault="007C4B3E" w:rsidP="007C4B3E">
            <w:pPr>
              <w:pStyle w:val="TableParagraph"/>
              <w:spacing w:before="118" w:after="120"/>
              <w:ind w:left="107"/>
              <w:rPr>
                <w:u w:val="single"/>
              </w:rPr>
            </w:pPr>
            <w:r w:rsidRPr="00BC67D5">
              <w:rPr>
                <w:u w:val="single"/>
              </w:rPr>
              <w:t>Publication du document</w:t>
            </w:r>
          </w:p>
          <w:p w14:paraId="380B1041" w14:textId="168D6D4B" w:rsidR="007C4B3E" w:rsidRPr="00BC67D5" w:rsidRDefault="007C4B3E" w:rsidP="007C4B3E">
            <w:pPr>
              <w:pStyle w:val="TableParagraph"/>
              <w:spacing w:before="1" w:after="120"/>
              <w:ind w:left="107" w:right="206" w:hanging="21"/>
            </w:pPr>
            <w:r w:rsidRPr="00BC67D5">
              <w:t>Cette catégorie regroupe les événements liés à la publication de documents par l’office de la propriété industrielle.  Elle englobe par exemple les modifications et corrections apportées aux demandes et aux titres de propriété industrielle.  Les événements relevant de cette catégorie peuvent survenir à tout stade du traitement.</w:t>
            </w:r>
          </w:p>
        </w:tc>
        <w:tc>
          <w:tcPr>
            <w:tcW w:w="3501" w:type="dxa"/>
          </w:tcPr>
          <w:p w14:paraId="1B7B70D2" w14:textId="77777777" w:rsidR="007C4B3E" w:rsidRPr="00BC67D5" w:rsidRDefault="007C4B3E" w:rsidP="007C4B3E">
            <w:pPr>
              <w:pStyle w:val="TableParagraph"/>
              <w:numPr>
                <w:ilvl w:val="0"/>
                <w:numId w:val="14"/>
              </w:numPr>
              <w:tabs>
                <w:tab w:val="left" w:pos="565"/>
                <w:tab w:val="left" w:pos="566"/>
              </w:tabs>
              <w:spacing w:before="118" w:after="120"/>
              <w:ind w:hanging="426"/>
            </w:pPr>
            <w:r w:rsidRPr="00BC67D5">
              <w:t>Identification de la publication</w:t>
            </w:r>
          </w:p>
        </w:tc>
      </w:tr>
      <w:tr w:rsidR="00500907" w:rsidRPr="00BC67D5" w14:paraId="2214CC2A" w14:textId="77777777" w:rsidTr="00DA607F">
        <w:trPr>
          <w:gridAfter w:val="1"/>
          <w:wAfter w:w="145" w:type="dxa"/>
          <w:trHeight w:val="3660"/>
        </w:trPr>
        <w:tc>
          <w:tcPr>
            <w:tcW w:w="1130" w:type="dxa"/>
          </w:tcPr>
          <w:p w14:paraId="31C55AAF" w14:textId="77777777" w:rsidR="00500907" w:rsidRPr="00BC67D5" w:rsidRDefault="00500907" w:rsidP="007C4B3E">
            <w:pPr>
              <w:pStyle w:val="TableParagraph"/>
              <w:spacing w:before="118" w:after="120"/>
              <w:ind w:left="107"/>
            </w:pPr>
            <w:r w:rsidRPr="00BC67D5">
              <w:t>R</w:t>
            </w:r>
          </w:p>
        </w:tc>
        <w:tc>
          <w:tcPr>
            <w:tcW w:w="4717" w:type="dxa"/>
            <w:gridSpan w:val="4"/>
          </w:tcPr>
          <w:p w14:paraId="7B34AEC8" w14:textId="77777777" w:rsidR="00500907" w:rsidRPr="00BC67D5" w:rsidRDefault="00500907" w:rsidP="007C4B3E">
            <w:pPr>
              <w:pStyle w:val="TableParagraph"/>
              <w:spacing w:before="118" w:after="120"/>
              <w:ind w:left="107"/>
              <w:rPr>
                <w:u w:val="single"/>
              </w:rPr>
            </w:pPr>
            <w:r w:rsidRPr="00BC67D5">
              <w:rPr>
                <w:u w:val="single"/>
              </w:rPr>
              <w:t>Modification des données concernant les parties</w:t>
            </w:r>
          </w:p>
          <w:p w14:paraId="4D07E41F" w14:textId="59D2A25D" w:rsidR="00500907" w:rsidRPr="00BC67D5" w:rsidRDefault="00500907" w:rsidP="007C4B3E">
            <w:pPr>
              <w:pStyle w:val="TableParagraph"/>
              <w:spacing w:before="1" w:after="120"/>
              <w:ind w:left="107" w:right="159" w:hanging="21"/>
            </w:pPr>
            <w:r w:rsidRPr="00BC67D5">
              <w:t xml:space="preserve">Cette catégorie regroupe les événements liés à l’inscription par l’office de propriété industrielle de modifications apportées aux données concernant les parties. </w:t>
            </w:r>
            <w:r w:rsidR="00BC67D5" w:rsidRPr="00BC67D5">
              <w:t xml:space="preserve"> </w:t>
            </w:r>
            <w:r w:rsidRPr="00BC67D5">
              <w:t xml:space="preserve">Elle englobe par exemple l’inscription par l’office de modifications relatives à une partie concernée par la demande ou par le droit de propriété industrielle, telle que le déposant, le titulaire ou le mandataire. </w:t>
            </w:r>
            <w:r w:rsidR="00BC67D5" w:rsidRPr="00BC67D5">
              <w:t xml:space="preserve"> </w:t>
            </w:r>
            <w:r w:rsidRPr="00BC67D5">
              <w:t xml:space="preserve">Elle comprend également les événements liés à l’inscription de changements de coordonnées. </w:t>
            </w:r>
            <w:r w:rsidR="00BC67D5" w:rsidRPr="00BC67D5">
              <w:t xml:space="preserve"> </w:t>
            </w:r>
            <w:r w:rsidRPr="00BC67D5">
              <w:t>Les événements relevant de cette catégorie peuvent survenir à tout stade du traitement.</w:t>
            </w:r>
          </w:p>
        </w:tc>
        <w:tc>
          <w:tcPr>
            <w:tcW w:w="3501" w:type="dxa"/>
          </w:tcPr>
          <w:p w14:paraId="42C7496F" w14:textId="77777777" w:rsidR="00500907" w:rsidRPr="00BC67D5" w:rsidRDefault="00500907" w:rsidP="007C4B3E">
            <w:pPr>
              <w:pStyle w:val="TableParagraph"/>
              <w:numPr>
                <w:ilvl w:val="0"/>
                <w:numId w:val="13"/>
              </w:numPr>
              <w:tabs>
                <w:tab w:val="left" w:pos="565"/>
                <w:tab w:val="left" w:pos="566"/>
              </w:tabs>
              <w:spacing w:before="118" w:after="120"/>
              <w:ind w:right="307"/>
            </w:pPr>
            <w:r w:rsidRPr="00BC67D5">
              <w:t>Catégorie de modification des données relatives aux parties (p. ex., changement de propriétaire, changement de mandataire, changement de coordonnées du propriétaire, changement de coordonnées du mandataire)</w:t>
            </w:r>
          </w:p>
          <w:p w14:paraId="5D99A264" w14:textId="77777777" w:rsidR="00500907" w:rsidRPr="00BC67D5" w:rsidRDefault="00500907" w:rsidP="007C4B3E">
            <w:pPr>
              <w:pStyle w:val="TableParagraph"/>
              <w:numPr>
                <w:ilvl w:val="0"/>
                <w:numId w:val="13"/>
              </w:numPr>
              <w:tabs>
                <w:tab w:val="left" w:pos="565"/>
                <w:tab w:val="left" w:pos="566"/>
              </w:tabs>
              <w:spacing w:after="120"/>
              <w:ind w:right="343"/>
            </w:pPr>
            <w:r w:rsidRPr="00BC67D5">
              <w:t>Précédentes données relatives aux parties (p. ex., nom, coordonnées, code de pays)</w:t>
            </w:r>
          </w:p>
          <w:p w14:paraId="60B21653" w14:textId="77777777" w:rsidR="00500907" w:rsidRPr="00BC67D5" w:rsidRDefault="00500907" w:rsidP="007C4B3E">
            <w:pPr>
              <w:pStyle w:val="TableParagraph"/>
              <w:numPr>
                <w:ilvl w:val="0"/>
                <w:numId w:val="13"/>
              </w:numPr>
              <w:tabs>
                <w:tab w:val="left" w:pos="565"/>
                <w:tab w:val="left" w:pos="566"/>
              </w:tabs>
              <w:spacing w:after="120"/>
              <w:ind w:right="363"/>
            </w:pPr>
            <w:r w:rsidRPr="00BC67D5">
              <w:t>Nouvelles données relatives aux parties (p. ex., nom, coordonnées, code de pays)</w:t>
            </w:r>
          </w:p>
          <w:p w14:paraId="03DC71DD" w14:textId="77777777" w:rsidR="00500907" w:rsidRPr="00BC67D5" w:rsidRDefault="00500907" w:rsidP="007C4B3E">
            <w:pPr>
              <w:pStyle w:val="TableParagraph"/>
              <w:numPr>
                <w:ilvl w:val="0"/>
                <w:numId w:val="13"/>
              </w:numPr>
              <w:tabs>
                <w:tab w:val="left" w:pos="565"/>
                <w:tab w:val="left" w:pos="566"/>
              </w:tabs>
              <w:spacing w:after="120"/>
              <w:ind w:right="248"/>
            </w:pPr>
            <w:r w:rsidRPr="00BC67D5">
              <w:t>Données relatives au transfert de titularité (y compris numéro du document de cession)</w:t>
            </w:r>
          </w:p>
          <w:p w14:paraId="5EBE2BDB" w14:textId="77777777" w:rsidR="00500907" w:rsidRPr="00BC67D5" w:rsidRDefault="00500907" w:rsidP="007C4B3E">
            <w:pPr>
              <w:pStyle w:val="TableParagraph"/>
              <w:numPr>
                <w:ilvl w:val="0"/>
                <w:numId w:val="13"/>
              </w:numPr>
              <w:tabs>
                <w:tab w:val="left" w:pos="565"/>
                <w:tab w:val="left" w:pos="566"/>
              </w:tabs>
              <w:spacing w:after="120"/>
              <w:ind w:right="759"/>
            </w:pPr>
            <w:r w:rsidRPr="00BC67D5">
              <w:t>Détails de la procédure judiciaire (le cas échéant)</w:t>
            </w:r>
          </w:p>
          <w:p w14:paraId="40A54F0B" w14:textId="77777777" w:rsidR="00500907" w:rsidRPr="00BC67D5" w:rsidRDefault="00500907" w:rsidP="007C4B3E">
            <w:pPr>
              <w:pStyle w:val="TableParagraph"/>
              <w:numPr>
                <w:ilvl w:val="0"/>
                <w:numId w:val="13"/>
              </w:numPr>
              <w:tabs>
                <w:tab w:val="left" w:pos="565"/>
                <w:tab w:val="left" w:pos="566"/>
              </w:tabs>
              <w:spacing w:after="120"/>
              <w:ind w:right="759"/>
            </w:pPr>
            <w:r w:rsidRPr="00BC67D5">
              <w:t>Liste des produits/services transférés</w:t>
            </w:r>
          </w:p>
          <w:p w14:paraId="20D634B6" w14:textId="77777777" w:rsidR="00500907" w:rsidRPr="00BC67D5" w:rsidRDefault="00500907" w:rsidP="007C4B3E">
            <w:pPr>
              <w:pStyle w:val="TableParagraph"/>
              <w:numPr>
                <w:ilvl w:val="0"/>
                <w:numId w:val="13"/>
              </w:numPr>
              <w:tabs>
                <w:tab w:val="left" w:pos="565"/>
                <w:tab w:val="left" w:pos="566"/>
              </w:tabs>
              <w:spacing w:after="120"/>
              <w:ind w:right="759"/>
              <w:rPr>
                <w:u w:val="single"/>
              </w:rPr>
            </w:pPr>
            <w:r w:rsidRPr="00BC67D5">
              <w:rPr>
                <w:u w:val="single"/>
              </w:rPr>
              <w:t xml:space="preserve">Date de réception de la demande </w:t>
            </w:r>
          </w:p>
          <w:p w14:paraId="54B0EA2E" w14:textId="77777777" w:rsidR="00500907" w:rsidRPr="00BC67D5" w:rsidRDefault="00500907" w:rsidP="007C4B3E">
            <w:pPr>
              <w:pStyle w:val="TableParagraph"/>
              <w:numPr>
                <w:ilvl w:val="0"/>
                <w:numId w:val="13"/>
              </w:numPr>
              <w:tabs>
                <w:tab w:val="left" w:pos="565"/>
                <w:tab w:val="left" w:pos="566"/>
              </w:tabs>
              <w:spacing w:after="120"/>
              <w:ind w:right="759"/>
            </w:pPr>
            <w:r w:rsidRPr="00BC67D5">
              <w:rPr>
                <w:u w:val="single"/>
              </w:rPr>
              <w:t>Nom/coordonnées du demandeur</w:t>
            </w:r>
          </w:p>
        </w:tc>
      </w:tr>
      <w:tr w:rsidR="007C4B3E" w:rsidRPr="00BC67D5" w14:paraId="08E9322A" w14:textId="77777777" w:rsidTr="00DA607F">
        <w:trPr>
          <w:gridAfter w:val="1"/>
          <w:wAfter w:w="145" w:type="dxa"/>
          <w:trHeight w:val="477"/>
        </w:trPr>
        <w:tc>
          <w:tcPr>
            <w:tcW w:w="1130" w:type="dxa"/>
            <w:shd w:val="clear" w:color="auto" w:fill="D9D9D9" w:themeFill="background1" w:themeFillShade="D9"/>
          </w:tcPr>
          <w:p w14:paraId="5EA12F78" w14:textId="34398E52" w:rsidR="007C4B3E" w:rsidRPr="00BC67D5" w:rsidRDefault="007C4B3E" w:rsidP="00DA607F">
            <w:pPr>
              <w:pStyle w:val="TableParagraph"/>
              <w:keepNext/>
              <w:ind w:left="107"/>
            </w:pPr>
            <w:r w:rsidRPr="00BC67D5">
              <w:rPr>
                <w:b/>
              </w:rPr>
              <w:lastRenderedPageBreak/>
              <w:t>Code de catégorie</w:t>
            </w:r>
          </w:p>
        </w:tc>
        <w:tc>
          <w:tcPr>
            <w:tcW w:w="4717" w:type="dxa"/>
            <w:gridSpan w:val="4"/>
            <w:shd w:val="clear" w:color="auto" w:fill="D9D9D9" w:themeFill="background1" w:themeFillShade="D9"/>
          </w:tcPr>
          <w:p w14:paraId="68A6FC36" w14:textId="1F15AFD1" w:rsidR="007C4B3E" w:rsidRPr="00BC67D5" w:rsidRDefault="007C4B3E" w:rsidP="00DA607F">
            <w:pPr>
              <w:pStyle w:val="TableParagraph"/>
              <w:keepNext/>
              <w:ind w:left="107"/>
              <w:rPr>
                <w:u w:val="single"/>
              </w:rPr>
            </w:pPr>
            <w:r w:rsidRPr="00BC67D5">
              <w:rPr>
                <w:b/>
              </w:rPr>
              <w:t>Titre et description de la catégorie</w:t>
            </w:r>
          </w:p>
        </w:tc>
        <w:tc>
          <w:tcPr>
            <w:tcW w:w="3501" w:type="dxa"/>
            <w:shd w:val="clear" w:color="auto" w:fill="D9D9D9" w:themeFill="background1" w:themeFillShade="D9"/>
          </w:tcPr>
          <w:p w14:paraId="692699DA" w14:textId="1E06981B" w:rsidR="007C4B3E" w:rsidRPr="00BC67D5" w:rsidRDefault="007C4B3E" w:rsidP="00DA607F">
            <w:pPr>
              <w:pStyle w:val="TableParagraph"/>
              <w:keepNext/>
              <w:ind w:left="247" w:right="429"/>
            </w:pPr>
            <w:r w:rsidRPr="00BC67D5">
              <w:rPr>
                <w:b/>
              </w:rPr>
              <w:t>Données supplémentaires relatives à l’événement</w:t>
            </w:r>
          </w:p>
        </w:tc>
      </w:tr>
      <w:tr w:rsidR="007C4B3E" w:rsidRPr="00BC67D5" w14:paraId="4F296F17" w14:textId="77777777" w:rsidTr="00DA607F">
        <w:trPr>
          <w:gridAfter w:val="1"/>
          <w:wAfter w:w="145" w:type="dxa"/>
          <w:trHeight w:val="3861"/>
        </w:trPr>
        <w:tc>
          <w:tcPr>
            <w:tcW w:w="1130" w:type="dxa"/>
          </w:tcPr>
          <w:p w14:paraId="12E93EDA" w14:textId="77777777" w:rsidR="007C4B3E" w:rsidRPr="00BC67D5" w:rsidRDefault="007C4B3E" w:rsidP="00DA607F">
            <w:pPr>
              <w:pStyle w:val="TableParagraph"/>
              <w:spacing w:after="120"/>
              <w:ind w:left="107"/>
            </w:pPr>
            <w:r w:rsidRPr="00BC67D5">
              <w:t>S</w:t>
            </w:r>
          </w:p>
        </w:tc>
        <w:tc>
          <w:tcPr>
            <w:tcW w:w="4717" w:type="dxa"/>
            <w:gridSpan w:val="4"/>
          </w:tcPr>
          <w:p w14:paraId="191CF1A3" w14:textId="77777777" w:rsidR="007C4B3E" w:rsidRPr="00BC67D5" w:rsidRDefault="007C4B3E" w:rsidP="00DA607F">
            <w:pPr>
              <w:pStyle w:val="TableParagraph"/>
              <w:spacing w:after="120"/>
              <w:ind w:left="107"/>
              <w:rPr>
                <w:u w:val="single"/>
              </w:rPr>
            </w:pPr>
            <w:r w:rsidRPr="00BC67D5">
              <w:rPr>
                <w:u w:val="single"/>
              </w:rPr>
              <w:t>Informations concernant les licences</w:t>
            </w:r>
          </w:p>
          <w:p w14:paraId="6040A301" w14:textId="55EFE8EE" w:rsidR="007C4B3E" w:rsidRPr="00BC67D5" w:rsidRDefault="007C4B3E" w:rsidP="00DA607F">
            <w:pPr>
              <w:pStyle w:val="TableParagraph"/>
              <w:spacing w:after="120"/>
              <w:ind w:left="107" w:right="123" w:hanging="21"/>
            </w:pPr>
            <w:r w:rsidRPr="00BC67D5">
              <w:t>Cette catégorie regroupe les événements liés à l’inscription par l’office de propriété industrielle d’informations relatives aux licences et aux modifications apportées à ces inscriptions.  Elle englobe par exemple l’inscription par l’office de propriété industrielle du fait qu’une licence, un nantissement ou une sûreté réelle a été conclu, modifié, annulé ou cédé.  Les événements relevant de cette catégorie peuvent survenir à tout stade du traitement.</w:t>
            </w:r>
          </w:p>
        </w:tc>
        <w:tc>
          <w:tcPr>
            <w:tcW w:w="3501" w:type="dxa"/>
          </w:tcPr>
          <w:p w14:paraId="2ABA460A" w14:textId="77777777" w:rsidR="007C4B3E" w:rsidRPr="00DA607F" w:rsidRDefault="007C4B3E" w:rsidP="00DA607F">
            <w:pPr>
              <w:pStyle w:val="TableParagraph"/>
              <w:numPr>
                <w:ilvl w:val="0"/>
                <w:numId w:val="12"/>
              </w:numPr>
              <w:spacing w:after="60"/>
              <w:ind w:left="389" w:right="429" w:hanging="283"/>
              <w:rPr>
                <w:spacing w:val="-4"/>
              </w:rPr>
            </w:pPr>
            <w:r w:rsidRPr="00DA607F">
              <w:rPr>
                <w:spacing w:val="-4"/>
              </w:rPr>
              <w:t xml:space="preserve">Données concernant les licences (p. ex., numéro d’enregistrement, </w:t>
            </w:r>
            <w:r w:rsidRPr="00DA607F">
              <w:rPr>
                <w:spacing w:val="-4"/>
                <w:u w:val="single"/>
              </w:rPr>
              <w:t>numéro du document de licence,</w:t>
            </w:r>
            <w:r w:rsidRPr="00DA607F">
              <w:rPr>
                <w:spacing w:val="-4"/>
              </w:rPr>
              <w:t xml:space="preserve"> type, situation, dates de début et de fin)</w:t>
            </w:r>
          </w:p>
          <w:p w14:paraId="5B0D2F0D" w14:textId="77777777" w:rsidR="007C4B3E" w:rsidRPr="00DA607F" w:rsidRDefault="007C4B3E" w:rsidP="00DA607F">
            <w:pPr>
              <w:pStyle w:val="TableParagraph"/>
              <w:numPr>
                <w:ilvl w:val="0"/>
                <w:numId w:val="12"/>
              </w:numPr>
              <w:spacing w:after="60"/>
              <w:ind w:left="389" w:right="174" w:hanging="283"/>
              <w:rPr>
                <w:spacing w:val="-4"/>
              </w:rPr>
            </w:pPr>
            <w:r w:rsidRPr="00DA607F">
              <w:rPr>
                <w:spacing w:val="-4"/>
              </w:rPr>
              <w:t>Données relatives au donneur de licence (p. ex., nom, coordonnées, code de pays)</w:t>
            </w:r>
          </w:p>
          <w:p w14:paraId="6F77DF36" w14:textId="77777777" w:rsidR="007C4B3E" w:rsidRPr="00DA607F" w:rsidRDefault="007C4B3E" w:rsidP="00DA607F">
            <w:pPr>
              <w:pStyle w:val="TableParagraph"/>
              <w:numPr>
                <w:ilvl w:val="0"/>
                <w:numId w:val="12"/>
              </w:numPr>
              <w:spacing w:after="60"/>
              <w:ind w:left="389" w:right="135" w:hanging="283"/>
              <w:rPr>
                <w:spacing w:val="-4"/>
              </w:rPr>
            </w:pPr>
            <w:r w:rsidRPr="00DA607F">
              <w:rPr>
                <w:spacing w:val="-4"/>
              </w:rPr>
              <w:t>Données relatives au preneur de licence (p. ex., nom, coordonnées, code de pays)</w:t>
            </w:r>
          </w:p>
          <w:p w14:paraId="74ED4AE7" w14:textId="77777777" w:rsidR="007C4B3E" w:rsidRPr="00DA607F" w:rsidRDefault="007C4B3E" w:rsidP="00DA607F">
            <w:pPr>
              <w:pStyle w:val="TableParagraph"/>
              <w:numPr>
                <w:ilvl w:val="0"/>
                <w:numId w:val="12"/>
              </w:numPr>
              <w:spacing w:after="60"/>
              <w:ind w:left="389" w:right="344" w:hanging="283"/>
              <w:rPr>
                <w:spacing w:val="-4"/>
              </w:rPr>
            </w:pPr>
            <w:r w:rsidRPr="00DA607F">
              <w:rPr>
                <w:spacing w:val="-4"/>
              </w:rPr>
              <w:t>Catégorie de modification des données relatives à la licence (à savoir, les clauses qui ont été modifiées)</w:t>
            </w:r>
          </w:p>
          <w:p w14:paraId="40A9183F" w14:textId="77777777" w:rsidR="007C4B3E" w:rsidRPr="00DA607F" w:rsidRDefault="007C4B3E" w:rsidP="00DA607F">
            <w:pPr>
              <w:pStyle w:val="TableParagraph"/>
              <w:numPr>
                <w:ilvl w:val="0"/>
                <w:numId w:val="12"/>
              </w:numPr>
              <w:spacing w:after="60"/>
              <w:ind w:left="389" w:hanging="283"/>
              <w:rPr>
                <w:spacing w:val="-4"/>
              </w:rPr>
            </w:pPr>
            <w:r w:rsidRPr="00DA607F">
              <w:rPr>
                <w:spacing w:val="-4"/>
              </w:rPr>
              <w:t>Territoire sur lequel la licence est valable</w:t>
            </w:r>
          </w:p>
          <w:p w14:paraId="468DF629" w14:textId="77777777" w:rsidR="007C4B3E" w:rsidRPr="00BC67D5" w:rsidRDefault="007C4B3E" w:rsidP="00DA607F">
            <w:pPr>
              <w:pStyle w:val="TableParagraph"/>
              <w:numPr>
                <w:ilvl w:val="0"/>
                <w:numId w:val="12"/>
              </w:numPr>
              <w:spacing w:after="60"/>
              <w:ind w:left="389" w:right="844" w:hanging="283"/>
            </w:pPr>
            <w:r w:rsidRPr="00DA607F">
              <w:rPr>
                <w:spacing w:val="-4"/>
              </w:rPr>
              <w:t>Détails de la procédure judiciaire (le cas échéant)</w:t>
            </w:r>
          </w:p>
        </w:tc>
      </w:tr>
      <w:tr w:rsidR="007C4B3E" w:rsidRPr="00BC67D5" w14:paraId="151DDD39" w14:textId="77777777" w:rsidTr="00DA607F">
        <w:trPr>
          <w:gridAfter w:val="1"/>
          <w:wAfter w:w="145" w:type="dxa"/>
          <w:trHeight w:val="477"/>
        </w:trPr>
        <w:tc>
          <w:tcPr>
            <w:tcW w:w="1130" w:type="dxa"/>
          </w:tcPr>
          <w:p w14:paraId="0397AA4A" w14:textId="77777777" w:rsidR="007C4B3E" w:rsidRPr="00BC67D5" w:rsidRDefault="007C4B3E" w:rsidP="00DA607F">
            <w:pPr>
              <w:pStyle w:val="TableParagraph"/>
              <w:spacing w:after="120"/>
              <w:ind w:left="107"/>
            </w:pPr>
            <w:r w:rsidRPr="00BC67D5">
              <w:t>T</w:t>
            </w:r>
          </w:p>
        </w:tc>
        <w:tc>
          <w:tcPr>
            <w:tcW w:w="4717" w:type="dxa"/>
            <w:gridSpan w:val="4"/>
          </w:tcPr>
          <w:p w14:paraId="6C6C7FB1" w14:textId="77777777" w:rsidR="007C4B3E" w:rsidRPr="00BC67D5" w:rsidRDefault="007C4B3E" w:rsidP="00DA607F">
            <w:pPr>
              <w:pStyle w:val="TableParagraph"/>
              <w:spacing w:after="120"/>
              <w:ind w:left="107"/>
              <w:rPr>
                <w:u w:val="single"/>
              </w:rPr>
            </w:pPr>
            <w:r w:rsidRPr="00BC67D5">
              <w:rPr>
                <w:color w:val="212121"/>
                <w:u w:val="single"/>
              </w:rPr>
              <w:t>Adaptation</w:t>
            </w:r>
            <w:r w:rsidRPr="00BC67D5">
              <w:rPr>
                <w:u w:val="single"/>
              </w:rPr>
              <w:t xml:space="preserve"> de procédure administrative</w:t>
            </w:r>
          </w:p>
          <w:p w14:paraId="52D6C5A9" w14:textId="2EAA5269" w:rsidR="007C4B3E" w:rsidRPr="00BC67D5" w:rsidRDefault="007C4B3E" w:rsidP="00DA607F">
            <w:pPr>
              <w:pStyle w:val="TableParagraph"/>
              <w:spacing w:after="120"/>
              <w:ind w:left="107" w:right="135" w:hanging="15"/>
            </w:pPr>
            <w:r w:rsidRPr="00BC67D5">
              <w:t>Cette catégorie regroupe les événements liés à l’adaptation d’une procédure administrative conduite par l’office de propriété industrielle.  Elle englobe par exemple l’octroi d’une prorogation d’un délai ou la poursuite d’une procédure nécessaire.  Elle comprend également la suspension ou l’interruption d’une procédure administrative, ou la reprise d’une procédure administrative suspendue ou interrompue.  Les événements relevant de cette catégorie peuvent survenir à tout stade du traitement.</w:t>
            </w:r>
          </w:p>
        </w:tc>
        <w:tc>
          <w:tcPr>
            <w:tcW w:w="3501" w:type="dxa"/>
          </w:tcPr>
          <w:p w14:paraId="1469C701" w14:textId="77777777" w:rsidR="007C4B3E" w:rsidRPr="00BC67D5" w:rsidRDefault="007C4B3E" w:rsidP="00DA607F">
            <w:pPr>
              <w:pStyle w:val="TableParagraph"/>
              <w:numPr>
                <w:ilvl w:val="0"/>
                <w:numId w:val="11"/>
              </w:numPr>
              <w:spacing w:after="60"/>
              <w:ind w:left="389" w:right="248" w:hanging="283"/>
            </w:pPr>
            <w:r w:rsidRPr="00BC67D5">
              <w:t>Catégorie d’adaptation (p. ex., prorogation de délai, suspension, reprise, interruption, retard dans les services de communication, prorogation de droit, perturbation du travail de l’office, irrégularité de l’office)</w:t>
            </w:r>
          </w:p>
          <w:p w14:paraId="6F3F9B30" w14:textId="77777777" w:rsidR="007C4B3E" w:rsidRPr="00BC67D5" w:rsidRDefault="007C4B3E" w:rsidP="00DA607F">
            <w:pPr>
              <w:pStyle w:val="TableParagraph"/>
              <w:numPr>
                <w:ilvl w:val="0"/>
                <w:numId w:val="11"/>
              </w:numPr>
              <w:spacing w:after="60"/>
              <w:ind w:left="389" w:right="145" w:hanging="283"/>
            </w:pPr>
            <w:r w:rsidRPr="00BC67D5">
              <w:t>Motif de l’adaptation (p. ex., catastrophe naturelle, retard de l’office, retard de la justice, retard imputable au déposant ou au propriétaire)</w:t>
            </w:r>
          </w:p>
          <w:p w14:paraId="63352FEE" w14:textId="77777777" w:rsidR="007C4B3E" w:rsidRPr="00BC67D5" w:rsidRDefault="007C4B3E" w:rsidP="00DA607F">
            <w:pPr>
              <w:pStyle w:val="TableParagraph"/>
              <w:numPr>
                <w:ilvl w:val="0"/>
                <w:numId w:val="11"/>
              </w:numPr>
              <w:spacing w:after="60"/>
              <w:ind w:left="389" w:right="154" w:hanging="283"/>
            </w:pPr>
            <w:r w:rsidRPr="00BC67D5">
              <w:t>Dates de début et de fin (date à laquelle l’adaptation commence et date à laquelle elle se termine)</w:t>
            </w:r>
          </w:p>
          <w:p w14:paraId="68A877F0" w14:textId="77777777" w:rsidR="007C4B3E" w:rsidRPr="00BC67D5" w:rsidRDefault="007C4B3E" w:rsidP="00DA607F">
            <w:pPr>
              <w:pStyle w:val="TableParagraph"/>
              <w:numPr>
                <w:ilvl w:val="0"/>
                <w:numId w:val="11"/>
              </w:numPr>
              <w:spacing w:after="60"/>
              <w:ind w:left="389" w:right="154" w:hanging="283"/>
              <w:rPr>
                <w:u w:val="single"/>
              </w:rPr>
            </w:pPr>
            <w:r w:rsidRPr="00BC67D5">
              <w:rPr>
                <w:u w:val="single"/>
              </w:rPr>
              <w:t>Indicateur de droit d’utilisation antérieure</w:t>
            </w:r>
          </w:p>
          <w:p w14:paraId="220E0E6D" w14:textId="77777777" w:rsidR="007C4B3E" w:rsidRPr="00BC67D5" w:rsidRDefault="007C4B3E" w:rsidP="00DA607F">
            <w:pPr>
              <w:pStyle w:val="ListParagraph"/>
              <w:widowControl/>
              <w:numPr>
                <w:ilvl w:val="0"/>
                <w:numId w:val="11"/>
              </w:numPr>
              <w:autoSpaceDE/>
              <w:autoSpaceDN/>
              <w:spacing w:after="60"/>
              <w:ind w:left="389" w:hanging="283"/>
              <w:rPr>
                <w:rFonts w:eastAsia="Times New Roman"/>
                <w:color w:val="000000"/>
                <w:u w:val="single"/>
              </w:rPr>
            </w:pPr>
            <w:r w:rsidRPr="00BC67D5">
              <w:rPr>
                <w:color w:val="000000"/>
                <w:u w:val="single"/>
              </w:rPr>
              <w:t xml:space="preserve">Motifs du refus de l’adaptation de procédure administrative (par exemple, motifs du refus du report de l’enregistrement, motifs du refus de l’examen anticipé ou motifs du refus de la prorogation du délai) </w:t>
            </w:r>
          </w:p>
          <w:p w14:paraId="2127F63A" w14:textId="6FD9CE92" w:rsidR="007C4B3E" w:rsidRPr="007C4B3E" w:rsidRDefault="007C4B3E" w:rsidP="00DA607F">
            <w:pPr>
              <w:pStyle w:val="ListParagraph"/>
              <w:widowControl/>
              <w:numPr>
                <w:ilvl w:val="0"/>
                <w:numId w:val="11"/>
              </w:numPr>
              <w:autoSpaceDE/>
              <w:autoSpaceDN/>
              <w:spacing w:after="60"/>
              <w:ind w:left="389" w:hanging="283"/>
              <w:contextualSpacing/>
              <w:rPr>
                <w:rFonts w:eastAsia="Times New Roman"/>
                <w:color w:val="000000"/>
                <w:u w:val="single"/>
              </w:rPr>
            </w:pPr>
            <w:r w:rsidRPr="00BC67D5">
              <w:rPr>
                <w:color w:val="000000"/>
                <w:u w:val="single"/>
              </w:rPr>
              <w:t>Confirmation de l’adaptation de procédure administrative</w:t>
            </w:r>
          </w:p>
        </w:tc>
      </w:tr>
      <w:tr w:rsidR="00500907" w:rsidRPr="00BC67D5" w14:paraId="7E76A3A6" w14:textId="77777777" w:rsidTr="00DA607F">
        <w:trPr>
          <w:gridAfter w:val="1"/>
          <w:wAfter w:w="145" w:type="dxa"/>
          <w:trHeight w:val="477"/>
        </w:trPr>
        <w:tc>
          <w:tcPr>
            <w:tcW w:w="1272" w:type="dxa"/>
            <w:gridSpan w:val="2"/>
            <w:shd w:val="clear" w:color="auto" w:fill="D9D9D9"/>
          </w:tcPr>
          <w:p w14:paraId="3566DEC7" w14:textId="77777777" w:rsidR="00500907" w:rsidRPr="00BC67D5" w:rsidRDefault="00500907" w:rsidP="00DA607F">
            <w:pPr>
              <w:pStyle w:val="TableParagraph"/>
              <w:keepNext/>
              <w:ind w:left="134"/>
              <w:rPr>
                <w:b/>
              </w:rPr>
            </w:pPr>
            <w:r w:rsidRPr="00BC67D5">
              <w:rPr>
                <w:b/>
              </w:rPr>
              <w:lastRenderedPageBreak/>
              <w:t>Code de catégorie</w:t>
            </w:r>
          </w:p>
        </w:tc>
        <w:tc>
          <w:tcPr>
            <w:tcW w:w="4575" w:type="dxa"/>
            <w:gridSpan w:val="3"/>
            <w:shd w:val="clear" w:color="auto" w:fill="D9D9D9"/>
          </w:tcPr>
          <w:p w14:paraId="467D3968" w14:textId="77777777" w:rsidR="00500907" w:rsidRPr="00BC67D5" w:rsidRDefault="00500907" w:rsidP="00DA607F">
            <w:pPr>
              <w:pStyle w:val="TableParagraph"/>
              <w:keepNext/>
              <w:ind w:left="107"/>
              <w:rPr>
                <w:b/>
              </w:rPr>
            </w:pPr>
            <w:r w:rsidRPr="00BC67D5">
              <w:rPr>
                <w:b/>
              </w:rPr>
              <w:t>Titre et description de la catégorie</w:t>
            </w:r>
          </w:p>
        </w:tc>
        <w:tc>
          <w:tcPr>
            <w:tcW w:w="3501" w:type="dxa"/>
            <w:shd w:val="clear" w:color="auto" w:fill="D9D9D9"/>
          </w:tcPr>
          <w:p w14:paraId="4D101EB3" w14:textId="77777777" w:rsidR="00500907" w:rsidRPr="00BC67D5" w:rsidRDefault="00500907" w:rsidP="00DA607F">
            <w:pPr>
              <w:pStyle w:val="TableParagraph"/>
              <w:keepNext/>
              <w:ind w:left="106"/>
              <w:rPr>
                <w:b/>
              </w:rPr>
            </w:pPr>
            <w:r w:rsidRPr="00BC67D5">
              <w:rPr>
                <w:b/>
              </w:rPr>
              <w:t>Données supplémentaires relatives à l’événement</w:t>
            </w:r>
          </w:p>
        </w:tc>
      </w:tr>
      <w:tr w:rsidR="00500907" w:rsidRPr="00BC67D5" w14:paraId="2C25EEDD" w14:textId="77777777" w:rsidTr="00DA607F">
        <w:trPr>
          <w:gridAfter w:val="1"/>
          <w:wAfter w:w="145" w:type="dxa"/>
          <w:trHeight w:val="4368"/>
        </w:trPr>
        <w:tc>
          <w:tcPr>
            <w:tcW w:w="1272" w:type="dxa"/>
            <w:gridSpan w:val="2"/>
          </w:tcPr>
          <w:p w14:paraId="2871035A" w14:textId="77777777" w:rsidR="00500907" w:rsidRPr="00BC67D5" w:rsidRDefault="00500907" w:rsidP="00BC67D5">
            <w:pPr>
              <w:pStyle w:val="TableParagraph"/>
              <w:spacing w:before="118" w:after="220"/>
              <w:ind w:left="107"/>
            </w:pPr>
            <w:r w:rsidRPr="00BC67D5">
              <w:t>U</w:t>
            </w:r>
          </w:p>
        </w:tc>
        <w:tc>
          <w:tcPr>
            <w:tcW w:w="4575" w:type="dxa"/>
            <w:gridSpan w:val="3"/>
          </w:tcPr>
          <w:p w14:paraId="129A6AD7" w14:textId="77777777" w:rsidR="00500907" w:rsidRPr="00BC67D5" w:rsidRDefault="00500907" w:rsidP="00DA607F">
            <w:pPr>
              <w:pStyle w:val="TableParagraph"/>
              <w:spacing w:before="100" w:after="120"/>
              <w:ind w:left="107"/>
              <w:rPr>
                <w:u w:val="single"/>
              </w:rPr>
            </w:pPr>
            <w:r w:rsidRPr="00BC67D5">
              <w:rPr>
                <w:u w:val="single"/>
              </w:rPr>
              <w:t>Paiement</w:t>
            </w:r>
          </w:p>
          <w:p w14:paraId="5842CE60" w14:textId="42C07AAD" w:rsidR="00500907" w:rsidRPr="00BC67D5" w:rsidRDefault="00500907" w:rsidP="00BC67D5">
            <w:pPr>
              <w:pStyle w:val="TableParagraph"/>
              <w:spacing w:before="1" w:after="220"/>
              <w:ind w:left="107" w:hanging="15"/>
            </w:pPr>
            <w:r w:rsidRPr="00BC67D5">
              <w:t xml:space="preserve">Cette catégorie regroupe les événements liés au paiement de taxes. </w:t>
            </w:r>
            <w:r w:rsidR="00BC67D5" w:rsidRPr="00BC67D5">
              <w:t xml:space="preserve"> </w:t>
            </w:r>
            <w:r w:rsidRPr="00BC67D5">
              <w:t xml:space="preserve">Elle englobe par exemple le paiement d’une taxe de renouvellement, de maintien en vigueur ou de désignation. </w:t>
            </w:r>
            <w:r w:rsidR="00BC67D5" w:rsidRPr="00BC67D5">
              <w:t xml:space="preserve"> </w:t>
            </w:r>
            <w:r w:rsidRPr="00BC67D5">
              <w:t>Les événements relevant de cette catégorie peuvent survenir à tout stade du traitement.</w:t>
            </w:r>
          </w:p>
        </w:tc>
        <w:tc>
          <w:tcPr>
            <w:tcW w:w="3501" w:type="dxa"/>
          </w:tcPr>
          <w:p w14:paraId="15F41FFB" w14:textId="77777777" w:rsidR="00500907" w:rsidRPr="00BC67D5" w:rsidRDefault="00500907" w:rsidP="00BC67D5">
            <w:pPr>
              <w:pStyle w:val="TableParagraph"/>
              <w:numPr>
                <w:ilvl w:val="0"/>
                <w:numId w:val="10"/>
              </w:numPr>
              <w:tabs>
                <w:tab w:val="left" w:pos="565"/>
                <w:tab w:val="left" w:pos="566"/>
              </w:tabs>
              <w:spacing w:before="118" w:after="220"/>
              <w:ind w:right="240"/>
            </w:pPr>
            <w:r w:rsidRPr="00BC67D5">
              <w:t>Catégorie de taxe (p. ex., taxe d’enregistrement, taxe de maintien en vigueur, taxe de renouvellement, taxe de désignation)</w:t>
            </w:r>
          </w:p>
          <w:p w14:paraId="0C809035" w14:textId="77777777" w:rsidR="00500907" w:rsidRPr="00BC67D5" w:rsidRDefault="00500907" w:rsidP="00BC67D5">
            <w:pPr>
              <w:pStyle w:val="TableParagraph"/>
              <w:numPr>
                <w:ilvl w:val="0"/>
                <w:numId w:val="10"/>
              </w:numPr>
              <w:tabs>
                <w:tab w:val="left" w:pos="565"/>
                <w:tab w:val="left" w:pos="566"/>
              </w:tabs>
              <w:spacing w:before="1" w:after="220"/>
              <w:ind w:right="600"/>
            </w:pPr>
            <w:r w:rsidRPr="00BC67D5">
              <w:t>Données relatives au paiement (p. ex., statut du paiement, année de paiement de la taxe)</w:t>
            </w:r>
          </w:p>
          <w:p w14:paraId="2FB41F6A" w14:textId="77777777" w:rsidR="00500907" w:rsidRPr="00DA607F" w:rsidRDefault="00500907" w:rsidP="00DA607F">
            <w:pPr>
              <w:pStyle w:val="TableParagraph"/>
              <w:numPr>
                <w:ilvl w:val="0"/>
                <w:numId w:val="10"/>
              </w:numPr>
              <w:tabs>
                <w:tab w:val="left" w:pos="565"/>
                <w:tab w:val="left" w:pos="566"/>
              </w:tabs>
              <w:spacing w:before="1" w:after="120"/>
              <w:ind w:right="390"/>
              <w:rPr>
                <w:spacing w:val="-4"/>
              </w:rPr>
            </w:pPr>
            <w:r w:rsidRPr="00DA607F">
              <w:rPr>
                <w:spacing w:val="-4"/>
              </w:rPr>
              <w:t>Données relatives au renouvellement (p. ex., longueur du renouvellement, date d’échéance de la prochaine taxe)</w:t>
            </w:r>
          </w:p>
        </w:tc>
      </w:tr>
      <w:tr w:rsidR="00500907" w:rsidRPr="00BC67D5" w14:paraId="0D9A98BE" w14:textId="77777777" w:rsidTr="00DA607F">
        <w:trPr>
          <w:gridAfter w:val="1"/>
          <w:wAfter w:w="145" w:type="dxa"/>
          <w:trHeight w:val="4039"/>
        </w:trPr>
        <w:tc>
          <w:tcPr>
            <w:tcW w:w="1272" w:type="dxa"/>
            <w:gridSpan w:val="2"/>
          </w:tcPr>
          <w:p w14:paraId="46496775" w14:textId="77777777" w:rsidR="00500907" w:rsidRPr="00BC67D5" w:rsidRDefault="00500907" w:rsidP="00BC67D5">
            <w:pPr>
              <w:pStyle w:val="TableParagraph"/>
              <w:spacing w:before="120" w:after="220"/>
              <w:ind w:left="107"/>
            </w:pPr>
            <w:r w:rsidRPr="00BC67D5">
              <w:t>V</w:t>
            </w:r>
          </w:p>
        </w:tc>
        <w:tc>
          <w:tcPr>
            <w:tcW w:w="4575" w:type="dxa"/>
            <w:gridSpan w:val="3"/>
          </w:tcPr>
          <w:p w14:paraId="0912BECF" w14:textId="77777777" w:rsidR="00500907" w:rsidRPr="00BC67D5" w:rsidRDefault="00500907" w:rsidP="00DA607F">
            <w:pPr>
              <w:pStyle w:val="TableParagraph"/>
              <w:spacing w:before="100" w:after="120"/>
              <w:ind w:left="107"/>
              <w:rPr>
                <w:u w:val="single"/>
              </w:rPr>
            </w:pPr>
            <w:r w:rsidRPr="00BC67D5">
              <w:rPr>
                <w:u w:val="single"/>
              </w:rPr>
              <w:t>Recours</w:t>
            </w:r>
          </w:p>
          <w:p w14:paraId="327D802E" w14:textId="26791380" w:rsidR="00500907" w:rsidRPr="00BC67D5" w:rsidRDefault="00500907" w:rsidP="00DA607F">
            <w:pPr>
              <w:pStyle w:val="TableParagraph"/>
              <w:spacing w:after="120"/>
              <w:ind w:left="107" w:right="106" w:hanging="15"/>
            </w:pPr>
            <w:r w:rsidRPr="00BC67D5">
              <w:t xml:space="preserve">Cette catégorie regroupe les événements liés à un recours contre une décision prise au cours du traitement d’un droit de propriété industrielle. </w:t>
            </w:r>
            <w:r w:rsidR="00BC67D5" w:rsidRPr="00BC67D5">
              <w:t xml:space="preserve"> </w:t>
            </w:r>
            <w:r w:rsidRPr="00BC67D5">
              <w:t xml:space="preserve">Elle englobe par exemple une demande présentée par le déposant, le titulaire ou un tiers en vue d’introduire un recours administratif ou judiciaire contre toute décision prise au cours du traitement d’un droit de propriété industrielle et le résultat d’un tel recours sur la procédure. </w:t>
            </w:r>
            <w:r w:rsidR="00BC67D5" w:rsidRPr="00BC67D5">
              <w:t xml:space="preserve"> </w:t>
            </w:r>
            <w:r w:rsidRPr="00BC67D5">
              <w:t xml:space="preserve">Le résultat du recours quant au fond peut être relié à un événement relevant d’une autre catégorie, par exemple demande suspendue, demande réactivée, droit de propriété industrielle octroyé, droit de propriété industrielle suspendu ou droit de propriété industrielle maintenu. </w:t>
            </w:r>
            <w:r w:rsidR="00BC67D5" w:rsidRPr="00BC67D5">
              <w:t xml:space="preserve"> </w:t>
            </w:r>
            <w:r w:rsidRPr="00BC67D5">
              <w:t>Les événements relevant de cette catégorie peuvent survenir à tout stade du traitement.</w:t>
            </w:r>
          </w:p>
        </w:tc>
        <w:tc>
          <w:tcPr>
            <w:tcW w:w="3501" w:type="dxa"/>
          </w:tcPr>
          <w:p w14:paraId="13AB36FC" w14:textId="77777777" w:rsidR="00500907" w:rsidRPr="00BC67D5" w:rsidRDefault="00500907" w:rsidP="00BC67D5">
            <w:pPr>
              <w:pStyle w:val="TableParagraph"/>
              <w:numPr>
                <w:ilvl w:val="0"/>
                <w:numId w:val="9"/>
              </w:numPr>
              <w:tabs>
                <w:tab w:val="left" w:pos="566"/>
              </w:tabs>
              <w:spacing w:before="120" w:after="220"/>
              <w:ind w:hanging="426"/>
            </w:pPr>
            <w:r w:rsidRPr="00BC67D5">
              <w:rPr>
                <w:color w:val="000000"/>
                <w:u w:val="single"/>
              </w:rPr>
              <w:t>Informations sur l’autorité décisionnaire (p. ex., le nom de l’autorité et sa catégorie, telle que tribunal national, organe de l’office</w:t>
            </w:r>
            <w:r w:rsidRPr="00BC67D5">
              <w:t>)</w:t>
            </w:r>
            <w:r w:rsidRPr="00BC67D5">
              <w:rPr>
                <w:strike/>
              </w:rPr>
              <w:t xml:space="preserve"> Organe de recours</w:t>
            </w:r>
          </w:p>
          <w:p w14:paraId="1EE1FBA0" w14:textId="77777777" w:rsidR="00500907" w:rsidRPr="00BC67D5" w:rsidRDefault="00500907" w:rsidP="00BC67D5">
            <w:pPr>
              <w:pStyle w:val="TableParagraph"/>
              <w:numPr>
                <w:ilvl w:val="0"/>
                <w:numId w:val="9"/>
              </w:numPr>
              <w:tabs>
                <w:tab w:val="left" w:pos="566"/>
              </w:tabs>
              <w:spacing w:after="220"/>
              <w:ind w:hanging="426"/>
            </w:pPr>
            <w:r w:rsidRPr="00BC67D5">
              <w:t>Décision contestée</w:t>
            </w:r>
          </w:p>
          <w:p w14:paraId="47F8228B" w14:textId="77777777" w:rsidR="00500907" w:rsidRPr="00BC67D5" w:rsidRDefault="00500907" w:rsidP="00BC67D5">
            <w:pPr>
              <w:pStyle w:val="TableParagraph"/>
              <w:numPr>
                <w:ilvl w:val="0"/>
                <w:numId w:val="9"/>
              </w:numPr>
              <w:tabs>
                <w:tab w:val="left" w:pos="566"/>
              </w:tabs>
              <w:spacing w:before="1" w:after="220"/>
              <w:ind w:hanging="426"/>
            </w:pPr>
            <w:r w:rsidRPr="00BC67D5">
              <w:t>Détails de la décision sur le recours</w:t>
            </w:r>
          </w:p>
          <w:p w14:paraId="066FE46B" w14:textId="77777777" w:rsidR="00500907" w:rsidRPr="00BC67D5" w:rsidRDefault="00500907" w:rsidP="00BC67D5">
            <w:pPr>
              <w:pStyle w:val="TableParagraph"/>
              <w:numPr>
                <w:ilvl w:val="0"/>
                <w:numId w:val="9"/>
              </w:numPr>
              <w:tabs>
                <w:tab w:val="left" w:pos="566"/>
              </w:tabs>
              <w:spacing w:after="220"/>
              <w:ind w:hanging="426"/>
            </w:pPr>
            <w:r w:rsidRPr="00BC67D5">
              <w:t>Citation de la décision</w:t>
            </w:r>
          </w:p>
        </w:tc>
      </w:tr>
      <w:tr w:rsidR="00500907" w:rsidRPr="00BC67D5" w14:paraId="5BD0D270" w14:textId="77777777" w:rsidTr="00DA607F">
        <w:trPr>
          <w:gridAfter w:val="1"/>
          <w:wAfter w:w="145" w:type="dxa"/>
          <w:trHeight w:val="193"/>
        </w:trPr>
        <w:tc>
          <w:tcPr>
            <w:tcW w:w="1272" w:type="dxa"/>
            <w:gridSpan w:val="2"/>
          </w:tcPr>
          <w:p w14:paraId="7EE26984" w14:textId="77777777" w:rsidR="00500907" w:rsidRPr="00BC67D5" w:rsidRDefault="00500907" w:rsidP="00BC67D5">
            <w:pPr>
              <w:pStyle w:val="TableParagraph"/>
              <w:spacing w:before="118" w:after="220"/>
              <w:ind w:left="107"/>
            </w:pPr>
            <w:r w:rsidRPr="00BC67D5">
              <w:t>W</w:t>
            </w:r>
          </w:p>
        </w:tc>
        <w:tc>
          <w:tcPr>
            <w:tcW w:w="4575" w:type="dxa"/>
            <w:gridSpan w:val="3"/>
          </w:tcPr>
          <w:p w14:paraId="4EF6EB82" w14:textId="77777777" w:rsidR="00500907" w:rsidRPr="00BC67D5" w:rsidRDefault="00500907" w:rsidP="00BC67D5">
            <w:pPr>
              <w:pStyle w:val="TableParagraph"/>
              <w:spacing w:before="118" w:after="220"/>
              <w:ind w:left="107"/>
              <w:rPr>
                <w:u w:val="single"/>
              </w:rPr>
            </w:pPr>
            <w:r w:rsidRPr="00BC67D5">
              <w:rPr>
                <w:u w:val="single"/>
              </w:rPr>
              <w:t>Divers</w:t>
            </w:r>
          </w:p>
          <w:p w14:paraId="61990F8E" w14:textId="0DEDC9F4" w:rsidR="00500907" w:rsidRPr="00BC67D5" w:rsidRDefault="00500907" w:rsidP="00DA607F">
            <w:pPr>
              <w:pStyle w:val="TableParagraph"/>
              <w:spacing w:after="120"/>
              <w:ind w:left="107" w:right="121" w:hanging="15"/>
            </w:pPr>
            <w:r w:rsidRPr="00BC67D5">
              <w:t xml:space="preserve">Cette catégorie recouvre les événements qui ne peuvent pas être classés dans une autre catégorie. </w:t>
            </w:r>
            <w:r w:rsidR="00BC67D5" w:rsidRPr="00BC67D5">
              <w:t xml:space="preserve"> </w:t>
            </w:r>
            <w:r w:rsidRPr="00BC67D5">
              <w:t xml:space="preserve">Il est recommandé de l’utiliser en dernier recours pour les cas inhabituels, lorsqu’une interprétation large de la description de toutes les autres catégories ne permettrait pas de décrire </w:t>
            </w:r>
            <w:r w:rsidRPr="00DA607F">
              <w:rPr>
                <w:spacing w:val="-4"/>
              </w:rPr>
              <w:t>correctement l’événement national, régional ou international considéré (p. ex., événements relevant d’anciens systèmes ou éléments provisoires ou à caractère interne).</w:t>
            </w:r>
          </w:p>
        </w:tc>
        <w:tc>
          <w:tcPr>
            <w:tcW w:w="3501" w:type="dxa"/>
          </w:tcPr>
          <w:p w14:paraId="47F6A2D0" w14:textId="77777777" w:rsidR="00500907" w:rsidRPr="00BC67D5" w:rsidRDefault="00500907" w:rsidP="00BC67D5">
            <w:pPr>
              <w:pStyle w:val="TableParagraph"/>
              <w:numPr>
                <w:ilvl w:val="0"/>
                <w:numId w:val="8"/>
              </w:numPr>
              <w:tabs>
                <w:tab w:val="left" w:pos="566"/>
              </w:tabs>
              <w:spacing w:before="118" w:after="220"/>
              <w:ind w:right="901"/>
            </w:pPr>
            <w:r w:rsidRPr="00BC67D5">
              <w:t>Description de l’événement national, régional</w:t>
            </w:r>
          </w:p>
        </w:tc>
      </w:tr>
      <w:tr w:rsidR="00500907" w:rsidRPr="00BC67D5" w14:paraId="6530B3EC" w14:textId="77777777" w:rsidTr="00DA607F">
        <w:trPr>
          <w:gridAfter w:val="1"/>
          <w:wAfter w:w="145" w:type="dxa"/>
          <w:trHeight w:val="689"/>
        </w:trPr>
        <w:tc>
          <w:tcPr>
            <w:tcW w:w="1414" w:type="dxa"/>
            <w:gridSpan w:val="3"/>
            <w:shd w:val="clear" w:color="auto" w:fill="D9D9D9"/>
          </w:tcPr>
          <w:p w14:paraId="5039AEA8" w14:textId="5CB049A2" w:rsidR="00500907" w:rsidRPr="00BC67D5" w:rsidRDefault="00685043" w:rsidP="00BC67D5">
            <w:pPr>
              <w:pStyle w:val="TableParagraph"/>
              <w:spacing w:before="117" w:after="220"/>
              <w:ind w:left="134"/>
              <w:rPr>
                <w:b/>
              </w:rPr>
            </w:pPr>
            <w:r w:rsidRPr="00BC67D5">
              <w:rPr>
                <w:b/>
              </w:rPr>
              <w:lastRenderedPageBreak/>
              <w:t>C</w:t>
            </w:r>
            <w:r w:rsidR="00500907" w:rsidRPr="00BC67D5">
              <w:rPr>
                <w:b/>
              </w:rPr>
              <w:t>ode de catégorie</w:t>
            </w:r>
          </w:p>
        </w:tc>
        <w:tc>
          <w:tcPr>
            <w:tcW w:w="4433" w:type="dxa"/>
            <w:gridSpan w:val="2"/>
            <w:shd w:val="clear" w:color="auto" w:fill="D9D9D9"/>
          </w:tcPr>
          <w:p w14:paraId="4FEE4E07" w14:textId="77777777" w:rsidR="00500907" w:rsidRPr="00BC67D5" w:rsidRDefault="00500907" w:rsidP="00BC67D5">
            <w:pPr>
              <w:pStyle w:val="TableParagraph"/>
              <w:spacing w:before="117" w:after="220"/>
              <w:ind w:left="107"/>
              <w:rPr>
                <w:b/>
              </w:rPr>
            </w:pPr>
            <w:r w:rsidRPr="00BC67D5">
              <w:rPr>
                <w:b/>
              </w:rPr>
              <w:t>Titre et description de la catégorie</w:t>
            </w:r>
          </w:p>
        </w:tc>
        <w:tc>
          <w:tcPr>
            <w:tcW w:w="3501" w:type="dxa"/>
            <w:shd w:val="clear" w:color="auto" w:fill="D9D9D9"/>
          </w:tcPr>
          <w:p w14:paraId="04344B12" w14:textId="77777777" w:rsidR="00500907" w:rsidRPr="00BC67D5" w:rsidRDefault="00500907" w:rsidP="00BC67D5">
            <w:pPr>
              <w:pStyle w:val="TableParagraph"/>
              <w:spacing w:before="117" w:after="220"/>
              <w:ind w:left="106"/>
              <w:rPr>
                <w:b/>
              </w:rPr>
            </w:pPr>
            <w:r w:rsidRPr="00BC67D5">
              <w:rPr>
                <w:b/>
              </w:rPr>
              <w:t>Données supplémentaires relatives à l’événement</w:t>
            </w:r>
          </w:p>
        </w:tc>
      </w:tr>
      <w:tr w:rsidR="00500907" w:rsidRPr="00BC67D5" w14:paraId="56DEAD68" w14:textId="77777777" w:rsidTr="00DA607F">
        <w:trPr>
          <w:gridAfter w:val="1"/>
          <w:wAfter w:w="145" w:type="dxa"/>
          <w:trHeight w:val="3159"/>
        </w:trPr>
        <w:tc>
          <w:tcPr>
            <w:tcW w:w="1414" w:type="dxa"/>
            <w:gridSpan w:val="3"/>
          </w:tcPr>
          <w:p w14:paraId="18736264" w14:textId="77777777" w:rsidR="00500907" w:rsidRPr="00BC67D5" w:rsidRDefault="00500907" w:rsidP="00BC67D5">
            <w:pPr>
              <w:pStyle w:val="TableParagraph"/>
              <w:spacing w:before="118" w:after="220"/>
              <w:ind w:left="107"/>
            </w:pPr>
            <w:r w:rsidRPr="00BC67D5">
              <w:t>Y</w:t>
            </w:r>
          </w:p>
        </w:tc>
        <w:tc>
          <w:tcPr>
            <w:tcW w:w="4433" w:type="dxa"/>
            <w:gridSpan w:val="2"/>
          </w:tcPr>
          <w:p w14:paraId="1D926142" w14:textId="77777777" w:rsidR="00500907" w:rsidRPr="00BC67D5" w:rsidRDefault="00500907" w:rsidP="00BC67D5">
            <w:pPr>
              <w:pStyle w:val="TableParagraph"/>
              <w:spacing w:before="118" w:after="220"/>
              <w:ind w:left="107"/>
              <w:rPr>
                <w:u w:val="single"/>
              </w:rPr>
            </w:pPr>
            <w:r w:rsidRPr="00BC67D5">
              <w:rPr>
                <w:u w:val="single"/>
              </w:rPr>
              <w:t>Correction et suppression d’informations relatives aux événements</w:t>
            </w:r>
          </w:p>
          <w:p w14:paraId="78F70D64" w14:textId="41014BBE" w:rsidR="00500907" w:rsidRPr="00BC67D5" w:rsidRDefault="00500907" w:rsidP="00BC67D5">
            <w:pPr>
              <w:pStyle w:val="TableParagraph"/>
              <w:spacing w:before="1" w:after="220"/>
              <w:ind w:left="107" w:right="167" w:hanging="15"/>
            </w:pPr>
            <w:r w:rsidRPr="00BC67D5">
              <w:t xml:space="preserve">Cette catégorie regroupe les événements liés à la correction ou à la suppression d’informations erronées précédemment fournies par l’office de propriété industrielle. </w:t>
            </w:r>
            <w:r w:rsidR="00BC67D5" w:rsidRPr="00BC67D5">
              <w:t xml:space="preserve"> </w:t>
            </w:r>
            <w:r w:rsidRPr="00BC67D5">
              <w:t xml:space="preserve">Elle englobe par exemple la correction du code de situation d’une demande ou d’un droit de propriété industrielle communiqué conformément à la présente norme ou la correction ou la suppression d’un événement annoncé par erreur dans un bulletin, un registre ou une autre publication. </w:t>
            </w:r>
            <w:r w:rsidR="00BC67D5" w:rsidRPr="00BC67D5">
              <w:t xml:space="preserve"> </w:t>
            </w:r>
            <w:r w:rsidRPr="00BC67D5">
              <w:t>Les événements relevant de cette catégorie peuvent survenir à tout stade du traitement.</w:t>
            </w:r>
          </w:p>
        </w:tc>
        <w:tc>
          <w:tcPr>
            <w:tcW w:w="3501" w:type="dxa"/>
          </w:tcPr>
          <w:p w14:paraId="38C9AC17" w14:textId="77777777" w:rsidR="00500907" w:rsidRPr="00BC67D5" w:rsidRDefault="00500907" w:rsidP="00BC67D5">
            <w:pPr>
              <w:pStyle w:val="TableParagraph"/>
              <w:numPr>
                <w:ilvl w:val="0"/>
                <w:numId w:val="7"/>
              </w:numPr>
              <w:tabs>
                <w:tab w:val="left" w:pos="565"/>
                <w:tab w:val="left" w:pos="566"/>
              </w:tabs>
              <w:spacing w:before="118" w:after="220"/>
              <w:ind w:right="371"/>
            </w:pPr>
            <w:r w:rsidRPr="00BC67D5">
              <w:t>Identification de l’événement (code de situation et date;  ou identificateur unique)</w:t>
            </w:r>
          </w:p>
          <w:p w14:paraId="290C3E4E" w14:textId="77777777" w:rsidR="00500907" w:rsidRPr="00BC67D5" w:rsidRDefault="00500907" w:rsidP="00BC67D5">
            <w:pPr>
              <w:pStyle w:val="TableParagraph"/>
              <w:numPr>
                <w:ilvl w:val="0"/>
                <w:numId w:val="7"/>
              </w:numPr>
              <w:tabs>
                <w:tab w:val="left" w:pos="565"/>
                <w:tab w:val="left" w:pos="566"/>
              </w:tabs>
              <w:spacing w:before="1" w:after="220"/>
              <w:ind w:right="513"/>
            </w:pPr>
            <w:r w:rsidRPr="00BC67D5">
              <w:t>Contenu précédemment publié (de manière indue)</w:t>
            </w:r>
          </w:p>
          <w:p w14:paraId="1A2D8A71" w14:textId="77777777" w:rsidR="00500907" w:rsidRPr="00BC67D5" w:rsidRDefault="00500907" w:rsidP="00BC67D5">
            <w:pPr>
              <w:pStyle w:val="TableParagraph"/>
              <w:numPr>
                <w:ilvl w:val="0"/>
                <w:numId w:val="7"/>
              </w:numPr>
              <w:tabs>
                <w:tab w:val="left" w:pos="565"/>
                <w:tab w:val="left" w:pos="566"/>
              </w:tabs>
              <w:spacing w:before="1" w:after="220"/>
              <w:ind w:hanging="426"/>
            </w:pPr>
            <w:r w:rsidRPr="00BC67D5">
              <w:t>Nouveau contenu corrigé</w:t>
            </w:r>
          </w:p>
          <w:p w14:paraId="7EDBF1F8" w14:textId="77777777" w:rsidR="00500907" w:rsidRPr="00BC67D5" w:rsidRDefault="00500907" w:rsidP="00BC67D5">
            <w:pPr>
              <w:pStyle w:val="TableParagraph"/>
              <w:numPr>
                <w:ilvl w:val="0"/>
                <w:numId w:val="7"/>
              </w:numPr>
              <w:tabs>
                <w:tab w:val="left" w:pos="565"/>
                <w:tab w:val="left" w:pos="566"/>
              </w:tabs>
              <w:spacing w:before="1" w:after="220"/>
              <w:ind w:hanging="426"/>
              <w:rPr>
                <w:u w:val="single"/>
              </w:rPr>
            </w:pPr>
            <w:r w:rsidRPr="00BC67D5">
              <w:rPr>
                <w:u w:val="single"/>
              </w:rPr>
              <w:t>Motif de correction</w:t>
            </w:r>
          </w:p>
        </w:tc>
      </w:tr>
    </w:tbl>
    <w:p w14:paraId="664B3F35" w14:textId="77777777" w:rsidR="00500907" w:rsidRPr="004E327C" w:rsidRDefault="00500907" w:rsidP="00685043">
      <w:pPr>
        <w:pStyle w:val="BodyText"/>
        <w:spacing w:before="240"/>
        <w:ind w:right="335"/>
        <w:rPr>
          <w:u w:val="single"/>
        </w:rPr>
      </w:pPr>
      <w:r w:rsidRPr="004E327C">
        <w:rPr>
          <w:u w:val="single"/>
        </w:rPr>
        <w:t>[…]</w:t>
      </w:r>
    </w:p>
    <w:p w14:paraId="6BB5CE15" w14:textId="77777777" w:rsidR="00500907" w:rsidRPr="004E327C" w:rsidRDefault="00500907" w:rsidP="00685043">
      <w:pPr>
        <w:pStyle w:val="Endofdocument-Annex"/>
        <w:spacing w:before="720"/>
      </w:pPr>
      <w:r w:rsidRPr="004E327C">
        <w:t>[Fin de l’annexe III et du document]</w:t>
      </w:r>
    </w:p>
    <w:sectPr w:rsidR="00500907" w:rsidRPr="004E327C" w:rsidSect="00500907">
      <w:headerReference w:type="default" r:id="rId7"/>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7DD2" w14:textId="77777777" w:rsidR="00500907" w:rsidRDefault="00500907">
      <w:r>
        <w:separator/>
      </w:r>
    </w:p>
  </w:endnote>
  <w:endnote w:type="continuationSeparator" w:id="0">
    <w:p w14:paraId="54A9CC69" w14:textId="77777777" w:rsidR="00500907" w:rsidRPr="009D30E6" w:rsidRDefault="00500907" w:rsidP="00D45252">
      <w:pPr>
        <w:rPr>
          <w:sz w:val="17"/>
          <w:szCs w:val="17"/>
        </w:rPr>
      </w:pPr>
      <w:r w:rsidRPr="009D30E6">
        <w:rPr>
          <w:sz w:val="17"/>
          <w:szCs w:val="17"/>
        </w:rPr>
        <w:separator/>
      </w:r>
    </w:p>
    <w:p w14:paraId="1113C6AB" w14:textId="77777777" w:rsidR="00500907" w:rsidRPr="009D30E6" w:rsidRDefault="00500907" w:rsidP="00D45252">
      <w:pPr>
        <w:spacing w:after="60"/>
        <w:rPr>
          <w:sz w:val="17"/>
          <w:szCs w:val="17"/>
        </w:rPr>
      </w:pPr>
      <w:r w:rsidRPr="009D30E6">
        <w:rPr>
          <w:sz w:val="17"/>
          <w:szCs w:val="17"/>
        </w:rPr>
        <w:t>[Suite de la note de la page précédente]</w:t>
      </w:r>
    </w:p>
  </w:endnote>
  <w:endnote w:type="continuationNotice" w:id="1">
    <w:p w14:paraId="63A0818E" w14:textId="77777777" w:rsidR="00500907" w:rsidRPr="009D30E6" w:rsidRDefault="0050090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6E92" w14:textId="77777777" w:rsidR="00500907" w:rsidRDefault="00500907">
      <w:r>
        <w:separator/>
      </w:r>
    </w:p>
  </w:footnote>
  <w:footnote w:type="continuationSeparator" w:id="0">
    <w:p w14:paraId="2584D79E" w14:textId="77777777" w:rsidR="00500907" w:rsidRDefault="00500907" w:rsidP="007461F1">
      <w:r>
        <w:separator/>
      </w:r>
    </w:p>
    <w:p w14:paraId="7450951F" w14:textId="77777777" w:rsidR="00500907" w:rsidRPr="009D30E6" w:rsidRDefault="00500907" w:rsidP="007461F1">
      <w:pPr>
        <w:spacing w:after="60"/>
        <w:rPr>
          <w:sz w:val="17"/>
          <w:szCs w:val="17"/>
        </w:rPr>
      </w:pPr>
      <w:r w:rsidRPr="009D30E6">
        <w:rPr>
          <w:sz w:val="17"/>
          <w:szCs w:val="17"/>
        </w:rPr>
        <w:t>[Suite de la note de la page précédente]</w:t>
      </w:r>
    </w:p>
  </w:footnote>
  <w:footnote w:type="continuationNotice" w:id="1">
    <w:p w14:paraId="0B4B94FB" w14:textId="77777777" w:rsidR="00500907" w:rsidRPr="009D30E6" w:rsidRDefault="0050090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3347" w14:textId="75A54BF7" w:rsidR="00F16975" w:rsidRDefault="00500907" w:rsidP="00477D6B">
    <w:pPr>
      <w:jc w:val="right"/>
    </w:pPr>
    <w:bookmarkStart w:id="8" w:name="Code2"/>
    <w:bookmarkEnd w:id="8"/>
    <w:r>
      <w:t>CWS/12/</w:t>
    </w:r>
    <w:r w:rsidR="000E0DA3">
      <w:t>19</w:t>
    </w:r>
  </w:p>
  <w:p w14:paraId="26D4ED7B" w14:textId="6872ED99" w:rsidR="00F16975" w:rsidRDefault="00F16975" w:rsidP="00685043">
    <w:pPr>
      <w:spacing w:after="480"/>
      <w:jc w:val="right"/>
    </w:pPr>
    <w:r>
      <w:t>page</w:t>
    </w:r>
    <w:r w:rsidR="00DA607F">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2BF773A"/>
    <w:multiLevelType w:val="hybridMultilevel"/>
    <w:tmpl w:val="F67EF9C8"/>
    <w:lvl w:ilvl="0" w:tplc="1606475E">
      <w:start w:val="1"/>
      <w:numFmt w:val="decimal"/>
      <w:lvlText w:val="%1."/>
      <w:lvlJc w:val="left"/>
      <w:pPr>
        <w:ind w:left="567" w:hanging="432"/>
      </w:pPr>
      <w:rPr>
        <w:rFonts w:ascii="Arial" w:eastAsia="Arial" w:hAnsi="Arial" w:cs="Arial" w:hint="default"/>
        <w:b w:val="0"/>
        <w:bCs w:val="0"/>
        <w:i w:val="0"/>
        <w:iCs w:val="0"/>
        <w:w w:val="100"/>
        <w:sz w:val="22"/>
        <w:szCs w:val="22"/>
        <w:lang w:val="en-US" w:eastAsia="en-US" w:bidi="ar-SA"/>
      </w:rPr>
    </w:lvl>
    <w:lvl w:ilvl="1" w:tplc="BB04FA0E">
      <w:numFmt w:val="bullet"/>
      <w:lvlText w:val="•"/>
      <w:lvlJc w:val="left"/>
      <w:pPr>
        <w:ind w:left="853" w:hanging="432"/>
      </w:pPr>
      <w:rPr>
        <w:rFonts w:hint="default"/>
        <w:lang w:val="en-US" w:eastAsia="en-US" w:bidi="ar-SA"/>
      </w:rPr>
    </w:lvl>
    <w:lvl w:ilvl="2" w:tplc="94645D4C">
      <w:numFmt w:val="bullet"/>
      <w:lvlText w:val="•"/>
      <w:lvlJc w:val="left"/>
      <w:pPr>
        <w:ind w:left="1146" w:hanging="432"/>
      </w:pPr>
      <w:rPr>
        <w:rFonts w:hint="default"/>
        <w:lang w:val="en-US" w:eastAsia="en-US" w:bidi="ar-SA"/>
      </w:rPr>
    </w:lvl>
    <w:lvl w:ilvl="3" w:tplc="A78E6C7C">
      <w:numFmt w:val="bullet"/>
      <w:lvlText w:val="•"/>
      <w:lvlJc w:val="left"/>
      <w:pPr>
        <w:ind w:left="1439" w:hanging="432"/>
      </w:pPr>
      <w:rPr>
        <w:rFonts w:hint="default"/>
        <w:lang w:val="en-US" w:eastAsia="en-US" w:bidi="ar-SA"/>
      </w:rPr>
    </w:lvl>
    <w:lvl w:ilvl="4" w:tplc="666CC284">
      <w:numFmt w:val="bullet"/>
      <w:lvlText w:val="•"/>
      <w:lvlJc w:val="left"/>
      <w:pPr>
        <w:ind w:left="1732" w:hanging="432"/>
      </w:pPr>
      <w:rPr>
        <w:rFonts w:hint="default"/>
        <w:lang w:val="en-US" w:eastAsia="en-US" w:bidi="ar-SA"/>
      </w:rPr>
    </w:lvl>
    <w:lvl w:ilvl="5" w:tplc="F9FCCCCE">
      <w:numFmt w:val="bullet"/>
      <w:lvlText w:val="•"/>
      <w:lvlJc w:val="left"/>
      <w:pPr>
        <w:ind w:left="2025" w:hanging="432"/>
      </w:pPr>
      <w:rPr>
        <w:rFonts w:hint="default"/>
        <w:lang w:val="en-US" w:eastAsia="en-US" w:bidi="ar-SA"/>
      </w:rPr>
    </w:lvl>
    <w:lvl w:ilvl="6" w:tplc="AB08F504">
      <w:numFmt w:val="bullet"/>
      <w:lvlText w:val="•"/>
      <w:lvlJc w:val="left"/>
      <w:pPr>
        <w:ind w:left="2318" w:hanging="432"/>
      </w:pPr>
      <w:rPr>
        <w:rFonts w:hint="default"/>
        <w:lang w:val="en-US" w:eastAsia="en-US" w:bidi="ar-SA"/>
      </w:rPr>
    </w:lvl>
    <w:lvl w:ilvl="7" w:tplc="218E95C4">
      <w:numFmt w:val="bullet"/>
      <w:lvlText w:val="•"/>
      <w:lvlJc w:val="left"/>
      <w:pPr>
        <w:ind w:left="2611" w:hanging="432"/>
      </w:pPr>
      <w:rPr>
        <w:rFonts w:hint="default"/>
        <w:lang w:val="en-US" w:eastAsia="en-US" w:bidi="ar-SA"/>
      </w:rPr>
    </w:lvl>
    <w:lvl w:ilvl="8" w:tplc="2084E4EA">
      <w:numFmt w:val="bullet"/>
      <w:lvlText w:val="•"/>
      <w:lvlJc w:val="left"/>
      <w:pPr>
        <w:ind w:left="2904" w:hanging="432"/>
      </w:pPr>
      <w:rPr>
        <w:rFonts w:hint="default"/>
        <w:lang w:val="en-US" w:eastAsia="en-US" w:bidi="ar-SA"/>
      </w:rPr>
    </w:lvl>
  </w:abstractNum>
  <w:abstractNum w:abstractNumId="2" w15:restartNumberingAfterBreak="0">
    <w:nsid w:val="03E7596E"/>
    <w:multiLevelType w:val="hybridMultilevel"/>
    <w:tmpl w:val="59546794"/>
    <w:lvl w:ilvl="0" w:tplc="FF9A4B4A">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B3A43CE0">
      <w:numFmt w:val="bullet"/>
      <w:lvlText w:val="•"/>
      <w:lvlJc w:val="left"/>
      <w:pPr>
        <w:ind w:left="853" w:hanging="425"/>
      </w:pPr>
      <w:rPr>
        <w:rFonts w:hint="default"/>
        <w:lang w:val="en-US" w:eastAsia="en-US" w:bidi="ar-SA"/>
      </w:rPr>
    </w:lvl>
    <w:lvl w:ilvl="2" w:tplc="C14ACBA6">
      <w:numFmt w:val="bullet"/>
      <w:lvlText w:val="•"/>
      <w:lvlJc w:val="left"/>
      <w:pPr>
        <w:ind w:left="1146" w:hanging="425"/>
      </w:pPr>
      <w:rPr>
        <w:rFonts w:hint="default"/>
        <w:lang w:val="en-US" w:eastAsia="en-US" w:bidi="ar-SA"/>
      </w:rPr>
    </w:lvl>
    <w:lvl w:ilvl="3" w:tplc="131C66DA">
      <w:numFmt w:val="bullet"/>
      <w:lvlText w:val="•"/>
      <w:lvlJc w:val="left"/>
      <w:pPr>
        <w:ind w:left="1439" w:hanging="425"/>
      </w:pPr>
      <w:rPr>
        <w:rFonts w:hint="default"/>
        <w:lang w:val="en-US" w:eastAsia="en-US" w:bidi="ar-SA"/>
      </w:rPr>
    </w:lvl>
    <w:lvl w:ilvl="4" w:tplc="1938B856">
      <w:numFmt w:val="bullet"/>
      <w:lvlText w:val="•"/>
      <w:lvlJc w:val="left"/>
      <w:pPr>
        <w:ind w:left="1732" w:hanging="425"/>
      </w:pPr>
      <w:rPr>
        <w:rFonts w:hint="default"/>
        <w:lang w:val="en-US" w:eastAsia="en-US" w:bidi="ar-SA"/>
      </w:rPr>
    </w:lvl>
    <w:lvl w:ilvl="5" w:tplc="3252BAA6">
      <w:numFmt w:val="bullet"/>
      <w:lvlText w:val="•"/>
      <w:lvlJc w:val="left"/>
      <w:pPr>
        <w:ind w:left="2025" w:hanging="425"/>
      </w:pPr>
      <w:rPr>
        <w:rFonts w:hint="default"/>
        <w:lang w:val="en-US" w:eastAsia="en-US" w:bidi="ar-SA"/>
      </w:rPr>
    </w:lvl>
    <w:lvl w:ilvl="6" w:tplc="F5B6F904">
      <w:numFmt w:val="bullet"/>
      <w:lvlText w:val="•"/>
      <w:lvlJc w:val="left"/>
      <w:pPr>
        <w:ind w:left="2318" w:hanging="425"/>
      </w:pPr>
      <w:rPr>
        <w:rFonts w:hint="default"/>
        <w:lang w:val="en-US" w:eastAsia="en-US" w:bidi="ar-SA"/>
      </w:rPr>
    </w:lvl>
    <w:lvl w:ilvl="7" w:tplc="C936B328">
      <w:numFmt w:val="bullet"/>
      <w:lvlText w:val="•"/>
      <w:lvlJc w:val="left"/>
      <w:pPr>
        <w:ind w:left="2611" w:hanging="425"/>
      </w:pPr>
      <w:rPr>
        <w:rFonts w:hint="default"/>
        <w:lang w:val="en-US" w:eastAsia="en-US" w:bidi="ar-SA"/>
      </w:rPr>
    </w:lvl>
    <w:lvl w:ilvl="8" w:tplc="9ED61CB2">
      <w:numFmt w:val="bullet"/>
      <w:lvlText w:val="•"/>
      <w:lvlJc w:val="left"/>
      <w:pPr>
        <w:ind w:left="2904" w:hanging="425"/>
      </w:pPr>
      <w:rPr>
        <w:rFonts w:hint="default"/>
        <w:lang w:val="en-US" w:eastAsia="en-US" w:bidi="ar-SA"/>
      </w:rPr>
    </w:lvl>
  </w:abstractNum>
  <w:abstractNum w:abstractNumId="3" w15:restartNumberingAfterBreak="0">
    <w:nsid w:val="05E42F21"/>
    <w:multiLevelType w:val="hybridMultilevel"/>
    <w:tmpl w:val="85E28E9C"/>
    <w:lvl w:ilvl="0" w:tplc="82C07B2A">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0F00B466">
      <w:numFmt w:val="bullet"/>
      <w:lvlText w:val="•"/>
      <w:lvlJc w:val="left"/>
      <w:pPr>
        <w:ind w:left="853" w:hanging="425"/>
      </w:pPr>
      <w:rPr>
        <w:rFonts w:hint="default"/>
        <w:lang w:val="en-US" w:eastAsia="en-US" w:bidi="ar-SA"/>
      </w:rPr>
    </w:lvl>
    <w:lvl w:ilvl="2" w:tplc="2F1CD0CE">
      <w:numFmt w:val="bullet"/>
      <w:lvlText w:val="•"/>
      <w:lvlJc w:val="left"/>
      <w:pPr>
        <w:ind w:left="1146" w:hanging="425"/>
      </w:pPr>
      <w:rPr>
        <w:rFonts w:hint="default"/>
        <w:lang w:val="en-US" w:eastAsia="en-US" w:bidi="ar-SA"/>
      </w:rPr>
    </w:lvl>
    <w:lvl w:ilvl="3" w:tplc="00062544">
      <w:numFmt w:val="bullet"/>
      <w:lvlText w:val="•"/>
      <w:lvlJc w:val="left"/>
      <w:pPr>
        <w:ind w:left="1439" w:hanging="425"/>
      </w:pPr>
      <w:rPr>
        <w:rFonts w:hint="default"/>
        <w:lang w:val="en-US" w:eastAsia="en-US" w:bidi="ar-SA"/>
      </w:rPr>
    </w:lvl>
    <w:lvl w:ilvl="4" w:tplc="F6F83294">
      <w:numFmt w:val="bullet"/>
      <w:lvlText w:val="•"/>
      <w:lvlJc w:val="left"/>
      <w:pPr>
        <w:ind w:left="1732" w:hanging="425"/>
      </w:pPr>
      <w:rPr>
        <w:rFonts w:hint="default"/>
        <w:lang w:val="en-US" w:eastAsia="en-US" w:bidi="ar-SA"/>
      </w:rPr>
    </w:lvl>
    <w:lvl w:ilvl="5" w:tplc="E8440452">
      <w:numFmt w:val="bullet"/>
      <w:lvlText w:val="•"/>
      <w:lvlJc w:val="left"/>
      <w:pPr>
        <w:ind w:left="2025" w:hanging="425"/>
      </w:pPr>
      <w:rPr>
        <w:rFonts w:hint="default"/>
        <w:lang w:val="en-US" w:eastAsia="en-US" w:bidi="ar-SA"/>
      </w:rPr>
    </w:lvl>
    <w:lvl w:ilvl="6" w:tplc="03088BC0">
      <w:numFmt w:val="bullet"/>
      <w:lvlText w:val="•"/>
      <w:lvlJc w:val="left"/>
      <w:pPr>
        <w:ind w:left="2318" w:hanging="425"/>
      </w:pPr>
      <w:rPr>
        <w:rFonts w:hint="default"/>
        <w:lang w:val="en-US" w:eastAsia="en-US" w:bidi="ar-SA"/>
      </w:rPr>
    </w:lvl>
    <w:lvl w:ilvl="7" w:tplc="BD9218D0">
      <w:numFmt w:val="bullet"/>
      <w:lvlText w:val="•"/>
      <w:lvlJc w:val="left"/>
      <w:pPr>
        <w:ind w:left="2611" w:hanging="425"/>
      </w:pPr>
      <w:rPr>
        <w:rFonts w:hint="default"/>
        <w:lang w:val="en-US" w:eastAsia="en-US" w:bidi="ar-SA"/>
      </w:rPr>
    </w:lvl>
    <w:lvl w:ilvl="8" w:tplc="2E4467CC">
      <w:numFmt w:val="bullet"/>
      <w:lvlText w:val="•"/>
      <w:lvlJc w:val="left"/>
      <w:pPr>
        <w:ind w:left="2904" w:hanging="425"/>
      </w:pPr>
      <w:rPr>
        <w:rFonts w:hint="default"/>
        <w:lang w:val="en-US" w:eastAsia="en-US" w:bidi="ar-SA"/>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6D552B8"/>
    <w:multiLevelType w:val="hybridMultilevel"/>
    <w:tmpl w:val="BC58FF04"/>
    <w:lvl w:ilvl="0" w:tplc="E0442BD6">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C5F86BC2">
      <w:numFmt w:val="bullet"/>
      <w:lvlText w:val="•"/>
      <w:lvlJc w:val="left"/>
      <w:pPr>
        <w:ind w:left="853" w:hanging="425"/>
      </w:pPr>
      <w:rPr>
        <w:rFonts w:hint="default"/>
        <w:lang w:val="en-US" w:eastAsia="en-US" w:bidi="ar-SA"/>
      </w:rPr>
    </w:lvl>
    <w:lvl w:ilvl="2" w:tplc="631ED11E">
      <w:numFmt w:val="bullet"/>
      <w:lvlText w:val="•"/>
      <w:lvlJc w:val="left"/>
      <w:pPr>
        <w:ind w:left="1146" w:hanging="425"/>
      </w:pPr>
      <w:rPr>
        <w:rFonts w:hint="default"/>
        <w:lang w:val="en-US" w:eastAsia="en-US" w:bidi="ar-SA"/>
      </w:rPr>
    </w:lvl>
    <w:lvl w:ilvl="3" w:tplc="25C2F87C">
      <w:numFmt w:val="bullet"/>
      <w:lvlText w:val="•"/>
      <w:lvlJc w:val="left"/>
      <w:pPr>
        <w:ind w:left="1439" w:hanging="425"/>
      </w:pPr>
      <w:rPr>
        <w:rFonts w:hint="default"/>
        <w:lang w:val="en-US" w:eastAsia="en-US" w:bidi="ar-SA"/>
      </w:rPr>
    </w:lvl>
    <w:lvl w:ilvl="4" w:tplc="6C36D1D8">
      <w:numFmt w:val="bullet"/>
      <w:lvlText w:val="•"/>
      <w:lvlJc w:val="left"/>
      <w:pPr>
        <w:ind w:left="1732" w:hanging="425"/>
      </w:pPr>
      <w:rPr>
        <w:rFonts w:hint="default"/>
        <w:lang w:val="en-US" w:eastAsia="en-US" w:bidi="ar-SA"/>
      </w:rPr>
    </w:lvl>
    <w:lvl w:ilvl="5" w:tplc="EB56F2AE">
      <w:numFmt w:val="bullet"/>
      <w:lvlText w:val="•"/>
      <w:lvlJc w:val="left"/>
      <w:pPr>
        <w:ind w:left="2025" w:hanging="425"/>
      </w:pPr>
      <w:rPr>
        <w:rFonts w:hint="default"/>
        <w:lang w:val="en-US" w:eastAsia="en-US" w:bidi="ar-SA"/>
      </w:rPr>
    </w:lvl>
    <w:lvl w:ilvl="6" w:tplc="B6960BEC">
      <w:numFmt w:val="bullet"/>
      <w:lvlText w:val="•"/>
      <w:lvlJc w:val="left"/>
      <w:pPr>
        <w:ind w:left="2318" w:hanging="425"/>
      </w:pPr>
      <w:rPr>
        <w:rFonts w:hint="default"/>
        <w:lang w:val="en-US" w:eastAsia="en-US" w:bidi="ar-SA"/>
      </w:rPr>
    </w:lvl>
    <w:lvl w:ilvl="7" w:tplc="AC781EB2">
      <w:numFmt w:val="bullet"/>
      <w:lvlText w:val="•"/>
      <w:lvlJc w:val="left"/>
      <w:pPr>
        <w:ind w:left="2611" w:hanging="425"/>
      </w:pPr>
      <w:rPr>
        <w:rFonts w:hint="default"/>
        <w:lang w:val="en-US" w:eastAsia="en-US" w:bidi="ar-SA"/>
      </w:rPr>
    </w:lvl>
    <w:lvl w:ilvl="8" w:tplc="D8805FFC">
      <w:numFmt w:val="bullet"/>
      <w:lvlText w:val="•"/>
      <w:lvlJc w:val="left"/>
      <w:pPr>
        <w:ind w:left="2904" w:hanging="425"/>
      </w:pPr>
      <w:rPr>
        <w:rFonts w:hint="default"/>
        <w:lang w:val="en-US" w:eastAsia="en-US" w:bidi="ar-SA"/>
      </w:rPr>
    </w:lvl>
  </w:abstractNum>
  <w:abstractNum w:abstractNumId="6" w15:restartNumberingAfterBreak="0">
    <w:nsid w:val="14C03643"/>
    <w:multiLevelType w:val="hybridMultilevel"/>
    <w:tmpl w:val="14DC9D08"/>
    <w:lvl w:ilvl="0" w:tplc="D4CE686C">
      <w:start w:val="1"/>
      <w:numFmt w:val="decimal"/>
      <w:lvlText w:val="%1."/>
      <w:lvlJc w:val="left"/>
      <w:pPr>
        <w:ind w:left="567" w:hanging="432"/>
      </w:pPr>
      <w:rPr>
        <w:rFonts w:ascii="Arial" w:eastAsia="Arial" w:hAnsi="Arial" w:cs="Arial" w:hint="default"/>
        <w:b w:val="0"/>
        <w:bCs w:val="0"/>
        <w:i w:val="0"/>
        <w:iCs w:val="0"/>
        <w:w w:val="100"/>
        <w:sz w:val="22"/>
        <w:szCs w:val="22"/>
        <w:lang w:val="en-US" w:eastAsia="en-US" w:bidi="ar-SA"/>
      </w:rPr>
    </w:lvl>
    <w:lvl w:ilvl="1" w:tplc="5C440BE8">
      <w:numFmt w:val="bullet"/>
      <w:lvlText w:val="•"/>
      <w:lvlJc w:val="left"/>
      <w:pPr>
        <w:ind w:left="853" w:hanging="432"/>
      </w:pPr>
      <w:rPr>
        <w:rFonts w:hint="default"/>
        <w:lang w:val="en-US" w:eastAsia="en-US" w:bidi="ar-SA"/>
      </w:rPr>
    </w:lvl>
    <w:lvl w:ilvl="2" w:tplc="09AE93CA">
      <w:numFmt w:val="bullet"/>
      <w:lvlText w:val="•"/>
      <w:lvlJc w:val="left"/>
      <w:pPr>
        <w:ind w:left="1146" w:hanging="432"/>
      </w:pPr>
      <w:rPr>
        <w:rFonts w:hint="default"/>
        <w:lang w:val="en-US" w:eastAsia="en-US" w:bidi="ar-SA"/>
      </w:rPr>
    </w:lvl>
    <w:lvl w:ilvl="3" w:tplc="473E6286">
      <w:numFmt w:val="bullet"/>
      <w:lvlText w:val="•"/>
      <w:lvlJc w:val="left"/>
      <w:pPr>
        <w:ind w:left="1439" w:hanging="432"/>
      </w:pPr>
      <w:rPr>
        <w:rFonts w:hint="default"/>
        <w:lang w:val="en-US" w:eastAsia="en-US" w:bidi="ar-SA"/>
      </w:rPr>
    </w:lvl>
    <w:lvl w:ilvl="4" w:tplc="2C983154">
      <w:numFmt w:val="bullet"/>
      <w:lvlText w:val="•"/>
      <w:lvlJc w:val="left"/>
      <w:pPr>
        <w:ind w:left="1732" w:hanging="432"/>
      </w:pPr>
      <w:rPr>
        <w:rFonts w:hint="default"/>
        <w:lang w:val="en-US" w:eastAsia="en-US" w:bidi="ar-SA"/>
      </w:rPr>
    </w:lvl>
    <w:lvl w:ilvl="5" w:tplc="D3748DFA">
      <w:numFmt w:val="bullet"/>
      <w:lvlText w:val="•"/>
      <w:lvlJc w:val="left"/>
      <w:pPr>
        <w:ind w:left="2025" w:hanging="432"/>
      </w:pPr>
      <w:rPr>
        <w:rFonts w:hint="default"/>
        <w:lang w:val="en-US" w:eastAsia="en-US" w:bidi="ar-SA"/>
      </w:rPr>
    </w:lvl>
    <w:lvl w:ilvl="6" w:tplc="232A7424">
      <w:numFmt w:val="bullet"/>
      <w:lvlText w:val="•"/>
      <w:lvlJc w:val="left"/>
      <w:pPr>
        <w:ind w:left="2318" w:hanging="432"/>
      </w:pPr>
      <w:rPr>
        <w:rFonts w:hint="default"/>
        <w:lang w:val="en-US" w:eastAsia="en-US" w:bidi="ar-SA"/>
      </w:rPr>
    </w:lvl>
    <w:lvl w:ilvl="7" w:tplc="2DB4BD12">
      <w:numFmt w:val="bullet"/>
      <w:lvlText w:val="•"/>
      <w:lvlJc w:val="left"/>
      <w:pPr>
        <w:ind w:left="2611" w:hanging="432"/>
      </w:pPr>
      <w:rPr>
        <w:rFonts w:hint="default"/>
        <w:lang w:val="en-US" w:eastAsia="en-US" w:bidi="ar-SA"/>
      </w:rPr>
    </w:lvl>
    <w:lvl w:ilvl="8" w:tplc="CD0A77DA">
      <w:numFmt w:val="bullet"/>
      <w:lvlText w:val="•"/>
      <w:lvlJc w:val="left"/>
      <w:pPr>
        <w:ind w:left="2904" w:hanging="432"/>
      </w:pPr>
      <w:rPr>
        <w:rFonts w:hint="default"/>
        <w:lang w:val="en-US" w:eastAsia="en-US" w:bidi="ar-SA"/>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BF00CD"/>
    <w:multiLevelType w:val="hybridMultilevel"/>
    <w:tmpl w:val="45E2838E"/>
    <w:lvl w:ilvl="0" w:tplc="401E44D0">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893646E0">
      <w:numFmt w:val="bullet"/>
      <w:lvlText w:val="•"/>
      <w:lvlJc w:val="left"/>
      <w:pPr>
        <w:ind w:left="853" w:hanging="425"/>
      </w:pPr>
      <w:rPr>
        <w:rFonts w:hint="default"/>
        <w:lang w:val="en-US" w:eastAsia="en-US" w:bidi="ar-SA"/>
      </w:rPr>
    </w:lvl>
    <w:lvl w:ilvl="2" w:tplc="52E8FA8A">
      <w:numFmt w:val="bullet"/>
      <w:lvlText w:val="•"/>
      <w:lvlJc w:val="left"/>
      <w:pPr>
        <w:ind w:left="1146" w:hanging="425"/>
      </w:pPr>
      <w:rPr>
        <w:rFonts w:hint="default"/>
        <w:lang w:val="en-US" w:eastAsia="en-US" w:bidi="ar-SA"/>
      </w:rPr>
    </w:lvl>
    <w:lvl w:ilvl="3" w:tplc="3848722C">
      <w:numFmt w:val="bullet"/>
      <w:lvlText w:val="•"/>
      <w:lvlJc w:val="left"/>
      <w:pPr>
        <w:ind w:left="1439" w:hanging="425"/>
      </w:pPr>
      <w:rPr>
        <w:rFonts w:hint="default"/>
        <w:lang w:val="en-US" w:eastAsia="en-US" w:bidi="ar-SA"/>
      </w:rPr>
    </w:lvl>
    <w:lvl w:ilvl="4" w:tplc="83CA4E94">
      <w:numFmt w:val="bullet"/>
      <w:lvlText w:val="•"/>
      <w:lvlJc w:val="left"/>
      <w:pPr>
        <w:ind w:left="1732" w:hanging="425"/>
      </w:pPr>
      <w:rPr>
        <w:rFonts w:hint="default"/>
        <w:lang w:val="en-US" w:eastAsia="en-US" w:bidi="ar-SA"/>
      </w:rPr>
    </w:lvl>
    <w:lvl w:ilvl="5" w:tplc="05EC7B8A">
      <w:numFmt w:val="bullet"/>
      <w:lvlText w:val="•"/>
      <w:lvlJc w:val="left"/>
      <w:pPr>
        <w:ind w:left="2025" w:hanging="425"/>
      </w:pPr>
      <w:rPr>
        <w:rFonts w:hint="default"/>
        <w:lang w:val="en-US" w:eastAsia="en-US" w:bidi="ar-SA"/>
      </w:rPr>
    </w:lvl>
    <w:lvl w:ilvl="6" w:tplc="D93EDF5E">
      <w:numFmt w:val="bullet"/>
      <w:lvlText w:val="•"/>
      <w:lvlJc w:val="left"/>
      <w:pPr>
        <w:ind w:left="2318" w:hanging="425"/>
      </w:pPr>
      <w:rPr>
        <w:rFonts w:hint="default"/>
        <w:lang w:val="en-US" w:eastAsia="en-US" w:bidi="ar-SA"/>
      </w:rPr>
    </w:lvl>
    <w:lvl w:ilvl="7" w:tplc="A27C1F46">
      <w:numFmt w:val="bullet"/>
      <w:lvlText w:val="•"/>
      <w:lvlJc w:val="left"/>
      <w:pPr>
        <w:ind w:left="2611" w:hanging="425"/>
      </w:pPr>
      <w:rPr>
        <w:rFonts w:hint="default"/>
        <w:lang w:val="en-US" w:eastAsia="en-US" w:bidi="ar-SA"/>
      </w:rPr>
    </w:lvl>
    <w:lvl w:ilvl="8" w:tplc="4BD20ECC">
      <w:numFmt w:val="bullet"/>
      <w:lvlText w:val="•"/>
      <w:lvlJc w:val="left"/>
      <w:pPr>
        <w:ind w:left="2904" w:hanging="425"/>
      </w:pPr>
      <w:rPr>
        <w:rFonts w:hint="default"/>
        <w:lang w:val="en-US" w:eastAsia="en-US" w:bidi="ar-SA"/>
      </w:rPr>
    </w:lvl>
  </w:abstractNum>
  <w:abstractNum w:abstractNumId="9" w15:restartNumberingAfterBreak="0">
    <w:nsid w:val="1FFB19A2"/>
    <w:multiLevelType w:val="multilevel"/>
    <w:tmpl w:val="90C2E494"/>
    <w:lvl w:ilvl="0">
      <w:start w:val="48"/>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6F727B"/>
    <w:multiLevelType w:val="hybridMultilevel"/>
    <w:tmpl w:val="691AAB7A"/>
    <w:lvl w:ilvl="0" w:tplc="1B645460">
      <w:start w:val="1"/>
      <w:numFmt w:val="decimal"/>
      <w:lvlText w:val="%1."/>
      <w:lvlJc w:val="left"/>
      <w:pPr>
        <w:ind w:left="131" w:hanging="615"/>
      </w:pPr>
      <w:rPr>
        <w:rFonts w:ascii="Arial" w:eastAsia="Arial" w:hAnsi="Arial" w:cs="Arial" w:hint="default"/>
        <w:b w:val="0"/>
        <w:bCs w:val="0"/>
        <w:i w:val="0"/>
        <w:iCs w:val="0"/>
        <w:w w:val="100"/>
        <w:sz w:val="17"/>
        <w:szCs w:val="17"/>
        <w:lang w:val="en-US" w:eastAsia="en-US" w:bidi="ar-SA"/>
      </w:rPr>
    </w:lvl>
    <w:lvl w:ilvl="1" w:tplc="3D7646B8">
      <w:numFmt w:val="bullet"/>
      <w:lvlText w:val="•"/>
      <w:lvlJc w:val="left"/>
      <w:pPr>
        <w:ind w:left="1108" w:hanging="615"/>
      </w:pPr>
      <w:rPr>
        <w:rFonts w:hint="default"/>
        <w:lang w:val="en-US" w:eastAsia="en-US" w:bidi="ar-SA"/>
      </w:rPr>
    </w:lvl>
    <w:lvl w:ilvl="2" w:tplc="8566073E">
      <w:numFmt w:val="bullet"/>
      <w:lvlText w:val="•"/>
      <w:lvlJc w:val="left"/>
      <w:pPr>
        <w:ind w:left="2077" w:hanging="615"/>
      </w:pPr>
      <w:rPr>
        <w:rFonts w:hint="default"/>
        <w:lang w:val="en-US" w:eastAsia="en-US" w:bidi="ar-SA"/>
      </w:rPr>
    </w:lvl>
    <w:lvl w:ilvl="3" w:tplc="0FBE5DC0">
      <w:numFmt w:val="bullet"/>
      <w:lvlText w:val="•"/>
      <w:lvlJc w:val="left"/>
      <w:pPr>
        <w:ind w:left="3046" w:hanging="615"/>
      </w:pPr>
      <w:rPr>
        <w:rFonts w:hint="default"/>
        <w:lang w:val="en-US" w:eastAsia="en-US" w:bidi="ar-SA"/>
      </w:rPr>
    </w:lvl>
    <w:lvl w:ilvl="4" w:tplc="EECE1A9C">
      <w:numFmt w:val="bullet"/>
      <w:lvlText w:val="•"/>
      <w:lvlJc w:val="left"/>
      <w:pPr>
        <w:ind w:left="4015" w:hanging="615"/>
      </w:pPr>
      <w:rPr>
        <w:rFonts w:hint="default"/>
        <w:lang w:val="en-US" w:eastAsia="en-US" w:bidi="ar-SA"/>
      </w:rPr>
    </w:lvl>
    <w:lvl w:ilvl="5" w:tplc="284E9C76">
      <w:numFmt w:val="bullet"/>
      <w:lvlText w:val="•"/>
      <w:lvlJc w:val="left"/>
      <w:pPr>
        <w:ind w:left="4983" w:hanging="615"/>
      </w:pPr>
      <w:rPr>
        <w:rFonts w:hint="default"/>
        <w:lang w:val="en-US" w:eastAsia="en-US" w:bidi="ar-SA"/>
      </w:rPr>
    </w:lvl>
    <w:lvl w:ilvl="6" w:tplc="C7769D2C">
      <w:numFmt w:val="bullet"/>
      <w:lvlText w:val="•"/>
      <w:lvlJc w:val="left"/>
      <w:pPr>
        <w:ind w:left="5952" w:hanging="615"/>
      </w:pPr>
      <w:rPr>
        <w:rFonts w:hint="default"/>
        <w:lang w:val="en-US" w:eastAsia="en-US" w:bidi="ar-SA"/>
      </w:rPr>
    </w:lvl>
    <w:lvl w:ilvl="7" w:tplc="3DCC3B38">
      <w:numFmt w:val="bullet"/>
      <w:lvlText w:val="•"/>
      <w:lvlJc w:val="left"/>
      <w:pPr>
        <w:ind w:left="6921" w:hanging="615"/>
      </w:pPr>
      <w:rPr>
        <w:rFonts w:hint="default"/>
        <w:lang w:val="en-US" w:eastAsia="en-US" w:bidi="ar-SA"/>
      </w:rPr>
    </w:lvl>
    <w:lvl w:ilvl="8" w:tplc="590A4B74">
      <w:numFmt w:val="bullet"/>
      <w:lvlText w:val="•"/>
      <w:lvlJc w:val="left"/>
      <w:pPr>
        <w:ind w:left="7890" w:hanging="615"/>
      </w:pPr>
      <w:rPr>
        <w:rFonts w:hint="default"/>
        <w:lang w:val="en-US" w:eastAsia="en-US" w:bidi="ar-SA"/>
      </w:rPr>
    </w:lvl>
  </w:abstractNum>
  <w:abstractNum w:abstractNumId="11" w15:restartNumberingAfterBreak="0">
    <w:nsid w:val="21F150FB"/>
    <w:multiLevelType w:val="hybridMultilevel"/>
    <w:tmpl w:val="A3C2C52C"/>
    <w:lvl w:ilvl="0" w:tplc="D1A07324">
      <w:start w:val="1"/>
      <w:numFmt w:val="decimal"/>
      <w:lvlText w:val="%1."/>
      <w:lvlJc w:val="left"/>
      <w:pPr>
        <w:ind w:left="567" w:hanging="432"/>
      </w:pPr>
      <w:rPr>
        <w:rFonts w:ascii="Arial" w:eastAsia="Arial" w:hAnsi="Arial" w:cs="Arial" w:hint="default"/>
        <w:b w:val="0"/>
        <w:bCs w:val="0"/>
        <w:i w:val="0"/>
        <w:iCs w:val="0"/>
        <w:w w:val="100"/>
        <w:sz w:val="22"/>
        <w:szCs w:val="22"/>
        <w:lang w:val="en-US" w:eastAsia="en-US" w:bidi="ar-SA"/>
      </w:rPr>
    </w:lvl>
    <w:lvl w:ilvl="1" w:tplc="73D88746">
      <w:numFmt w:val="bullet"/>
      <w:lvlText w:val="•"/>
      <w:lvlJc w:val="left"/>
      <w:pPr>
        <w:ind w:left="853" w:hanging="432"/>
      </w:pPr>
      <w:rPr>
        <w:rFonts w:hint="default"/>
        <w:lang w:val="en-US" w:eastAsia="en-US" w:bidi="ar-SA"/>
      </w:rPr>
    </w:lvl>
    <w:lvl w:ilvl="2" w:tplc="10864E9C">
      <w:numFmt w:val="bullet"/>
      <w:lvlText w:val="•"/>
      <w:lvlJc w:val="left"/>
      <w:pPr>
        <w:ind w:left="1146" w:hanging="432"/>
      </w:pPr>
      <w:rPr>
        <w:rFonts w:hint="default"/>
        <w:lang w:val="en-US" w:eastAsia="en-US" w:bidi="ar-SA"/>
      </w:rPr>
    </w:lvl>
    <w:lvl w:ilvl="3" w:tplc="09A0A22A">
      <w:numFmt w:val="bullet"/>
      <w:lvlText w:val="•"/>
      <w:lvlJc w:val="left"/>
      <w:pPr>
        <w:ind w:left="1439" w:hanging="432"/>
      </w:pPr>
      <w:rPr>
        <w:rFonts w:hint="default"/>
        <w:lang w:val="en-US" w:eastAsia="en-US" w:bidi="ar-SA"/>
      </w:rPr>
    </w:lvl>
    <w:lvl w:ilvl="4" w:tplc="CE84582C">
      <w:numFmt w:val="bullet"/>
      <w:lvlText w:val="•"/>
      <w:lvlJc w:val="left"/>
      <w:pPr>
        <w:ind w:left="1732" w:hanging="432"/>
      </w:pPr>
      <w:rPr>
        <w:rFonts w:hint="default"/>
        <w:lang w:val="en-US" w:eastAsia="en-US" w:bidi="ar-SA"/>
      </w:rPr>
    </w:lvl>
    <w:lvl w:ilvl="5" w:tplc="23AA930A">
      <w:numFmt w:val="bullet"/>
      <w:lvlText w:val="•"/>
      <w:lvlJc w:val="left"/>
      <w:pPr>
        <w:ind w:left="2025" w:hanging="432"/>
      </w:pPr>
      <w:rPr>
        <w:rFonts w:hint="default"/>
        <w:lang w:val="en-US" w:eastAsia="en-US" w:bidi="ar-SA"/>
      </w:rPr>
    </w:lvl>
    <w:lvl w:ilvl="6" w:tplc="74BA99F0">
      <w:numFmt w:val="bullet"/>
      <w:lvlText w:val="•"/>
      <w:lvlJc w:val="left"/>
      <w:pPr>
        <w:ind w:left="2318" w:hanging="432"/>
      </w:pPr>
      <w:rPr>
        <w:rFonts w:hint="default"/>
        <w:lang w:val="en-US" w:eastAsia="en-US" w:bidi="ar-SA"/>
      </w:rPr>
    </w:lvl>
    <w:lvl w:ilvl="7" w:tplc="0096CD24">
      <w:numFmt w:val="bullet"/>
      <w:lvlText w:val="•"/>
      <w:lvlJc w:val="left"/>
      <w:pPr>
        <w:ind w:left="2611" w:hanging="432"/>
      </w:pPr>
      <w:rPr>
        <w:rFonts w:hint="default"/>
        <w:lang w:val="en-US" w:eastAsia="en-US" w:bidi="ar-SA"/>
      </w:rPr>
    </w:lvl>
    <w:lvl w:ilvl="8" w:tplc="57FE2860">
      <w:numFmt w:val="bullet"/>
      <w:lvlText w:val="•"/>
      <w:lvlJc w:val="left"/>
      <w:pPr>
        <w:ind w:left="2904" w:hanging="432"/>
      </w:pPr>
      <w:rPr>
        <w:rFonts w:hint="default"/>
        <w:lang w:val="en-US" w:eastAsia="en-US" w:bidi="ar-SA"/>
      </w:rPr>
    </w:lvl>
  </w:abstractNum>
  <w:abstractNum w:abstractNumId="12" w15:restartNumberingAfterBreak="0">
    <w:nsid w:val="38E60C2A"/>
    <w:multiLevelType w:val="hybridMultilevel"/>
    <w:tmpl w:val="DFDEF122"/>
    <w:lvl w:ilvl="0" w:tplc="5DF87240">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F1482050">
      <w:numFmt w:val="bullet"/>
      <w:lvlText w:val="•"/>
      <w:lvlJc w:val="left"/>
      <w:pPr>
        <w:ind w:left="853" w:hanging="425"/>
      </w:pPr>
      <w:rPr>
        <w:rFonts w:hint="default"/>
        <w:lang w:val="en-US" w:eastAsia="en-US" w:bidi="ar-SA"/>
      </w:rPr>
    </w:lvl>
    <w:lvl w:ilvl="2" w:tplc="E782FBE0">
      <w:numFmt w:val="bullet"/>
      <w:lvlText w:val="•"/>
      <w:lvlJc w:val="left"/>
      <w:pPr>
        <w:ind w:left="1146" w:hanging="425"/>
      </w:pPr>
      <w:rPr>
        <w:rFonts w:hint="default"/>
        <w:lang w:val="en-US" w:eastAsia="en-US" w:bidi="ar-SA"/>
      </w:rPr>
    </w:lvl>
    <w:lvl w:ilvl="3" w:tplc="8DBA94BA">
      <w:numFmt w:val="bullet"/>
      <w:lvlText w:val="•"/>
      <w:lvlJc w:val="left"/>
      <w:pPr>
        <w:ind w:left="1439" w:hanging="425"/>
      </w:pPr>
      <w:rPr>
        <w:rFonts w:hint="default"/>
        <w:lang w:val="en-US" w:eastAsia="en-US" w:bidi="ar-SA"/>
      </w:rPr>
    </w:lvl>
    <w:lvl w:ilvl="4" w:tplc="3AF05FE0">
      <w:numFmt w:val="bullet"/>
      <w:lvlText w:val="•"/>
      <w:lvlJc w:val="left"/>
      <w:pPr>
        <w:ind w:left="1732" w:hanging="425"/>
      </w:pPr>
      <w:rPr>
        <w:rFonts w:hint="default"/>
        <w:lang w:val="en-US" w:eastAsia="en-US" w:bidi="ar-SA"/>
      </w:rPr>
    </w:lvl>
    <w:lvl w:ilvl="5" w:tplc="8CB0AB56">
      <w:numFmt w:val="bullet"/>
      <w:lvlText w:val="•"/>
      <w:lvlJc w:val="left"/>
      <w:pPr>
        <w:ind w:left="2025" w:hanging="425"/>
      </w:pPr>
      <w:rPr>
        <w:rFonts w:hint="default"/>
        <w:lang w:val="en-US" w:eastAsia="en-US" w:bidi="ar-SA"/>
      </w:rPr>
    </w:lvl>
    <w:lvl w:ilvl="6" w:tplc="7C821400">
      <w:numFmt w:val="bullet"/>
      <w:lvlText w:val="•"/>
      <w:lvlJc w:val="left"/>
      <w:pPr>
        <w:ind w:left="2318" w:hanging="425"/>
      </w:pPr>
      <w:rPr>
        <w:rFonts w:hint="default"/>
        <w:lang w:val="en-US" w:eastAsia="en-US" w:bidi="ar-SA"/>
      </w:rPr>
    </w:lvl>
    <w:lvl w:ilvl="7" w:tplc="9ED83B56">
      <w:numFmt w:val="bullet"/>
      <w:lvlText w:val="•"/>
      <w:lvlJc w:val="left"/>
      <w:pPr>
        <w:ind w:left="2611" w:hanging="425"/>
      </w:pPr>
      <w:rPr>
        <w:rFonts w:hint="default"/>
        <w:lang w:val="en-US" w:eastAsia="en-US" w:bidi="ar-SA"/>
      </w:rPr>
    </w:lvl>
    <w:lvl w:ilvl="8" w:tplc="BC1E49A6">
      <w:numFmt w:val="bullet"/>
      <w:lvlText w:val="•"/>
      <w:lvlJc w:val="left"/>
      <w:pPr>
        <w:ind w:left="2904" w:hanging="425"/>
      </w:pPr>
      <w:rPr>
        <w:rFonts w:hint="default"/>
        <w:lang w:val="en-US" w:eastAsia="en-US" w:bidi="ar-SA"/>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7D4483"/>
    <w:multiLevelType w:val="hybridMultilevel"/>
    <w:tmpl w:val="C4269E72"/>
    <w:lvl w:ilvl="0" w:tplc="EEC21162">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3D4C10C8">
      <w:numFmt w:val="bullet"/>
      <w:lvlText w:val="•"/>
      <w:lvlJc w:val="left"/>
      <w:pPr>
        <w:ind w:left="853" w:hanging="425"/>
      </w:pPr>
      <w:rPr>
        <w:rFonts w:hint="default"/>
        <w:lang w:val="en-US" w:eastAsia="en-US" w:bidi="ar-SA"/>
      </w:rPr>
    </w:lvl>
    <w:lvl w:ilvl="2" w:tplc="3E907B16">
      <w:numFmt w:val="bullet"/>
      <w:lvlText w:val="•"/>
      <w:lvlJc w:val="left"/>
      <w:pPr>
        <w:ind w:left="1146" w:hanging="425"/>
      </w:pPr>
      <w:rPr>
        <w:rFonts w:hint="default"/>
        <w:lang w:val="en-US" w:eastAsia="en-US" w:bidi="ar-SA"/>
      </w:rPr>
    </w:lvl>
    <w:lvl w:ilvl="3" w:tplc="96ACC2CC">
      <w:numFmt w:val="bullet"/>
      <w:lvlText w:val="•"/>
      <w:lvlJc w:val="left"/>
      <w:pPr>
        <w:ind w:left="1439" w:hanging="425"/>
      </w:pPr>
      <w:rPr>
        <w:rFonts w:hint="default"/>
        <w:lang w:val="en-US" w:eastAsia="en-US" w:bidi="ar-SA"/>
      </w:rPr>
    </w:lvl>
    <w:lvl w:ilvl="4" w:tplc="9FFAB356">
      <w:numFmt w:val="bullet"/>
      <w:lvlText w:val="•"/>
      <w:lvlJc w:val="left"/>
      <w:pPr>
        <w:ind w:left="1732" w:hanging="425"/>
      </w:pPr>
      <w:rPr>
        <w:rFonts w:hint="default"/>
        <w:lang w:val="en-US" w:eastAsia="en-US" w:bidi="ar-SA"/>
      </w:rPr>
    </w:lvl>
    <w:lvl w:ilvl="5" w:tplc="72DA7CA2">
      <w:numFmt w:val="bullet"/>
      <w:lvlText w:val="•"/>
      <w:lvlJc w:val="left"/>
      <w:pPr>
        <w:ind w:left="2025" w:hanging="425"/>
      </w:pPr>
      <w:rPr>
        <w:rFonts w:hint="default"/>
        <w:lang w:val="en-US" w:eastAsia="en-US" w:bidi="ar-SA"/>
      </w:rPr>
    </w:lvl>
    <w:lvl w:ilvl="6" w:tplc="F3B0673A">
      <w:numFmt w:val="bullet"/>
      <w:lvlText w:val="•"/>
      <w:lvlJc w:val="left"/>
      <w:pPr>
        <w:ind w:left="2318" w:hanging="425"/>
      </w:pPr>
      <w:rPr>
        <w:rFonts w:hint="default"/>
        <w:lang w:val="en-US" w:eastAsia="en-US" w:bidi="ar-SA"/>
      </w:rPr>
    </w:lvl>
    <w:lvl w:ilvl="7" w:tplc="91F015A2">
      <w:numFmt w:val="bullet"/>
      <w:lvlText w:val="•"/>
      <w:lvlJc w:val="left"/>
      <w:pPr>
        <w:ind w:left="2611" w:hanging="425"/>
      </w:pPr>
      <w:rPr>
        <w:rFonts w:hint="default"/>
        <w:lang w:val="en-US" w:eastAsia="en-US" w:bidi="ar-SA"/>
      </w:rPr>
    </w:lvl>
    <w:lvl w:ilvl="8" w:tplc="2D9C2768">
      <w:numFmt w:val="bullet"/>
      <w:lvlText w:val="•"/>
      <w:lvlJc w:val="left"/>
      <w:pPr>
        <w:ind w:left="2904" w:hanging="425"/>
      </w:pPr>
      <w:rPr>
        <w:rFonts w:hint="default"/>
        <w:lang w:val="en-US" w:eastAsia="en-US" w:bidi="ar-SA"/>
      </w:rPr>
    </w:lvl>
  </w:abstractNum>
  <w:abstractNum w:abstractNumId="15" w15:restartNumberingAfterBreak="0">
    <w:nsid w:val="46B24D00"/>
    <w:multiLevelType w:val="hybridMultilevel"/>
    <w:tmpl w:val="2B2455CC"/>
    <w:lvl w:ilvl="0" w:tplc="F6D859FA">
      <w:start w:val="1"/>
      <w:numFmt w:val="decimal"/>
      <w:lvlText w:val="%1."/>
      <w:lvlJc w:val="left"/>
      <w:pPr>
        <w:ind w:left="567" w:hanging="432"/>
      </w:pPr>
      <w:rPr>
        <w:rFonts w:ascii="Arial" w:eastAsia="Arial" w:hAnsi="Arial" w:cs="Arial" w:hint="default"/>
        <w:b w:val="0"/>
        <w:bCs w:val="0"/>
        <w:i w:val="0"/>
        <w:iCs w:val="0"/>
        <w:w w:val="100"/>
        <w:sz w:val="22"/>
        <w:szCs w:val="22"/>
        <w:lang w:val="en-US" w:eastAsia="en-US" w:bidi="ar-SA"/>
      </w:rPr>
    </w:lvl>
    <w:lvl w:ilvl="1" w:tplc="60A87E5E">
      <w:numFmt w:val="bullet"/>
      <w:lvlText w:val="•"/>
      <w:lvlJc w:val="left"/>
      <w:pPr>
        <w:ind w:left="853" w:hanging="432"/>
      </w:pPr>
      <w:rPr>
        <w:rFonts w:hint="default"/>
        <w:lang w:val="en-US" w:eastAsia="en-US" w:bidi="ar-SA"/>
      </w:rPr>
    </w:lvl>
    <w:lvl w:ilvl="2" w:tplc="419447F4">
      <w:numFmt w:val="bullet"/>
      <w:lvlText w:val="•"/>
      <w:lvlJc w:val="left"/>
      <w:pPr>
        <w:ind w:left="1146" w:hanging="432"/>
      </w:pPr>
      <w:rPr>
        <w:rFonts w:hint="default"/>
        <w:lang w:val="en-US" w:eastAsia="en-US" w:bidi="ar-SA"/>
      </w:rPr>
    </w:lvl>
    <w:lvl w:ilvl="3" w:tplc="D964911A">
      <w:numFmt w:val="bullet"/>
      <w:lvlText w:val="•"/>
      <w:lvlJc w:val="left"/>
      <w:pPr>
        <w:ind w:left="1439" w:hanging="432"/>
      </w:pPr>
      <w:rPr>
        <w:rFonts w:hint="default"/>
        <w:lang w:val="en-US" w:eastAsia="en-US" w:bidi="ar-SA"/>
      </w:rPr>
    </w:lvl>
    <w:lvl w:ilvl="4" w:tplc="21C01E92">
      <w:numFmt w:val="bullet"/>
      <w:lvlText w:val="•"/>
      <w:lvlJc w:val="left"/>
      <w:pPr>
        <w:ind w:left="1732" w:hanging="432"/>
      </w:pPr>
      <w:rPr>
        <w:rFonts w:hint="default"/>
        <w:lang w:val="en-US" w:eastAsia="en-US" w:bidi="ar-SA"/>
      </w:rPr>
    </w:lvl>
    <w:lvl w:ilvl="5" w:tplc="3E54AC10">
      <w:numFmt w:val="bullet"/>
      <w:lvlText w:val="•"/>
      <w:lvlJc w:val="left"/>
      <w:pPr>
        <w:ind w:left="2025" w:hanging="432"/>
      </w:pPr>
      <w:rPr>
        <w:rFonts w:hint="default"/>
        <w:lang w:val="en-US" w:eastAsia="en-US" w:bidi="ar-SA"/>
      </w:rPr>
    </w:lvl>
    <w:lvl w:ilvl="6" w:tplc="6FD0E1EE">
      <w:numFmt w:val="bullet"/>
      <w:lvlText w:val="•"/>
      <w:lvlJc w:val="left"/>
      <w:pPr>
        <w:ind w:left="2318" w:hanging="432"/>
      </w:pPr>
      <w:rPr>
        <w:rFonts w:hint="default"/>
        <w:lang w:val="en-US" w:eastAsia="en-US" w:bidi="ar-SA"/>
      </w:rPr>
    </w:lvl>
    <w:lvl w:ilvl="7" w:tplc="0A98BB92">
      <w:numFmt w:val="bullet"/>
      <w:lvlText w:val="•"/>
      <w:lvlJc w:val="left"/>
      <w:pPr>
        <w:ind w:left="2611" w:hanging="432"/>
      </w:pPr>
      <w:rPr>
        <w:rFonts w:hint="default"/>
        <w:lang w:val="en-US" w:eastAsia="en-US" w:bidi="ar-SA"/>
      </w:rPr>
    </w:lvl>
    <w:lvl w:ilvl="8" w:tplc="3EAEED5E">
      <w:numFmt w:val="bullet"/>
      <w:lvlText w:val="•"/>
      <w:lvlJc w:val="left"/>
      <w:pPr>
        <w:ind w:left="2904" w:hanging="432"/>
      </w:pPr>
      <w:rPr>
        <w:rFonts w:hint="default"/>
        <w:lang w:val="en-US" w:eastAsia="en-US" w:bidi="ar-SA"/>
      </w:rPr>
    </w:lvl>
  </w:abstractNum>
  <w:abstractNum w:abstractNumId="16" w15:restartNumberingAfterBreak="0">
    <w:nsid w:val="477A4DA8"/>
    <w:multiLevelType w:val="hybridMultilevel"/>
    <w:tmpl w:val="5D447E98"/>
    <w:lvl w:ilvl="0" w:tplc="1DDE2372">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BE7C25C2">
      <w:numFmt w:val="bullet"/>
      <w:lvlText w:val="•"/>
      <w:lvlJc w:val="left"/>
      <w:pPr>
        <w:ind w:left="853" w:hanging="425"/>
      </w:pPr>
      <w:rPr>
        <w:rFonts w:hint="default"/>
        <w:lang w:val="en-US" w:eastAsia="en-US" w:bidi="ar-SA"/>
      </w:rPr>
    </w:lvl>
    <w:lvl w:ilvl="2" w:tplc="066CA4F8">
      <w:numFmt w:val="bullet"/>
      <w:lvlText w:val="•"/>
      <w:lvlJc w:val="left"/>
      <w:pPr>
        <w:ind w:left="1146" w:hanging="425"/>
      </w:pPr>
      <w:rPr>
        <w:rFonts w:hint="default"/>
        <w:lang w:val="en-US" w:eastAsia="en-US" w:bidi="ar-SA"/>
      </w:rPr>
    </w:lvl>
    <w:lvl w:ilvl="3" w:tplc="59F09F42">
      <w:numFmt w:val="bullet"/>
      <w:lvlText w:val="•"/>
      <w:lvlJc w:val="left"/>
      <w:pPr>
        <w:ind w:left="1439" w:hanging="425"/>
      </w:pPr>
      <w:rPr>
        <w:rFonts w:hint="default"/>
        <w:lang w:val="en-US" w:eastAsia="en-US" w:bidi="ar-SA"/>
      </w:rPr>
    </w:lvl>
    <w:lvl w:ilvl="4" w:tplc="36606608">
      <w:numFmt w:val="bullet"/>
      <w:lvlText w:val="•"/>
      <w:lvlJc w:val="left"/>
      <w:pPr>
        <w:ind w:left="1732" w:hanging="425"/>
      </w:pPr>
      <w:rPr>
        <w:rFonts w:hint="default"/>
        <w:lang w:val="en-US" w:eastAsia="en-US" w:bidi="ar-SA"/>
      </w:rPr>
    </w:lvl>
    <w:lvl w:ilvl="5" w:tplc="C7C6703E">
      <w:numFmt w:val="bullet"/>
      <w:lvlText w:val="•"/>
      <w:lvlJc w:val="left"/>
      <w:pPr>
        <w:ind w:left="2025" w:hanging="425"/>
      </w:pPr>
      <w:rPr>
        <w:rFonts w:hint="default"/>
        <w:lang w:val="en-US" w:eastAsia="en-US" w:bidi="ar-SA"/>
      </w:rPr>
    </w:lvl>
    <w:lvl w:ilvl="6" w:tplc="87CAF2FA">
      <w:numFmt w:val="bullet"/>
      <w:lvlText w:val="•"/>
      <w:lvlJc w:val="left"/>
      <w:pPr>
        <w:ind w:left="2318" w:hanging="425"/>
      </w:pPr>
      <w:rPr>
        <w:rFonts w:hint="default"/>
        <w:lang w:val="en-US" w:eastAsia="en-US" w:bidi="ar-SA"/>
      </w:rPr>
    </w:lvl>
    <w:lvl w:ilvl="7" w:tplc="FFD2CC98">
      <w:numFmt w:val="bullet"/>
      <w:lvlText w:val="•"/>
      <w:lvlJc w:val="left"/>
      <w:pPr>
        <w:ind w:left="2611" w:hanging="425"/>
      </w:pPr>
      <w:rPr>
        <w:rFonts w:hint="default"/>
        <w:lang w:val="en-US" w:eastAsia="en-US" w:bidi="ar-SA"/>
      </w:rPr>
    </w:lvl>
    <w:lvl w:ilvl="8" w:tplc="A1A60E2A">
      <w:numFmt w:val="bullet"/>
      <w:lvlText w:val="•"/>
      <w:lvlJc w:val="left"/>
      <w:pPr>
        <w:ind w:left="2904" w:hanging="425"/>
      </w:pPr>
      <w:rPr>
        <w:rFonts w:hint="default"/>
        <w:lang w:val="en-US" w:eastAsia="en-US" w:bidi="ar-SA"/>
      </w:rPr>
    </w:lvl>
  </w:abstractNum>
  <w:abstractNum w:abstractNumId="17" w15:restartNumberingAfterBreak="0">
    <w:nsid w:val="4BF7156B"/>
    <w:multiLevelType w:val="hybridMultilevel"/>
    <w:tmpl w:val="AA7603E4"/>
    <w:lvl w:ilvl="0" w:tplc="9D6EF6F8">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3CAC1B42">
      <w:numFmt w:val="bullet"/>
      <w:lvlText w:val="•"/>
      <w:lvlJc w:val="left"/>
      <w:pPr>
        <w:ind w:left="853" w:hanging="425"/>
      </w:pPr>
      <w:rPr>
        <w:rFonts w:hint="default"/>
        <w:lang w:val="en-US" w:eastAsia="en-US" w:bidi="ar-SA"/>
      </w:rPr>
    </w:lvl>
    <w:lvl w:ilvl="2" w:tplc="27F8CBAE">
      <w:numFmt w:val="bullet"/>
      <w:lvlText w:val="•"/>
      <w:lvlJc w:val="left"/>
      <w:pPr>
        <w:ind w:left="1146" w:hanging="425"/>
      </w:pPr>
      <w:rPr>
        <w:rFonts w:hint="default"/>
        <w:lang w:val="en-US" w:eastAsia="en-US" w:bidi="ar-SA"/>
      </w:rPr>
    </w:lvl>
    <w:lvl w:ilvl="3" w:tplc="60868216">
      <w:numFmt w:val="bullet"/>
      <w:lvlText w:val="•"/>
      <w:lvlJc w:val="left"/>
      <w:pPr>
        <w:ind w:left="1439" w:hanging="425"/>
      </w:pPr>
      <w:rPr>
        <w:rFonts w:hint="default"/>
        <w:lang w:val="en-US" w:eastAsia="en-US" w:bidi="ar-SA"/>
      </w:rPr>
    </w:lvl>
    <w:lvl w:ilvl="4" w:tplc="2A3CB064">
      <w:numFmt w:val="bullet"/>
      <w:lvlText w:val="•"/>
      <w:lvlJc w:val="left"/>
      <w:pPr>
        <w:ind w:left="1732" w:hanging="425"/>
      </w:pPr>
      <w:rPr>
        <w:rFonts w:hint="default"/>
        <w:lang w:val="en-US" w:eastAsia="en-US" w:bidi="ar-SA"/>
      </w:rPr>
    </w:lvl>
    <w:lvl w:ilvl="5" w:tplc="6C765DFE">
      <w:numFmt w:val="bullet"/>
      <w:lvlText w:val="•"/>
      <w:lvlJc w:val="left"/>
      <w:pPr>
        <w:ind w:left="2025" w:hanging="425"/>
      </w:pPr>
      <w:rPr>
        <w:rFonts w:hint="default"/>
        <w:lang w:val="en-US" w:eastAsia="en-US" w:bidi="ar-SA"/>
      </w:rPr>
    </w:lvl>
    <w:lvl w:ilvl="6" w:tplc="6C14B6A2">
      <w:numFmt w:val="bullet"/>
      <w:lvlText w:val="•"/>
      <w:lvlJc w:val="left"/>
      <w:pPr>
        <w:ind w:left="2318" w:hanging="425"/>
      </w:pPr>
      <w:rPr>
        <w:rFonts w:hint="default"/>
        <w:lang w:val="en-US" w:eastAsia="en-US" w:bidi="ar-SA"/>
      </w:rPr>
    </w:lvl>
    <w:lvl w:ilvl="7" w:tplc="1916E1F4">
      <w:numFmt w:val="bullet"/>
      <w:lvlText w:val="•"/>
      <w:lvlJc w:val="left"/>
      <w:pPr>
        <w:ind w:left="2611" w:hanging="425"/>
      </w:pPr>
      <w:rPr>
        <w:rFonts w:hint="default"/>
        <w:lang w:val="en-US" w:eastAsia="en-US" w:bidi="ar-SA"/>
      </w:rPr>
    </w:lvl>
    <w:lvl w:ilvl="8" w:tplc="08CCEA52">
      <w:numFmt w:val="bullet"/>
      <w:lvlText w:val="•"/>
      <w:lvlJc w:val="left"/>
      <w:pPr>
        <w:ind w:left="2904" w:hanging="425"/>
      </w:pPr>
      <w:rPr>
        <w:rFonts w:hint="default"/>
        <w:lang w:val="en-US" w:eastAsia="en-US" w:bidi="ar-SA"/>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A87B61"/>
    <w:multiLevelType w:val="hybridMultilevel"/>
    <w:tmpl w:val="C92E85A0"/>
    <w:lvl w:ilvl="0" w:tplc="AA4A7044">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FEDCD474">
      <w:numFmt w:val="bullet"/>
      <w:lvlText w:val="•"/>
      <w:lvlJc w:val="left"/>
      <w:pPr>
        <w:ind w:left="853" w:hanging="425"/>
      </w:pPr>
      <w:rPr>
        <w:rFonts w:hint="default"/>
        <w:lang w:val="en-US" w:eastAsia="en-US" w:bidi="ar-SA"/>
      </w:rPr>
    </w:lvl>
    <w:lvl w:ilvl="2" w:tplc="0908E424">
      <w:numFmt w:val="bullet"/>
      <w:lvlText w:val="•"/>
      <w:lvlJc w:val="left"/>
      <w:pPr>
        <w:ind w:left="1146" w:hanging="425"/>
      </w:pPr>
      <w:rPr>
        <w:rFonts w:hint="default"/>
        <w:lang w:val="en-US" w:eastAsia="en-US" w:bidi="ar-SA"/>
      </w:rPr>
    </w:lvl>
    <w:lvl w:ilvl="3" w:tplc="B502A35E">
      <w:numFmt w:val="bullet"/>
      <w:lvlText w:val="•"/>
      <w:lvlJc w:val="left"/>
      <w:pPr>
        <w:ind w:left="1439" w:hanging="425"/>
      </w:pPr>
      <w:rPr>
        <w:rFonts w:hint="default"/>
        <w:lang w:val="en-US" w:eastAsia="en-US" w:bidi="ar-SA"/>
      </w:rPr>
    </w:lvl>
    <w:lvl w:ilvl="4" w:tplc="E480AA04">
      <w:numFmt w:val="bullet"/>
      <w:lvlText w:val="•"/>
      <w:lvlJc w:val="left"/>
      <w:pPr>
        <w:ind w:left="1732" w:hanging="425"/>
      </w:pPr>
      <w:rPr>
        <w:rFonts w:hint="default"/>
        <w:lang w:val="en-US" w:eastAsia="en-US" w:bidi="ar-SA"/>
      </w:rPr>
    </w:lvl>
    <w:lvl w:ilvl="5" w:tplc="CAD84726">
      <w:numFmt w:val="bullet"/>
      <w:lvlText w:val="•"/>
      <w:lvlJc w:val="left"/>
      <w:pPr>
        <w:ind w:left="2025" w:hanging="425"/>
      </w:pPr>
      <w:rPr>
        <w:rFonts w:hint="default"/>
        <w:lang w:val="en-US" w:eastAsia="en-US" w:bidi="ar-SA"/>
      </w:rPr>
    </w:lvl>
    <w:lvl w:ilvl="6" w:tplc="DF2090EA">
      <w:numFmt w:val="bullet"/>
      <w:lvlText w:val="•"/>
      <w:lvlJc w:val="left"/>
      <w:pPr>
        <w:ind w:left="2318" w:hanging="425"/>
      </w:pPr>
      <w:rPr>
        <w:rFonts w:hint="default"/>
        <w:lang w:val="en-US" w:eastAsia="en-US" w:bidi="ar-SA"/>
      </w:rPr>
    </w:lvl>
    <w:lvl w:ilvl="7" w:tplc="C346E938">
      <w:numFmt w:val="bullet"/>
      <w:lvlText w:val="•"/>
      <w:lvlJc w:val="left"/>
      <w:pPr>
        <w:ind w:left="2611" w:hanging="425"/>
      </w:pPr>
      <w:rPr>
        <w:rFonts w:hint="default"/>
        <w:lang w:val="en-US" w:eastAsia="en-US" w:bidi="ar-SA"/>
      </w:rPr>
    </w:lvl>
    <w:lvl w:ilvl="8" w:tplc="AD3E8FAE">
      <w:numFmt w:val="bullet"/>
      <w:lvlText w:val="•"/>
      <w:lvlJc w:val="left"/>
      <w:pPr>
        <w:ind w:left="2904" w:hanging="425"/>
      </w:pPr>
      <w:rPr>
        <w:rFonts w:hint="default"/>
        <w:lang w:val="en-US" w:eastAsia="en-US" w:bidi="ar-SA"/>
      </w:rPr>
    </w:lvl>
  </w:abstractNum>
  <w:abstractNum w:abstractNumId="20" w15:restartNumberingAfterBreak="0">
    <w:nsid w:val="4EAA1D8D"/>
    <w:multiLevelType w:val="hybridMultilevel"/>
    <w:tmpl w:val="4C606BD2"/>
    <w:lvl w:ilvl="0" w:tplc="BA3C11FE">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1F9A989A">
      <w:numFmt w:val="bullet"/>
      <w:lvlText w:val="•"/>
      <w:lvlJc w:val="left"/>
      <w:pPr>
        <w:ind w:left="853" w:hanging="425"/>
      </w:pPr>
      <w:rPr>
        <w:rFonts w:hint="default"/>
        <w:lang w:val="en-US" w:eastAsia="en-US" w:bidi="ar-SA"/>
      </w:rPr>
    </w:lvl>
    <w:lvl w:ilvl="2" w:tplc="C4BABC08">
      <w:numFmt w:val="bullet"/>
      <w:lvlText w:val="•"/>
      <w:lvlJc w:val="left"/>
      <w:pPr>
        <w:ind w:left="1146" w:hanging="425"/>
      </w:pPr>
      <w:rPr>
        <w:rFonts w:hint="default"/>
        <w:lang w:val="en-US" w:eastAsia="en-US" w:bidi="ar-SA"/>
      </w:rPr>
    </w:lvl>
    <w:lvl w:ilvl="3" w:tplc="FB98B4E8">
      <w:numFmt w:val="bullet"/>
      <w:lvlText w:val="•"/>
      <w:lvlJc w:val="left"/>
      <w:pPr>
        <w:ind w:left="1439" w:hanging="425"/>
      </w:pPr>
      <w:rPr>
        <w:rFonts w:hint="default"/>
        <w:lang w:val="en-US" w:eastAsia="en-US" w:bidi="ar-SA"/>
      </w:rPr>
    </w:lvl>
    <w:lvl w:ilvl="4" w:tplc="B8542258">
      <w:numFmt w:val="bullet"/>
      <w:lvlText w:val="•"/>
      <w:lvlJc w:val="left"/>
      <w:pPr>
        <w:ind w:left="1732" w:hanging="425"/>
      </w:pPr>
      <w:rPr>
        <w:rFonts w:hint="default"/>
        <w:lang w:val="en-US" w:eastAsia="en-US" w:bidi="ar-SA"/>
      </w:rPr>
    </w:lvl>
    <w:lvl w:ilvl="5" w:tplc="0526F1C4">
      <w:numFmt w:val="bullet"/>
      <w:lvlText w:val="•"/>
      <w:lvlJc w:val="left"/>
      <w:pPr>
        <w:ind w:left="2025" w:hanging="425"/>
      </w:pPr>
      <w:rPr>
        <w:rFonts w:hint="default"/>
        <w:lang w:val="en-US" w:eastAsia="en-US" w:bidi="ar-SA"/>
      </w:rPr>
    </w:lvl>
    <w:lvl w:ilvl="6" w:tplc="8892EA08">
      <w:numFmt w:val="bullet"/>
      <w:lvlText w:val="•"/>
      <w:lvlJc w:val="left"/>
      <w:pPr>
        <w:ind w:left="2318" w:hanging="425"/>
      </w:pPr>
      <w:rPr>
        <w:rFonts w:hint="default"/>
        <w:lang w:val="en-US" w:eastAsia="en-US" w:bidi="ar-SA"/>
      </w:rPr>
    </w:lvl>
    <w:lvl w:ilvl="7" w:tplc="B936D22A">
      <w:numFmt w:val="bullet"/>
      <w:lvlText w:val="•"/>
      <w:lvlJc w:val="left"/>
      <w:pPr>
        <w:ind w:left="2611" w:hanging="425"/>
      </w:pPr>
      <w:rPr>
        <w:rFonts w:hint="default"/>
        <w:lang w:val="en-US" w:eastAsia="en-US" w:bidi="ar-SA"/>
      </w:rPr>
    </w:lvl>
    <w:lvl w:ilvl="8" w:tplc="3D7AC60E">
      <w:numFmt w:val="bullet"/>
      <w:lvlText w:val="•"/>
      <w:lvlJc w:val="left"/>
      <w:pPr>
        <w:ind w:left="2904" w:hanging="425"/>
      </w:pPr>
      <w:rPr>
        <w:rFonts w:hint="default"/>
        <w:lang w:val="en-US" w:eastAsia="en-US" w:bidi="ar-SA"/>
      </w:rPr>
    </w:lvl>
  </w:abstractNum>
  <w:abstractNum w:abstractNumId="21" w15:restartNumberingAfterBreak="0">
    <w:nsid w:val="588C3591"/>
    <w:multiLevelType w:val="hybridMultilevel"/>
    <w:tmpl w:val="3D265622"/>
    <w:lvl w:ilvl="0" w:tplc="A69063AA">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A086ADC2">
      <w:numFmt w:val="bullet"/>
      <w:lvlText w:val="•"/>
      <w:lvlJc w:val="left"/>
      <w:pPr>
        <w:ind w:left="853" w:hanging="425"/>
      </w:pPr>
      <w:rPr>
        <w:rFonts w:hint="default"/>
        <w:lang w:val="en-US" w:eastAsia="en-US" w:bidi="ar-SA"/>
      </w:rPr>
    </w:lvl>
    <w:lvl w:ilvl="2" w:tplc="5EE03C30">
      <w:numFmt w:val="bullet"/>
      <w:lvlText w:val="•"/>
      <w:lvlJc w:val="left"/>
      <w:pPr>
        <w:ind w:left="1146" w:hanging="425"/>
      </w:pPr>
      <w:rPr>
        <w:rFonts w:hint="default"/>
        <w:lang w:val="en-US" w:eastAsia="en-US" w:bidi="ar-SA"/>
      </w:rPr>
    </w:lvl>
    <w:lvl w:ilvl="3" w:tplc="84B21A9C">
      <w:numFmt w:val="bullet"/>
      <w:lvlText w:val="•"/>
      <w:lvlJc w:val="left"/>
      <w:pPr>
        <w:ind w:left="1439" w:hanging="425"/>
      </w:pPr>
      <w:rPr>
        <w:rFonts w:hint="default"/>
        <w:lang w:val="en-US" w:eastAsia="en-US" w:bidi="ar-SA"/>
      </w:rPr>
    </w:lvl>
    <w:lvl w:ilvl="4" w:tplc="34AE46C4">
      <w:numFmt w:val="bullet"/>
      <w:lvlText w:val="•"/>
      <w:lvlJc w:val="left"/>
      <w:pPr>
        <w:ind w:left="1732" w:hanging="425"/>
      </w:pPr>
      <w:rPr>
        <w:rFonts w:hint="default"/>
        <w:lang w:val="en-US" w:eastAsia="en-US" w:bidi="ar-SA"/>
      </w:rPr>
    </w:lvl>
    <w:lvl w:ilvl="5" w:tplc="42540BD8">
      <w:numFmt w:val="bullet"/>
      <w:lvlText w:val="•"/>
      <w:lvlJc w:val="left"/>
      <w:pPr>
        <w:ind w:left="2025" w:hanging="425"/>
      </w:pPr>
      <w:rPr>
        <w:rFonts w:hint="default"/>
        <w:lang w:val="en-US" w:eastAsia="en-US" w:bidi="ar-SA"/>
      </w:rPr>
    </w:lvl>
    <w:lvl w:ilvl="6" w:tplc="996C555E">
      <w:numFmt w:val="bullet"/>
      <w:lvlText w:val="•"/>
      <w:lvlJc w:val="left"/>
      <w:pPr>
        <w:ind w:left="2318" w:hanging="425"/>
      </w:pPr>
      <w:rPr>
        <w:rFonts w:hint="default"/>
        <w:lang w:val="en-US" w:eastAsia="en-US" w:bidi="ar-SA"/>
      </w:rPr>
    </w:lvl>
    <w:lvl w:ilvl="7" w:tplc="86F84B58">
      <w:numFmt w:val="bullet"/>
      <w:lvlText w:val="•"/>
      <w:lvlJc w:val="left"/>
      <w:pPr>
        <w:ind w:left="2611" w:hanging="425"/>
      </w:pPr>
      <w:rPr>
        <w:rFonts w:hint="default"/>
        <w:lang w:val="en-US" w:eastAsia="en-US" w:bidi="ar-SA"/>
      </w:rPr>
    </w:lvl>
    <w:lvl w:ilvl="8" w:tplc="F43C5B96">
      <w:numFmt w:val="bullet"/>
      <w:lvlText w:val="•"/>
      <w:lvlJc w:val="left"/>
      <w:pPr>
        <w:ind w:left="2904" w:hanging="425"/>
      </w:pPr>
      <w:rPr>
        <w:rFonts w:hint="default"/>
        <w:lang w:val="en-US" w:eastAsia="en-US" w:bidi="ar-SA"/>
      </w:rPr>
    </w:lvl>
  </w:abstractNum>
  <w:abstractNum w:abstractNumId="22" w15:restartNumberingAfterBreak="0">
    <w:nsid w:val="5BCB4338"/>
    <w:multiLevelType w:val="hybridMultilevel"/>
    <w:tmpl w:val="6A5471F6"/>
    <w:lvl w:ilvl="0" w:tplc="8C0061F6">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E5605708">
      <w:numFmt w:val="bullet"/>
      <w:lvlText w:val="•"/>
      <w:lvlJc w:val="left"/>
      <w:pPr>
        <w:ind w:left="853" w:hanging="425"/>
      </w:pPr>
      <w:rPr>
        <w:rFonts w:hint="default"/>
        <w:lang w:val="en-US" w:eastAsia="en-US" w:bidi="ar-SA"/>
      </w:rPr>
    </w:lvl>
    <w:lvl w:ilvl="2" w:tplc="5D4CB9B0">
      <w:numFmt w:val="bullet"/>
      <w:lvlText w:val="•"/>
      <w:lvlJc w:val="left"/>
      <w:pPr>
        <w:ind w:left="1146" w:hanging="425"/>
      </w:pPr>
      <w:rPr>
        <w:rFonts w:hint="default"/>
        <w:lang w:val="en-US" w:eastAsia="en-US" w:bidi="ar-SA"/>
      </w:rPr>
    </w:lvl>
    <w:lvl w:ilvl="3" w:tplc="0504E7B8">
      <w:numFmt w:val="bullet"/>
      <w:lvlText w:val="•"/>
      <w:lvlJc w:val="left"/>
      <w:pPr>
        <w:ind w:left="1439" w:hanging="425"/>
      </w:pPr>
      <w:rPr>
        <w:rFonts w:hint="default"/>
        <w:lang w:val="en-US" w:eastAsia="en-US" w:bidi="ar-SA"/>
      </w:rPr>
    </w:lvl>
    <w:lvl w:ilvl="4" w:tplc="3294B7E4">
      <w:numFmt w:val="bullet"/>
      <w:lvlText w:val="•"/>
      <w:lvlJc w:val="left"/>
      <w:pPr>
        <w:ind w:left="1732" w:hanging="425"/>
      </w:pPr>
      <w:rPr>
        <w:rFonts w:hint="default"/>
        <w:lang w:val="en-US" w:eastAsia="en-US" w:bidi="ar-SA"/>
      </w:rPr>
    </w:lvl>
    <w:lvl w:ilvl="5" w:tplc="3042CA48">
      <w:numFmt w:val="bullet"/>
      <w:lvlText w:val="•"/>
      <w:lvlJc w:val="left"/>
      <w:pPr>
        <w:ind w:left="2025" w:hanging="425"/>
      </w:pPr>
      <w:rPr>
        <w:rFonts w:hint="default"/>
        <w:lang w:val="en-US" w:eastAsia="en-US" w:bidi="ar-SA"/>
      </w:rPr>
    </w:lvl>
    <w:lvl w:ilvl="6" w:tplc="E0D61DAA">
      <w:numFmt w:val="bullet"/>
      <w:lvlText w:val="•"/>
      <w:lvlJc w:val="left"/>
      <w:pPr>
        <w:ind w:left="2318" w:hanging="425"/>
      </w:pPr>
      <w:rPr>
        <w:rFonts w:hint="default"/>
        <w:lang w:val="en-US" w:eastAsia="en-US" w:bidi="ar-SA"/>
      </w:rPr>
    </w:lvl>
    <w:lvl w:ilvl="7" w:tplc="8670F07E">
      <w:numFmt w:val="bullet"/>
      <w:lvlText w:val="•"/>
      <w:lvlJc w:val="left"/>
      <w:pPr>
        <w:ind w:left="2611" w:hanging="425"/>
      </w:pPr>
      <w:rPr>
        <w:rFonts w:hint="default"/>
        <w:lang w:val="en-US" w:eastAsia="en-US" w:bidi="ar-SA"/>
      </w:rPr>
    </w:lvl>
    <w:lvl w:ilvl="8" w:tplc="A46AF400">
      <w:numFmt w:val="bullet"/>
      <w:lvlText w:val="•"/>
      <w:lvlJc w:val="left"/>
      <w:pPr>
        <w:ind w:left="2904" w:hanging="425"/>
      </w:pPr>
      <w:rPr>
        <w:rFonts w:hint="default"/>
        <w:lang w:val="en-US" w:eastAsia="en-US" w:bidi="ar-SA"/>
      </w:rPr>
    </w:lvl>
  </w:abstractNum>
  <w:abstractNum w:abstractNumId="23" w15:restartNumberingAfterBreak="0">
    <w:nsid w:val="605A1DAE"/>
    <w:multiLevelType w:val="hybridMultilevel"/>
    <w:tmpl w:val="392CA05A"/>
    <w:lvl w:ilvl="0" w:tplc="07ACBED0">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154AF84E">
      <w:numFmt w:val="bullet"/>
      <w:lvlText w:val="•"/>
      <w:lvlJc w:val="left"/>
      <w:pPr>
        <w:ind w:left="853" w:hanging="425"/>
      </w:pPr>
      <w:rPr>
        <w:rFonts w:hint="default"/>
        <w:lang w:val="en-US" w:eastAsia="en-US" w:bidi="ar-SA"/>
      </w:rPr>
    </w:lvl>
    <w:lvl w:ilvl="2" w:tplc="641608D6">
      <w:numFmt w:val="bullet"/>
      <w:lvlText w:val="•"/>
      <w:lvlJc w:val="left"/>
      <w:pPr>
        <w:ind w:left="1146" w:hanging="425"/>
      </w:pPr>
      <w:rPr>
        <w:rFonts w:hint="default"/>
        <w:lang w:val="en-US" w:eastAsia="en-US" w:bidi="ar-SA"/>
      </w:rPr>
    </w:lvl>
    <w:lvl w:ilvl="3" w:tplc="336AFB1E">
      <w:numFmt w:val="bullet"/>
      <w:lvlText w:val="•"/>
      <w:lvlJc w:val="left"/>
      <w:pPr>
        <w:ind w:left="1439" w:hanging="425"/>
      </w:pPr>
      <w:rPr>
        <w:rFonts w:hint="default"/>
        <w:lang w:val="en-US" w:eastAsia="en-US" w:bidi="ar-SA"/>
      </w:rPr>
    </w:lvl>
    <w:lvl w:ilvl="4" w:tplc="4F5CCE7C">
      <w:numFmt w:val="bullet"/>
      <w:lvlText w:val="•"/>
      <w:lvlJc w:val="left"/>
      <w:pPr>
        <w:ind w:left="1732" w:hanging="425"/>
      </w:pPr>
      <w:rPr>
        <w:rFonts w:hint="default"/>
        <w:lang w:val="en-US" w:eastAsia="en-US" w:bidi="ar-SA"/>
      </w:rPr>
    </w:lvl>
    <w:lvl w:ilvl="5" w:tplc="25F47432">
      <w:numFmt w:val="bullet"/>
      <w:lvlText w:val="•"/>
      <w:lvlJc w:val="left"/>
      <w:pPr>
        <w:ind w:left="2025" w:hanging="425"/>
      </w:pPr>
      <w:rPr>
        <w:rFonts w:hint="default"/>
        <w:lang w:val="en-US" w:eastAsia="en-US" w:bidi="ar-SA"/>
      </w:rPr>
    </w:lvl>
    <w:lvl w:ilvl="6" w:tplc="330E282C">
      <w:numFmt w:val="bullet"/>
      <w:lvlText w:val="•"/>
      <w:lvlJc w:val="left"/>
      <w:pPr>
        <w:ind w:left="2318" w:hanging="425"/>
      </w:pPr>
      <w:rPr>
        <w:rFonts w:hint="default"/>
        <w:lang w:val="en-US" w:eastAsia="en-US" w:bidi="ar-SA"/>
      </w:rPr>
    </w:lvl>
    <w:lvl w:ilvl="7" w:tplc="97705088">
      <w:numFmt w:val="bullet"/>
      <w:lvlText w:val="•"/>
      <w:lvlJc w:val="left"/>
      <w:pPr>
        <w:ind w:left="2611" w:hanging="425"/>
      </w:pPr>
      <w:rPr>
        <w:rFonts w:hint="default"/>
        <w:lang w:val="en-US" w:eastAsia="en-US" w:bidi="ar-SA"/>
      </w:rPr>
    </w:lvl>
    <w:lvl w:ilvl="8" w:tplc="D6C0FEAE">
      <w:numFmt w:val="bullet"/>
      <w:lvlText w:val="•"/>
      <w:lvlJc w:val="left"/>
      <w:pPr>
        <w:ind w:left="2904" w:hanging="425"/>
      </w:pPr>
      <w:rPr>
        <w:rFonts w:hint="default"/>
        <w:lang w:val="en-US" w:eastAsia="en-US" w:bidi="ar-SA"/>
      </w:rPr>
    </w:lvl>
  </w:abstractNum>
  <w:abstractNum w:abstractNumId="24" w15:restartNumberingAfterBreak="0">
    <w:nsid w:val="62285A73"/>
    <w:multiLevelType w:val="hybridMultilevel"/>
    <w:tmpl w:val="24C4B760"/>
    <w:lvl w:ilvl="0" w:tplc="9110A1A0">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30AA7704">
      <w:numFmt w:val="bullet"/>
      <w:lvlText w:val="•"/>
      <w:lvlJc w:val="left"/>
      <w:pPr>
        <w:ind w:left="853" w:hanging="425"/>
      </w:pPr>
      <w:rPr>
        <w:rFonts w:hint="default"/>
        <w:lang w:val="en-US" w:eastAsia="en-US" w:bidi="ar-SA"/>
      </w:rPr>
    </w:lvl>
    <w:lvl w:ilvl="2" w:tplc="492A365A">
      <w:numFmt w:val="bullet"/>
      <w:lvlText w:val="•"/>
      <w:lvlJc w:val="left"/>
      <w:pPr>
        <w:ind w:left="1146" w:hanging="425"/>
      </w:pPr>
      <w:rPr>
        <w:rFonts w:hint="default"/>
        <w:lang w:val="en-US" w:eastAsia="en-US" w:bidi="ar-SA"/>
      </w:rPr>
    </w:lvl>
    <w:lvl w:ilvl="3" w:tplc="A98858C0">
      <w:numFmt w:val="bullet"/>
      <w:lvlText w:val="•"/>
      <w:lvlJc w:val="left"/>
      <w:pPr>
        <w:ind w:left="1439" w:hanging="425"/>
      </w:pPr>
      <w:rPr>
        <w:rFonts w:hint="default"/>
        <w:lang w:val="en-US" w:eastAsia="en-US" w:bidi="ar-SA"/>
      </w:rPr>
    </w:lvl>
    <w:lvl w:ilvl="4" w:tplc="4E9AE2C2">
      <w:numFmt w:val="bullet"/>
      <w:lvlText w:val="•"/>
      <w:lvlJc w:val="left"/>
      <w:pPr>
        <w:ind w:left="1732" w:hanging="425"/>
      </w:pPr>
      <w:rPr>
        <w:rFonts w:hint="default"/>
        <w:lang w:val="en-US" w:eastAsia="en-US" w:bidi="ar-SA"/>
      </w:rPr>
    </w:lvl>
    <w:lvl w:ilvl="5" w:tplc="BEAC5A34">
      <w:numFmt w:val="bullet"/>
      <w:lvlText w:val="•"/>
      <w:lvlJc w:val="left"/>
      <w:pPr>
        <w:ind w:left="2025" w:hanging="425"/>
      </w:pPr>
      <w:rPr>
        <w:rFonts w:hint="default"/>
        <w:lang w:val="en-US" w:eastAsia="en-US" w:bidi="ar-SA"/>
      </w:rPr>
    </w:lvl>
    <w:lvl w:ilvl="6" w:tplc="E1BC6DF0">
      <w:numFmt w:val="bullet"/>
      <w:lvlText w:val="•"/>
      <w:lvlJc w:val="left"/>
      <w:pPr>
        <w:ind w:left="2318" w:hanging="425"/>
      </w:pPr>
      <w:rPr>
        <w:rFonts w:hint="default"/>
        <w:lang w:val="en-US" w:eastAsia="en-US" w:bidi="ar-SA"/>
      </w:rPr>
    </w:lvl>
    <w:lvl w:ilvl="7" w:tplc="2D2A3020">
      <w:numFmt w:val="bullet"/>
      <w:lvlText w:val="•"/>
      <w:lvlJc w:val="left"/>
      <w:pPr>
        <w:ind w:left="2611" w:hanging="425"/>
      </w:pPr>
      <w:rPr>
        <w:rFonts w:hint="default"/>
        <w:lang w:val="en-US" w:eastAsia="en-US" w:bidi="ar-SA"/>
      </w:rPr>
    </w:lvl>
    <w:lvl w:ilvl="8" w:tplc="9A2AC7DC">
      <w:numFmt w:val="bullet"/>
      <w:lvlText w:val="•"/>
      <w:lvlJc w:val="left"/>
      <w:pPr>
        <w:ind w:left="2904" w:hanging="425"/>
      </w:pPr>
      <w:rPr>
        <w:rFonts w:hint="default"/>
        <w:lang w:val="en-US" w:eastAsia="en-US" w:bidi="ar-SA"/>
      </w:rPr>
    </w:lvl>
  </w:abstractNum>
  <w:abstractNum w:abstractNumId="25" w15:restartNumberingAfterBreak="0">
    <w:nsid w:val="69CD2B5F"/>
    <w:multiLevelType w:val="hybridMultilevel"/>
    <w:tmpl w:val="527E0390"/>
    <w:lvl w:ilvl="0" w:tplc="E4A2DAEC">
      <w:start w:val="1"/>
      <w:numFmt w:val="decimal"/>
      <w:lvlText w:val="%1."/>
      <w:lvlJc w:val="left"/>
      <w:pPr>
        <w:ind w:left="567" w:hanging="432"/>
      </w:pPr>
      <w:rPr>
        <w:rFonts w:ascii="Arial" w:eastAsia="Arial" w:hAnsi="Arial" w:cs="Arial" w:hint="default"/>
        <w:b w:val="0"/>
        <w:bCs w:val="0"/>
        <w:i w:val="0"/>
        <w:iCs w:val="0"/>
        <w:w w:val="100"/>
        <w:sz w:val="22"/>
        <w:szCs w:val="22"/>
        <w:lang w:val="en-US" w:eastAsia="en-US" w:bidi="ar-SA"/>
      </w:rPr>
    </w:lvl>
    <w:lvl w:ilvl="1" w:tplc="842889E2">
      <w:numFmt w:val="bullet"/>
      <w:lvlText w:val="•"/>
      <w:lvlJc w:val="left"/>
      <w:pPr>
        <w:ind w:left="853" w:hanging="432"/>
      </w:pPr>
      <w:rPr>
        <w:rFonts w:hint="default"/>
        <w:lang w:val="en-US" w:eastAsia="en-US" w:bidi="ar-SA"/>
      </w:rPr>
    </w:lvl>
    <w:lvl w:ilvl="2" w:tplc="2814F8B8">
      <w:numFmt w:val="bullet"/>
      <w:lvlText w:val="•"/>
      <w:lvlJc w:val="left"/>
      <w:pPr>
        <w:ind w:left="1146" w:hanging="432"/>
      </w:pPr>
      <w:rPr>
        <w:rFonts w:hint="default"/>
        <w:lang w:val="en-US" w:eastAsia="en-US" w:bidi="ar-SA"/>
      </w:rPr>
    </w:lvl>
    <w:lvl w:ilvl="3" w:tplc="7116D0FA">
      <w:numFmt w:val="bullet"/>
      <w:lvlText w:val="•"/>
      <w:lvlJc w:val="left"/>
      <w:pPr>
        <w:ind w:left="1439" w:hanging="432"/>
      </w:pPr>
      <w:rPr>
        <w:rFonts w:hint="default"/>
        <w:lang w:val="en-US" w:eastAsia="en-US" w:bidi="ar-SA"/>
      </w:rPr>
    </w:lvl>
    <w:lvl w:ilvl="4" w:tplc="B15473CE">
      <w:numFmt w:val="bullet"/>
      <w:lvlText w:val="•"/>
      <w:lvlJc w:val="left"/>
      <w:pPr>
        <w:ind w:left="1732" w:hanging="432"/>
      </w:pPr>
      <w:rPr>
        <w:rFonts w:hint="default"/>
        <w:lang w:val="en-US" w:eastAsia="en-US" w:bidi="ar-SA"/>
      </w:rPr>
    </w:lvl>
    <w:lvl w:ilvl="5" w:tplc="45B6BABE">
      <w:numFmt w:val="bullet"/>
      <w:lvlText w:val="•"/>
      <w:lvlJc w:val="left"/>
      <w:pPr>
        <w:ind w:left="2025" w:hanging="432"/>
      </w:pPr>
      <w:rPr>
        <w:rFonts w:hint="default"/>
        <w:lang w:val="en-US" w:eastAsia="en-US" w:bidi="ar-SA"/>
      </w:rPr>
    </w:lvl>
    <w:lvl w:ilvl="6" w:tplc="9E30255A">
      <w:numFmt w:val="bullet"/>
      <w:lvlText w:val="•"/>
      <w:lvlJc w:val="left"/>
      <w:pPr>
        <w:ind w:left="2318" w:hanging="432"/>
      </w:pPr>
      <w:rPr>
        <w:rFonts w:hint="default"/>
        <w:lang w:val="en-US" w:eastAsia="en-US" w:bidi="ar-SA"/>
      </w:rPr>
    </w:lvl>
    <w:lvl w:ilvl="7" w:tplc="339EA95E">
      <w:numFmt w:val="bullet"/>
      <w:lvlText w:val="•"/>
      <w:lvlJc w:val="left"/>
      <w:pPr>
        <w:ind w:left="2611" w:hanging="432"/>
      </w:pPr>
      <w:rPr>
        <w:rFonts w:hint="default"/>
        <w:lang w:val="en-US" w:eastAsia="en-US" w:bidi="ar-SA"/>
      </w:rPr>
    </w:lvl>
    <w:lvl w:ilvl="8" w:tplc="1F30D524">
      <w:numFmt w:val="bullet"/>
      <w:lvlText w:val="•"/>
      <w:lvlJc w:val="left"/>
      <w:pPr>
        <w:ind w:left="2904" w:hanging="432"/>
      </w:pPr>
      <w:rPr>
        <w:rFonts w:hint="default"/>
        <w:lang w:val="en-US" w:eastAsia="en-US" w:bidi="ar-SA"/>
      </w:rPr>
    </w:lvl>
  </w:abstractNum>
  <w:abstractNum w:abstractNumId="26" w15:restartNumberingAfterBreak="0">
    <w:nsid w:val="75E369E8"/>
    <w:multiLevelType w:val="hybridMultilevel"/>
    <w:tmpl w:val="BBAAE7A8"/>
    <w:lvl w:ilvl="0" w:tplc="BE9AB094">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02CA5D5E">
      <w:numFmt w:val="bullet"/>
      <w:lvlText w:val="•"/>
      <w:lvlJc w:val="left"/>
      <w:pPr>
        <w:ind w:left="853" w:hanging="425"/>
      </w:pPr>
      <w:rPr>
        <w:rFonts w:hint="default"/>
        <w:lang w:val="en-US" w:eastAsia="en-US" w:bidi="ar-SA"/>
      </w:rPr>
    </w:lvl>
    <w:lvl w:ilvl="2" w:tplc="3852074A">
      <w:numFmt w:val="bullet"/>
      <w:lvlText w:val="•"/>
      <w:lvlJc w:val="left"/>
      <w:pPr>
        <w:ind w:left="1146" w:hanging="425"/>
      </w:pPr>
      <w:rPr>
        <w:rFonts w:hint="default"/>
        <w:lang w:val="en-US" w:eastAsia="en-US" w:bidi="ar-SA"/>
      </w:rPr>
    </w:lvl>
    <w:lvl w:ilvl="3" w:tplc="E9202750">
      <w:numFmt w:val="bullet"/>
      <w:lvlText w:val="•"/>
      <w:lvlJc w:val="left"/>
      <w:pPr>
        <w:ind w:left="1439" w:hanging="425"/>
      </w:pPr>
      <w:rPr>
        <w:rFonts w:hint="default"/>
        <w:lang w:val="en-US" w:eastAsia="en-US" w:bidi="ar-SA"/>
      </w:rPr>
    </w:lvl>
    <w:lvl w:ilvl="4" w:tplc="7704675C">
      <w:numFmt w:val="bullet"/>
      <w:lvlText w:val="•"/>
      <w:lvlJc w:val="left"/>
      <w:pPr>
        <w:ind w:left="1732" w:hanging="425"/>
      </w:pPr>
      <w:rPr>
        <w:rFonts w:hint="default"/>
        <w:lang w:val="en-US" w:eastAsia="en-US" w:bidi="ar-SA"/>
      </w:rPr>
    </w:lvl>
    <w:lvl w:ilvl="5" w:tplc="C18475C4">
      <w:numFmt w:val="bullet"/>
      <w:lvlText w:val="•"/>
      <w:lvlJc w:val="left"/>
      <w:pPr>
        <w:ind w:left="2025" w:hanging="425"/>
      </w:pPr>
      <w:rPr>
        <w:rFonts w:hint="default"/>
        <w:lang w:val="en-US" w:eastAsia="en-US" w:bidi="ar-SA"/>
      </w:rPr>
    </w:lvl>
    <w:lvl w:ilvl="6" w:tplc="7EF87AB6">
      <w:numFmt w:val="bullet"/>
      <w:lvlText w:val="•"/>
      <w:lvlJc w:val="left"/>
      <w:pPr>
        <w:ind w:left="2318" w:hanging="425"/>
      </w:pPr>
      <w:rPr>
        <w:rFonts w:hint="default"/>
        <w:lang w:val="en-US" w:eastAsia="en-US" w:bidi="ar-SA"/>
      </w:rPr>
    </w:lvl>
    <w:lvl w:ilvl="7" w:tplc="1EF2B4BE">
      <w:numFmt w:val="bullet"/>
      <w:lvlText w:val="•"/>
      <w:lvlJc w:val="left"/>
      <w:pPr>
        <w:ind w:left="2611" w:hanging="425"/>
      </w:pPr>
      <w:rPr>
        <w:rFonts w:hint="default"/>
        <w:lang w:val="en-US" w:eastAsia="en-US" w:bidi="ar-SA"/>
      </w:rPr>
    </w:lvl>
    <w:lvl w:ilvl="8" w:tplc="72CEC538">
      <w:numFmt w:val="bullet"/>
      <w:lvlText w:val="•"/>
      <w:lvlJc w:val="left"/>
      <w:pPr>
        <w:ind w:left="2904" w:hanging="425"/>
      </w:pPr>
      <w:rPr>
        <w:rFonts w:hint="default"/>
        <w:lang w:val="en-US" w:eastAsia="en-US" w:bidi="ar-SA"/>
      </w:rPr>
    </w:lvl>
  </w:abstractNum>
  <w:abstractNum w:abstractNumId="27" w15:restartNumberingAfterBreak="0">
    <w:nsid w:val="77635A62"/>
    <w:multiLevelType w:val="hybridMultilevel"/>
    <w:tmpl w:val="99D6331E"/>
    <w:lvl w:ilvl="0" w:tplc="86DE59A4">
      <w:start w:val="1"/>
      <w:numFmt w:val="decimal"/>
      <w:lvlText w:val="%1."/>
      <w:lvlJc w:val="left"/>
      <w:pPr>
        <w:ind w:left="565" w:hanging="425"/>
      </w:pPr>
      <w:rPr>
        <w:rFonts w:ascii="Arial" w:eastAsia="Arial" w:hAnsi="Arial" w:cs="Arial" w:hint="default"/>
        <w:b w:val="0"/>
        <w:bCs w:val="0"/>
        <w:i w:val="0"/>
        <w:iCs w:val="0"/>
        <w:w w:val="100"/>
        <w:sz w:val="22"/>
        <w:szCs w:val="22"/>
        <w:lang w:val="en-US" w:eastAsia="en-US" w:bidi="ar-SA"/>
      </w:rPr>
    </w:lvl>
    <w:lvl w:ilvl="1" w:tplc="6C2EBE10">
      <w:numFmt w:val="bullet"/>
      <w:lvlText w:val="•"/>
      <w:lvlJc w:val="left"/>
      <w:pPr>
        <w:ind w:left="853" w:hanging="425"/>
      </w:pPr>
      <w:rPr>
        <w:rFonts w:hint="default"/>
        <w:lang w:val="en-US" w:eastAsia="en-US" w:bidi="ar-SA"/>
      </w:rPr>
    </w:lvl>
    <w:lvl w:ilvl="2" w:tplc="1E10AD54">
      <w:numFmt w:val="bullet"/>
      <w:lvlText w:val="•"/>
      <w:lvlJc w:val="left"/>
      <w:pPr>
        <w:ind w:left="1146" w:hanging="425"/>
      </w:pPr>
      <w:rPr>
        <w:rFonts w:hint="default"/>
        <w:lang w:val="en-US" w:eastAsia="en-US" w:bidi="ar-SA"/>
      </w:rPr>
    </w:lvl>
    <w:lvl w:ilvl="3" w:tplc="EFFEA60C">
      <w:numFmt w:val="bullet"/>
      <w:lvlText w:val="•"/>
      <w:lvlJc w:val="left"/>
      <w:pPr>
        <w:ind w:left="1439" w:hanging="425"/>
      </w:pPr>
      <w:rPr>
        <w:rFonts w:hint="default"/>
        <w:lang w:val="en-US" w:eastAsia="en-US" w:bidi="ar-SA"/>
      </w:rPr>
    </w:lvl>
    <w:lvl w:ilvl="4" w:tplc="9182A1B2">
      <w:numFmt w:val="bullet"/>
      <w:lvlText w:val="•"/>
      <w:lvlJc w:val="left"/>
      <w:pPr>
        <w:ind w:left="1732" w:hanging="425"/>
      </w:pPr>
      <w:rPr>
        <w:rFonts w:hint="default"/>
        <w:lang w:val="en-US" w:eastAsia="en-US" w:bidi="ar-SA"/>
      </w:rPr>
    </w:lvl>
    <w:lvl w:ilvl="5" w:tplc="A970A2EA">
      <w:numFmt w:val="bullet"/>
      <w:lvlText w:val="•"/>
      <w:lvlJc w:val="left"/>
      <w:pPr>
        <w:ind w:left="2025" w:hanging="425"/>
      </w:pPr>
      <w:rPr>
        <w:rFonts w:hint="default"/>
        <w:lang w:val="en-US" w:eastAsia="en-US" w:bidi="ar-SA"/>
      </w:rPr>
    </w:lvl>
    <w:lvl w:ilvl="6" w:tplc="855EF88E">
      <w:numFmt w:val="bullet"/>
      <w:lvlText w:val="•"/>
      <w:lvlJc w:val="left"/>
      <w:pPr>
        <w:ind w:left="2318" w:hanging="425"/>
      </w:pPr>
      <w:rPr>
        <w:rFonts w:hint="default"/>
        <w:lang w:val="en-US" w:eastAsia="en-US" w:bidi="ar-SA"/>
      </w:rPr>
    </w:lvl>
    <w:lvl w:ilvl="7" w:tplc="2474C4B6">
      <w:numFmt w:val="bullet"/>
      <w:lvlText w:val="•"/>
      <w:lvlJc w:val="left"/>
      <w:pPr>
        <w:ind w:left="2611" w:hanging="425"/>
      </w:pPr>
      <w:rPr>
        <w:rFonts w:hint="default"/>
        <w:lang w:val="en-US" w:eastAsia="en-US" w:bidi="ar-SA"/>
      </w:rPr>
    </w:lvl>
    <w:lvl w:ilvl="8" w:tplc="FAF40168">
      <w:numFmt w:val="bullet"/>
      <w:lvlText w:val="•"/>
      <w:lvlJc w:val="left"/>
      <w:pPr>
        <w:ind w:left="2904" w:hanging="425"/>
      </w:pPr>
      <w:rPr>
        <w:rFonts w:hint="default"/>
        <w:lang w:val="en-US" w:eastAsia="en-US" w:bidi="ar-SA"/>
      </w:rPr>
    </w:lvl>
  </w:abstractNum>
  <w:abstractNum w:abstractNumId="28" w15:restartNumberingAfterBreak="0">
    <w:nsid w:val="78022E66"/>
    <w:multiLevelType w:val="hybridMultilevel"/>
    <w:tmpl w:val="B41C10A2"/>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7"/>
  </w:num>
  <w:num w:numId="2" w16cid:durableId="1870607316">
    <w:abstractNumId w:val="13"/>
  </w:num>
  <w:num w:numId="3" w16cid:durableId="844322595">
    <w:abstractNumId w:val="0"/>
  </w:num>
  <w:num w:numId="4" w16cid:durableId="1456631763">
    <w:abstractNumId w:val="18"/>
  </w:num>
  <w:num w:numId="5" w16cid:durableId="628778745">
    <w:abstractNumId w:val="4"/>
  </w:num>
  <w:num w:numId="6" w16cid:durableId="670451745">
    <w:abstractNumId w:val="9"/>
  </w:num>
  <w:num w:numId="7" w16cid:durableId="2146004297">
    <w:abstractNumId w:val="24"/>
  </w:num>
  <w:num w:numId="8" w16cid:durableId="1719669215">
    <w:abstractNumId w:val="19"/>
  </w:num>
  <w:num w:numId="9" w16cid:durableId="946934390">
    <w:abstractNumId w:val="2"/>
  </w:num>
  <w:num w:numId="10" w16cid:durableId="1643803061">
    <w:abstractNumId w:val="27"/>
  </w:num>
  <w:num w:numId="11" w16cid:durableId="63266186">
    <w:abstractNumId w:val="22"/>
  </w:num>
  <w:num w:numId="12" w16cid:durableId="1127553720">
    <w:abstractNumId w:val="8"/>
  </w:num>
  <w:num w:numId="13" w16cid:durableId="859121515">
    <w:abstractNumId w:val="23"/>
  </w:num>
  <w:num w:numId="14" w16cid:durableId="1814448145">
    <w:abstractNumId w:val="3"/>
  </w:num>
  <w:num w:numId="15" w16cid:durableId="1970739957">
    <w:abstractNumId w:val="20"/>
  </w:num>
  <w:num w:numId="16" w16cid:durableId="1604875609">
    <w:abstractNumId w:val="5"/>
  </w:num>
  <w:num w:numId="17" w16cid:durableId="626357771">
    <w:abstractNumId w:val="17"/>
  </w:num>
  <w:num w:numId="18" w16cid:durableId="1599749933">
    <w:abstractNumId w:val="26"/>
  </w:num>
  <w:num w:numId="19" w16cid:durableId="1665746166">
    <w:abstractNumId w:val="14"/>
  </w:num>
  <w:num w:numId="20" w16cid:durableId="1689524953">
    <w:abstractNumId w:val="21"/>
  </w:num>
  <w:num w:numId="21" w16cid:durableId="527526457">
    <w:abstractNumId w:val="11"/>
  </w:num>
  <w:num w:numId="22" w16cid:durableId="1309169555">
    <w:abstractNumId w:val="16"/>
  </w:num>
  <w:num w:numId="23" w16cid:durableId="1908375388">
    <w:abstractNumId w:val="15"/>
  </w:num>
  <w:num w:numId="24" w16cid:durableId="976421077">
    <w:abstractNumId w:val="6"/>
  </w:num>
  <w:num w:numId="25" w16cid:durableId="405151671">
    <w:abstractNumId w:val="25"/>
  </w:num>
  <w:num w:numId="26" w16cid:durableId="1999846387">
    <w:abstractNumId w:val="1"/>
  </w:num>
  <w:num w:numId="27" w16cid:durableId="352996323">
    <w:abstractNumId w:val="12"/>
  </w:num>
  <w:num w:numId="28" w16cid:durableId="16782622">
    <w:abstractNumId w:val="10"/>
  </w:num>
  <w:num w:numId="29" w16cid:durableId="1290404724">
    <w:abstractNumId w:val="28"/>
  </w:num>
  <w:num w:numId="30" w16cid:durableId="1374111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07"/>
    <w:rsid w:val="00011B7D"/>
    <w:rsid w:val="00015830"/>
    <w:rsid w:val="00075432"/>
    <w:rsid w:val="000E0DA3"/>
    <w:rsid w:val="000F5E56"/>
    <w:rsid w:val="001352EC"/>
    <w:rsid w:val="001362EE"/>
    <w:rsid w:val="001832A6"/>
    <w:rsid w:val="00195C6E"/>
    <w:rsid w:val="00197881"/>
    <w:rsid w:val="001B266A"/>
    <w:rsid w:val="001D3D56"/>
    <w:rsid w:val="001E0C8B"/>
    <w:rsid w:val="002153BB"/>
    <w:rsid w:val="00240654"/>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E327C"/>
    <w:rsid w:val="004F4E31"/>
    <w:rsid w:val="00500907"/>
    <w:rsid w:val="00525B63"/>
    <w:rsid w:val="00547476"/>
    <w:rsid w:val="00561DB8"/>
    <w:rsid w:val="00567A4C"/>
    <w:rsid w:val="005E6516"/>
    <w:rsid w:val="00605827"/>
    <w:rsid w:val="00676936"/>
    <w:rsid w:val="00685043"/>
    <w:rsid w:val="006B0DB5"/>
    <w:rsid w:val="006E4243"/>
    <w:rsid w:val="007461F1"/>
    <w:rsid w:val="007C4B3E"/>
    <w:rsid w:val="007D6961"/>
    <w:rsid w:val="007F07CB"/>
    <w:rsid w:val="00810CEF"/>
    <w:rsid w:val="0081208D"/>
    <w:rsid w:val="008236DE"/>
    <w:rsid w:val="00842A13"/>
    <w:rsid w:val="008B2CC1"/>
    <w:rsid w:val="008E7930"/>
    <w:rsid w:val="0090731E"/>
    <w:rsid w:val="00966A22"/>
    <w:rsid w:val="00974CD6"/>
    <w:rsid w:val="009D30E6"/>
    <w:rsid w:val="009E3F6F"/>
    <w:rsid w:val="009F499F"/>
    <w:rsid w:val="00A02BD3"/>
    <w:rsid w:val="00A85452"/>
    <w:rsid w:val="00AA1F20"/>
    <w:rsid w:val="00AC0AE4"/>
    <w:rsid w:val="00AD61DB"/>
    <w:rsid w:val="00B27062"/>
    <w:rsid w:val="00B87BCF"/>
    <w:rsid w:val="00BA62D4"/>
    <w:rsid w:val="00BC67D5"/>
    <w:rsid w:val="00C153FD"/>
    <w:rsid w:val="00C40E15"/>
    <w:rsid w:val="00C664C8"/>
    <w:rsid w:val="00C76A79"/>
    <w:rsid w:val="00CA15F5"/>
    <w:rsid w:val="00CF0460"/>
    <w:rsid w:val="00D45252"/>
    <w:rsid w:val="00D71B4D"/>
    <w:rsid w:val="00D75C1E"/>
    <w:rsid w:val="00D93D55"/>
    <w:rsid w:val="00DA607F"/>
    <w:rsid w:val="00DB0349"/>
    <w:rsid w:val="00DD6A16"/>
    <w:rsid w:val="00E0091A"/>
    <w:rsid w:val="00E203AA"/>
    <w:rsid w:val="00E527A5"/>
    <w:rsid w:val="00E76456"/>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48FBD"/>
  <w15:docId w15:val="{D1BBC9E9-9866-40DA-BB62-A98DCDF9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907"/>
    <w:pPr>
      <w:widowControl w:val="0"/>
      <w:autoSpaceDE w:val="0"/>
      <w:autoSpaceDN w:val="0"/>
    </w:pPr>
    <w:rPr>
      <w:rFonts w:ascii="Arial" w:eastAsia="Arial" w:hAnsi="Arial" w:cs="Arial"/>
      <w:sz w:val="22"/>
      <w:szCs w:val="22"/>
      <w:lang w:val="fr-FR" w:eastAsia="en-US"/>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uiPriority w:val="9"/>
    <w:rsid w:val="00500907"/>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uiPriority w:val="1"/>
    <w:rsid w:val="00500907"/>
    <w:rPr>
      <w:rFonts w:ascii="Arial" w:eastAsia="SimSun" w:hAnsi="Arial" w:cs="Arial"/>
      <w:sz w:val="22"/>
      <w:lang w:eastAsia="zh-CN"/>
    </w:rPr>
  </w:style>
  <w:style w:type="paragraph" w:styleId="Title">
    <w:name w:val="Title"/>
    <w:basedOn w:val="Normal"/>
    <w:link w:val="TitleChar"/>
    <w:uiPriority w:val="10"/>
    <w:qFormat/>
    <w:rsid w:val="00500907"/>
    <w:pPr>
      <w:spacing w:before="93"/>
      <w:ind w:right="476"/>
      <w:jc w:val="center"/>
    </w:pPr>
    <w:rPr>
      <w:b/>
      <w:bCs/>
      <w:sz w:val="21"/>
      <w:szCs w:val="21"/>
    </w:rPr>
  </w:style>
  <w:style w:type="character" w:customStyle="1" w:styleId="TitleChar">
    <w:name w:val="Title Char"/>
    <w:basedOn w:val="DefaultParagraphFont"/>
    <w:link w:val="Title"/>
    <w:uiPriority w:val="10"/>
    <w:rsid w:val="00500907"/>
    <w:rPr>
      <w:rFonts w:ascii="Arial" w:eastAsia="Arial" w:hAnsi="Arial" w:cs="Arial"/>
      <w:b/>
      <w:bCs/>
      <w:sz w:val="21"/>
      <w:szCs w:val="21"/>
      <w:lang w:val="fr-FR" w:eastAsia="en-US"/>
    </w:rPr>
  </w:style>
  <w:style w:type="paragraph" w:styleId="ListParagraph">
    <w:name w:val="List Paragraph"/>
    <w:basedOn w:val="Normal"/>
    <w:uiPriority w:val="34"/>
    <w:qFormat/>
    <w:rsid w:val="00500907"/>
    <w:pPr>
      <w:ind w:left="131"/>
    </w:pPr>
  </w:style>
  <w:style w:type="paragraph" w:customStyle="1" w:styleId="TableParagraph">
    <w:name w:val="Table Paragraph"/>
    <w:basedOn w:val="Normal"/>
    <w:uiPriority w:val="1"/>
    <w:qFormat/>
    <w:rsid w:val="00500907"/>
  </w:style>
  <w:style w:type="character" w:customStyle="1" w:styleId="HeaderChar">
    <w:name w:val="Header Char"/>
    <w:basedOn w:val="DefaultParagraphFont"/>
    <w:link w:val="Header"/>
    <w:uiPriority w:val="99"/>
    <w:rsid w:val="00500907"/>
    <w:rPr>
      <w:rFonts w:ascii="Arial" w:eastAsia="SimSun" w:hAnsi="Arial" w:cs="Arial"/>
      <w:sz w:val="22"/>
      <w:lang w:eastAsia="zh-CN"/>
    </w:rPr>
  </w:style>
  <w:style w:type="character" w:customStyle="1" w:styleId="FooterChar">
    <w:name w:val="Footer Char"/>
    <w:basedOn w:val="DefaultParagraphFont"/>
    <w:link w:val="Footer"/>
    <w:uiPriority w:val="99"/>
    <w:rsid w:val="00500907"/>
    <w:rPr>
      <w:rFonts w:ascii="Arial" w:eastAsia="SimSun" w:hAnsi="Arial" w:cs="Arial"/>
      <w:sz w:val="22"/>
      <w:lang w:eastAsia="zh-CN"/>
    </w:rPr>
  </w:style>
  <w:style w:type="paragraph" w:styleId="Revision">
    <w:name w:val="Revision"/>
    <w:hidden/>
    <w:uiPriority w:val="99"/>
    <w:semiHidden/>
    <w:rsid w:val="004E327C"/>
    <w:rPr>
      <w:rFonts w:ascii="Arial" w:eastAsia="Arial" w:hAnsi="Arial" w:cs="Arial"/>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72</TotalTime>
  <Pages>11</Pages>
  <Words>3715</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CWS/12/19 Annexe III</vt:lpstr>
    </vt:vector>
  </TitlesOfParts>
  <Company>WIPO</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CWS/12/19 Annexe III</dc:title>
  <dc:creator>LE GUEN Haude</dc:creator>
  <cp:keywords>FOR OFFICIAL USE ONLY</cp:keywords>
  <cp:lastModifiedBy>BLANCHET Gaspard</cp:lastModifiedBy>
  <cp:revision>5</cp:revision>
  <cp:lastPrinted>2011-05-19T12:37:00Z</cp:lastPrinted>
  <dcterms:created xsi:type="dcterms:W3CDTF">2024-07-26T13:59:00Z</dcterms:created>
  <dcterms:modified xsi:type="dcterms:W3CDTF">2024-07-30T13:15:00Z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2024-07-26T14:53:25Z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05cfb2be-b7fc-4aee-bf63-994c96306837</vt:lpwstr>
  </property>
  <property fmtid="{D5CDD505-2E9C-101B-9397-08002B2CF9AE}" pid="14" name="MSIP_Label_20773ee6-353b-4fb9-a59d-0b94c8c67bea_ContentBits">
    <vt:lpwstr>0</vt:lpwstr>
  </property>
</Properties>
</file>