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267D31" w14:textId="77777777" w:rsidR="008B2CC1" w:rsidRPr="008B2CC1" w:rsidRDefault="00DB0349" w:rsidP="00DB0349">
      <w:pPr>
        <w:spacing w:after="120"/>
        <w:jc w:val="right"/>
      </w:pPr>
      <w:r>
        <w:rPr>
          <w:noProof/>
          <w:lang w:val="en-US" w:eastAsia="en-US"/>
        </w:rPr>
        <w:drawing>
          <wp:inline distT="0" distB="0" distL="0" distR="0" wp14:anchorId="499AB4EF" wp14:editId="4F1C13AF">
            <wp:extent cx="2948267" cy="1332000"/>
            <wp:effectExtent l="0" t="0" r="5080" b="1905"/>
            <wp:docPr id="4" name="Picture 4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IPO_logo_F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8267" cy="13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87BCF" w:rsidRPr="00601760">
        <w:rPr>
          <w:rFonts w:ascii="Arial Black" w:hAnsi="Arial Black"/>
          <w:caps/>
          <w:noProof/>
          <w:sz w:val="15"/>
          <w:szCs w:val="15"/>
          <w:lang w:val="en-US" w:eastAsia="en-US"/>
        </w:rPr>
        <mc:AlternateContent>
          <mc:Choice Requires="wps">
            <w:drawing>
              <wp:inline distT="0" distB="0" distL="0" distR="0" wp14:anchorId="032BF8C5" wp14:editId="48F34906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40A1B78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5A9D8954" w14:textId="3FCD3F14" w:rsidR="008B2CC1" w:rsidRPr="00DB0349" w:rsidRDefault="00197881" w:rsidP="00DB0349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CWS/1</w:t>
      </w:r>
      <w:r w:rsidR="001352EC">
        <w:rPr>
          <w:rFonts w:ascii="Arial Black" w:hAnsi="Arial Black"/>
          <w:caps/>
          <w:sz w:val="15"/>
          <w:szCs w:val="15"/>
        </w:rPr>
        <w:t>2</w:t>
      </w:r>
      <w:r>
        <w:rPr>
          <w:rFonts w:ascii="Arial Black" w:hAnsi="Arial Black"/>
          <w:caps/>
          <w:sz w:val="15"/>
          <w:szCs w:val="15"/>
        </w:rPr>
        <w:t>/</w:t>
      </w:r>
      <w:bookmarkStart w:id="0" w:name="Code"/>
      <w:bookmarkEnd w:id="0"/>
      <w:r w:rsidR="0041622B">
        <w:rPr>
          <w:rFonts w:ascii="Arial Black" w:hAnsi="Arial Black"/>
          <w:caps/>
          <w:sz w:val="15"/>
          <w:szCs w:val="15"/>
        </w:rPr>
        <w:t>2</w:t>
      </w:r>
    </w:p>
    <w:p w14:paraId="68AA551F" w14:textId="5B0487A7" w:rsidR="008B2CC1" w:rsidRPr="00DB0349" w:rsidRDefault="00DB0349" w:rsidP="00DB0349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Original</w:t>
      </w:r>
      <w:r w:rsidR="00102F72">
        <w:rPr>
          <w:rFonts w:ascii="Arial Black" w:hAnsi="Arial Black"/>
          <w:caps/>
          <w:sz w:val="15"/>
          <w:szCs w:val="15"/>
        </w:rPr>
        <w:t> :</w:t>
      </w:r>
      <w:r>
        <w:rPr>
          <w:rFonts w:ascii="Arial Black" w:hAnsi="Arial Black"/>
          <w:caps/>
          <w:sz w:val="15"/>
          <w:szCs w:val="15"/>
        </w:rPr>
        <w:t xml:space="preserve"> </w:t>
      </w:r>
      <w:bookmarkStart w:id="1" w:name="Original"/>
      <w:r w:rsidR="0041622B">
        <w:rPr>
          <w:rFonts w:ascii="Arial Black" w:hAnsi="Arial Black"/>
          <w:caps/>
          <w:sz w:val="15"/>
          <w:szCs w:val="15"/>
        </w:rPr>
        <w:t>anglais</w:t>
      </w:r>
    </w:p>
    <w:bookmarkEnd w:id="1"/>
    <w:p w14:paraId="69907EE5" w14:textId="012987C9" w:rsidR="008B2CC1" w:rsidRPr="00197881" w:rsidRDefault="00DB0349" w:rsidP="00DB0349">
      <w:pPr>
        <w:spacing w:after="1200"/>
        <w:jc w:val="right"/>
        <w:rPr>
          <w:rFonts w:ascii="Arial Black" w:hAnsi="Arial Black"/>
          <w:b/>
          <w:caps/>
          <w:sz w:val="28"/>
          <w:szCs w:val="28"/>
        </w:rPr>
      </w:pPr>
      <w:r>
        <w:rPr>
          <w:rFonts w:ascii="Arial Black" w:hAnsi="Arial Black"/>
          <w:caps/>
          <w:sz w:val="15"/>
          <w:szCs w:val="15"/>
        </w:rPr>
        <w:t>date</w:t>
      </w:r>
      <w:r w:rsidR="00102F72">
        <w:rPr>
          <w:rFonts w:ascii="Arial Black" w:hAnsi="Arial Black"/>
          <w:caps/>
          <w:sz w:val="15"/>
          <w:szCs w:val="15"/>
        </w:rPr>
        <w:t> :</w:t>
      </w:r>
      <w:r>
        <w:rPr>
          <w:rFonts w:ascii="Arial Black" w:hAnsi="Arial Black"/>
          <w:caps/>
          <w:sz w:val="15"/>
          <w:szCs w:val="15"/>
        </w:rPr>
        <w:t xml:space="preserve"> </w:t>
      </w:r>
      <w:bookmarkStart w:id="2" w:name="Date"/>
      <w:r w:rsidR="0041622B">
        <w:rPr>
          <w:rFonts w:ascii="Arial Black" w:hAnsi="Arial Black"/>
          <w:caps/>
          <w:sz w:val="15"/>
          <w:szCs w:val="15"/>
        </w:rPr>
        <w:t>12</w:t>
      </w:r>
      <w:r w:rsidR="00AC10A7">
        <w:rPr>
          <w:rFonts w:ascii="Arial Black" w:hAnsi="Arial Black"/>
          <w:caps/>
          <w:sz w:val="15"/>
          <w:szCs w:val="15"/>
        </w:rPr>
        <w:t> </w:t>
      </w:r>
      <w:r w:rsidR="00102F72">
        <w:rPr>
          <w:rFonts w:ascii="Arial Black" w:hAnsi="Arial Black"/>
          <w:caps/>
          <w:sz w:val="15"/>
          <w:szCs w:val="15"/>
        </w:rPr>
        <w:t>août 20</w:t>
      </w:r>
      <w:r w:rsidR="0041622B">
        <w:rPr>
          <w:rFonts w:ascii="Arial Black" w:hAnsi="Arial Black"/>
          <w:caps/>
          <w:sz w:val="15"/>
          <w:szCs w:val="15"/>
        </w:rPr>
        <w:t>24</w:t>
      </w:r>
    </w:p>
    <w:bookmarkEnd w:id="2"/>
    <w:p w14:paraId="676101F6" w14:textId="536958E3" w:rsidR="00C40E15" w:rsidRPr="00197881" w:rsidRDefault="00197881" w:rsidP="00DB0349">
      <w:pPr>
        <w:spacing w:after="600"/>
        <w:rPr>
          <w:b/>
          <w:sz w:val="28"/>
          <w:szCs w:val="28"/>
        </w:rPr>
      </w:pPr>
      <w:r w:rsidRPr="00197881">
        <w:rPr>
          <w:b/>
          <w:sz w:val="28"/>
          <w:szCs w:val="28"/>
        </w:rPr>
        <w:t>Comité des normes de l</w:t>
      </w:r>
      <w:r w:rsidR="00102F72">
        <w:rPr>
          <w:b/>
          <w:sz w:val="28"/>
          <w:szCs w:val="28"/>
        </w:rPr>
        <w:t>’</w:t>
      </w:r>
      <w:r w:rsidRPr="00197881">
        <w:rPr>
          <w:b/>
          <w:sz w:val="28"/>
          <w:szCs w:val="28"/>
        </w:rPr>
        <w:t>OMPI (CWS)</w:t>
      </w:r>
    </w:p>
    <w:p w14:paraId="0F95345B" w14:textId="5D4E18DB" w:rsidR="008B2CC1" w:rsidRPr="00197881" w:rsidRDefault="001352EC" w:rsidP="008B2CC1">
      <w:pPr>
        <w:rPr>
          <w:b/>
          <w:sz w:val="28"/>
          <w:szCs w:val="24"/>
        </w:rPr>
      </w:pPr>
      <w:r w:rsidRPr="00197881">
        <w:rPr>
          <w:b/>
          <w:sz w:val="24"/>
        </w:rPr>
        <w:t>D</w:t>
      </w:r>
      <w:r>
        <w:rPr>
          <w:b/>
          <w:sz w:val="24"/>
        </w:rPr>
        <w:t>ouz</w:t>
      </w:r>
      <w:r w:rsidR="00102F72">
        <w:rPr>
          <w:b/>
          <w:sz w:val="24"/>
        </w:rPr>
        <w:t>ième session</w:t>
      </w:r>
    </w:p>
    <w:p w14:paraId="6A062F71" w14:textId="77B08C10" w:rsidR="008B2CC1" w:rsidRPr="00197881" w:rsidRDefault="00197881" w:rsidP="00DB0349">
      <w:pPr>
        <w:spacing w:after="720"/>
        <w:rPr>
          <w:b/>
          <w:sz w:val="28"/>
          <w:szCs w:val="24"/>
        </w:rPr>
      </w:pPr>
      <w:r w:rsidRPr="00197881">
        <w:rPr>
          <w:b/>
          <w:sz w:val="24"/>
        </w:rPr>
        <w:t>Genève,</w:t>
      </w:r>
      <w:r w:rsidR="001352EC" w:rsidRPr="001352EC">
        <w:rPr>
          <w:b/>
          <w:sz w:val="24"/>
        </w:rPr>
        <w:t xml:space="preserve"> </w:t>
      </w:r>
      <w:r w:rsidR="001352EC">
        <w:rPr>
          <w:b/>
          <w:sz w:val="24"/>
        </w:rPr>
        <w:t xml:space="preserve">16 </w:t>
      </w:r>
      <w:r w:rsidR="001352EC" w:rsidRPr="00197881">
        <w:rPr>
          <w:b/>
          <w:sz w:val="24"/>
        </w:rPr>
        <w:t xml:space="preserve">– </w:t>
      </w:r>
      <w:r w:rsidR="00AC10A7">
        <w:rPr>
          <w:b/>
          <w:sz w:val="24"/>
        </w:rPr>
        <w:t>1</w:t>
      </w:r>
      <w:r w:rsidR="00102F72">
        <w:rPr>
          <w:b/>
          <w:sz w:val="24"/>
        </w:rPr>
        <w:t>9 septembre </w:t>
      </w:r>
      <w:r w:rsidR="00102F72" w:rsidRPr="00197881">
        <w:rPr>
          <w:b/>
          <w:sz w:val="24"/>
        </w:rPr>
        <w:t>20</w:t>
      </w:r>
      <w:r w:rsidR="001352EC" w:rsidRPr="00197881">
        <w:rPr>
          <w:b/>
          <w:sz w:val="24"/>
        </w:rPr>
        <w:t>2</w:t>
      </w:r>
      <w:r w:rsidR="001352EC">
        <w:rPr>
          <w:b/>
          <w:sz w:val="24"/>
        </w:rPr>
        <w:t>4</w:t>
      </w:r>
    </w:p>
    <w:p w14:paraId="0A56FE96" w14:textId="1E22F7D9" w:rsidR="008B2CC1" w:rsidRPr="00842A13" w:rsidRDefault="0041622B" w:rsidP="00DB0349">
      <w:pPr>
        <w:spacing w:after="360"/>
        <w:rPr>
          <w:caps/>
          <w:sz w:val="24"/>
        </w:rPr>
      </w:pPr>
      <w:bookmarkStart w:id="3" w:name="TitleOfDoc"/>
      <w:r>
        <w:rPr>
          <w:caps/>
          <w:sz w:val="24"/>
        </w:rPr>
        <w:t>Programme de travail et liste des tâches</w:t>
      </w:r>
      <w:r w:rsidR="00102F72">
        <w:rPr>
          <w:caps/>
          <w:sz w:val="24"/>
        </w:rPr>
        <w:t xml:space="preserve"> du CWS</w:t>
      </w:r>
    </w:p>
    <w:p w14:paraId="46716F9F" w14:textId="77777777" w:rsidR="00525B63" w:rsidRPr="00C153FD" w:rsidRDefault="0041622B" w:rsidP="00DB0349">
      <w:pPr>
        <w:spacing w:after="960"/>
        <w:rPr>
          <w:i/>
        </w:rPr>
      </w:pPr>
      <w:bookmarkStart w:id="4" w:name="Prepared"/>
      <w:bookmarkEnd w:id="3"/>
      <w:r>
        <w:rPr>
          <w:i/>
        </w:rPr>
        <w:t>Document établi par le Secrétariat</w:t>
      </w:r>
    </w:p>
    <w:bookmarkEnd w:id="4"/>
    <w:p w14:paraId="09077E20" w14:textId="77777777" w:rsidR="0041622B" w:rsidRPr="00190321" w:rsidRDefault="0041622B" w:rsidP="0041622B">
      <w:pPr>
        <w:pStyle w:val="Heading2"/>
      </w:pPr>
      <w:r>
        <w:t>Résumé</w:t>
      </w:r>
    </w:p>
    <w:p w14:paraId="7F7E3729" w14:textId="5A31B1FC" w:rsidR="0041622B" w:rsidRPr="003F62DB" w:rsidRDefault="0041622B" w:rsidP="0041622B">
      <w:pPr>
        <w:pStyle w:val="ONUMFS"/>
      </w:pPr>
      <w:r w:rsidRPr="003F62DB">
        <w:t>Le présent document résume le programme de travail et la liste des tâches actualisés du Comité des normes de l</w:t>
      </w:r>
      <w:r w:rsidR="00102F72">
        <w:t>’</w:t>
      </w:r>
      <w:r w:rsidRPr="003F62DB">
        <w:t>OMPI (CWS), qui seront examinés lors de la présente session.</w:t>
      </w:r>
    </w:p>
    <w:p w14:paraId="2817202C" w14:textId="77777777" w:rsidR="0041622B" w:rsidRPr="00190321" w:rsidRDefault="0041622B" w:rsidP="0041622B">
      <w:pPr>
        <w:pStyle w:val="Heading2"/>
      </w:pPr>
      <w:r>
        <w:t>Introduction</w:t>
      </w:r>
    </w:p>
    <w:p w14:paraId="1A3A10A1" w14:textId="70708D9A" w:rsidR="0041622B" w:rsidRDefault="0041622B" w:rsidP="0041622B">
      <w:pPr>
        <w:pStyle w:val="ONUMFS"/>
      </w:pPr>
      <w:r>
        <w:t>À sa onz</w:t>
      </w:r>
      <w:r w:rsidR="00102F72">
        <w:t>ième session</w:t>
      </w:r>
      <w:r>
        <w:t>, tenue en 2023, le CWS a examiné son programme de travail et sa liste de tâches, qui ont été joints en annexe au document CWS/11/8.  La liste comprenait 24 tâches, dont 19 ont été confiées à une équipe d</w:t>
      </w:r>
      <w:r w:rsidR="00102F72">
        <w:t>’</w:t>
      </w:r>
      <w:r>
        <w:t>experts donn</w:t>
      </w:r>
      <w:r w:rsidR="00A3373D">
        <w:t>ée.  Qu</w:t>
      </w:r>
      <w:r>
        <w:t>atre</w:t>
      </w:r>
      <w:r w:rsidR="007F1E05">
        <w:t> </w:t>
      </w:r>
      <w:r>
        <w:t>propositions ont été faites pour mettre à jour le programme de travail existant et trois</w:t>
      </w:r>
      <w:r w:rsidR="007F1E05">
        <w:t> </w:t>
      </w:r>
      <w:r>
        <w:t>pour créer de nouvelles tâches CWS, présentées dans les documents CWS/11/15, CWS/11/16 et CWS/11/25.</w:t>
      </w:r>
    </w:p>
    <w:p w14:paraId="409C9F65" w14:textId="64D7258C" w:rsidR="0041622B" w:rsidRDefault="0041622B" w:rsidP="0041622B">
      <w:pPr>
        <w:pStyle w:val="ONUMFS"/>
      </w:pPr>
      <w:r>
        <w:t>À cette même session, le CWS a approuvé la liste révisée des tâches telle qu</w:t>
      </w:r>
      <w:r w:rsidR="00102F72">
        <w:t>’</w:t>
      </w:r>
      <w:r>
        <w:t>elle figure à l</w:t>
      </w:r>
      <w:r w:rsidR="00102F72">
        <w:t>’</w:t>
      </w:r>
      <w:r>
        <w:t>annexe II du document CWS/11/28, qui reprend la décision du CWS</w:t>
      </w:r>
      <w:r w:rsidR="00102F72">
        <w:t> :</w:t>
      </w:r>
      <w:r>
        <w:t xml:space="preserve"> quatre</w:t>
      </w:r>
      <w:r w:rsidR="007F1E05">
        <w:t> </w:t>
      </w:r>
      <w:r>
        <w:t>tâches abandonnées (n° 38, n° 39, n° 42 et n° 57);  sept</w:t>
      </w:r>
      <w:r w:rsidR="007F1E05">
        <w:t> </w:t>
      </w:r>
      <w:r>
        <w:t xml:space="preserve">tâches révisées;  une tâche </w:t>
      </w:r>
      <w:r w:rsidRPr="00345669">
        <w:t>supplémentaire</w:t>
      </w:r>
      <w:r>
        <w:t xml:space="preserve"> (n° 60 en suspens);  et une nouvelle tâche (n° 66).</w:t>
      </w:r>
    </w:p>
    <w:p w14:paraId="539BB44A" w14:textId="46CB1676" w:rsidR="0041622B" w:rsidRPr="00007000" w:rsidRDefault="0041622B" w:rsidP="0041622B">
      <w:pPr>
        <w:pStyle w:val="Heading3"/>
      </w:pPr>
      <w:r>
        <w:t>Membres des équipes d</w:t>
      </w:r>
      <w:r w:rsidR="00102F72">
        <w:t>’</w:t>
      </w:r>
      <w:r>
        <w:t>experts du CWS</w:t>
      </w:r>
    </w:p>
    <w:p w14:paraId="1760697B" w14:textId="4A085AEB" w:rsidR="0041622B" w:rsidRDefault="0041622B" w:rsidP="0041622B">
      <w:pPr>
        <w:pStyle w:val="ONUMFS"/>
      </w:pPr>
      <w:r>
        <w:t>Douze équipes d</w:t>
      </w:r>
      <w:r w:rsidR="00102F72">
        <w:t>’</w:t>
      </w:r>
      <w:r>
        <w:t>experts du CWS sont actuellement en activi</w:t>
      </w:r>
      <w:r w:rsidR="00A3373D">
        <w:t>té.  De</w:t>
      </w:r>
      <w:r>
        <w:t>s experts en la matière de 63 membres du CWS et de trois</w:t>
      </w:r>
      <w:r w:rsidR="007F1E05">
        <w:t> </w:t>
      </w:r>
      <w:r>
        <w:t>observateurs participent aux équipes d</w:t>
      </w:r>
      <w:r w:rsidR="00102F72">
        <w:t>’</w:t>
      </w:r>
      <w:r>
        <w:t>exper</w:t>
      </w:r>
      <w:r w:rsidR="00A3373D">
        <w:t>ts.  Po</w:t>
      </w:r>
      <w:r>
        <w:t>ur une meilleure communication avec les membres et les observateurs des équipes d</w:t>
      </w:r>
      <w:r w:rsidR="00102F72">
        <w:t>’</w:t>
      </w:r>
      <w:r>
        <w:t>experts, le Secrétariat a mis de l</w:t>
      </w:r>
      <w:r w:rsidR="00102F72">
        <w:t>’</w:t>
      </w:r>
      <w:r>
        <w:t>ordre dans les listes de membres en 2024, en consultation avec tous les membres et observateurs des équipes d</w:t>
      </w:r>
      <w:r w:rsidR="00102F72">
        <w:t>’</w:t>
      </w:r>
      <w:r>
        <w:t>exper</w:t>
      </w:r>
      <w:r w:rsidR="00A3373D">
        <w:t>ts.  En</w:t>
      </w:r>
      <w:r>
        <w:t> 2024, le Secrétariat a supprimé les entrées qui n</w:t>
      </w:r>
      <w:r w:rsidR="00102F72">
        <w:t>’</w:t>
      </w:r>
      <w:r>
        <w:t>étaient plus valabl</w:t>
      </w:r>
      <w:r w:rsidR="00A3373D">
        <w:t>es.  La</w:t>
      </w:r>
      <w:r>
        <w:t xml:space="preserve"> nouvelle composition des équipes d</w:t>
      </w:r>
      <w:r w:rsidR="00102F72">
        <w:t>’</w:t>
      </w:r>
      <w:r>
        <w:t>experts du CWS est disponible sur le site</w:t>
      </w:r>
      <w:r w:rsidR="007F1E05">
        <w:t> </w:t>
      </w:r>
      <w:r>
        <w:t>Web de l</w:t>
      </w:r>
      <w:r w:rsidR="00102F72">
        <w:t>’</w:t>
      </w:r>
      <w:r>
        <w:t>OMPI à l</w:t>
      </w:r>
      <w:r w:rsidR="00102F72">
        <w:t>’</w:t>
      </w:r>
      <w:r>
        <w:t xml:space="preserve">adresse </w:t>
      </w:r>
      <w:hyperlink r:id="rId8" w:history="1">
        <w:r>
          <w:rPr>
            <w:rStyle w:val="Hyperlink"/>
            <w:color w:val="0070C0"/>
          </w:rPr>
          <w:t>https://www.wipo.int/cws/en/taskforce/members.html</w:t>
        </w:r>
      </w:hyperlink>
      <w:r>
        <w:t>.</w:t>
      </w:r>
    </w:p>
    <w:p w14:paraId="68BB4B0E" w14:textId="77777777" w:rsidR="0041622B" w:rsidRDefault="0041622B" w:rsidP="0041622B">
      <w:pPr>
        <w:pStyle w:val="Heading2"/>
      </w:pPr>
      <w:r>
        <w:lastRenderedPageBreak/>
        <w:t>Rapport sur les activités menées dans le cadre du programme de travail du CWS</w:t>
      </w:r>
    </w:p>
    <w:p w14:paraId="743B3AD7" w14:textId="47A128AA" w:rsidR="0041622B" w:rsidRDefault="0041622B" w:rsidP="0041622B">
      <w:pPr>
        <w:pStyle w:val="ONUMFS"/>
      </w:pPr>
      <w:r>
        <w:t>Depuis la onz</w:t>
      </w:r>
      <w:r w:rsidR="00102F72">
        <w:t>ième session</w:t>
      </w:r>
      <w:r>
        <w:t xml:space="preserve"> du comité, les équipes d</w:t>
      </w:r>
      <w:r w:rsidR="00102F72">
        <w:t>’</w:t>
      </w:r>
      <w:r>
        <w:t>experts du CWS ont travaillé dans le cadre des tâches du CWS, approuvées à la onz</w:t>
      </w:r>
      <w:r w:rsidR="00102F72">
        <w:t>ième session</w:t>
      </w:r>
      <w:r>
        <w:t xml:space="preserve"> du CWS, qui constituent le programme de trava</w:t>
      </w:r>
      <w:r w:rsidR="00A3373D">
        <w:t>il.  La</w:t>
      </w:r>
      <w:r>
        <w:t xml:space="preserve"> liste comprend 19 tâches en cours d</w:t>
      </w:r>
      <w:r w:rsidR="00102F72">
        <w:t>’</w:t>
      </w:r>
      <w:r>
        <w:t>exécution, dont 14 sont confiées à leur équipe d</w:t>
      </w:r>
      <w:r w:rsidR="00102F72">
        <w:t>’</w:t>
      </w:r>
      <w:r>
        <w:t>experts dédi</w:t>
      </w:r>
      <w:r w:rsidR="00A3373D">
        <w:t>ée.  En</w:t>
      </w:r>
      <w:r>
        <w:t xml:space="preserve"> outre, deux</w:t>
      </w:r>
      <w:r w:rsidR="007F1E05">
        <w:t> </w:t>
      </w:r>
      <w:r>
        <w:t>tâches sont actuellement en suspens.</w:t>
      </w:r>
    </w:p>
    <w:p w14:paraId="1F4D3362" w14:textId="0CA1EF62" w:rsidR="0041622B" w:rsidRDefault="0041622B" w:rsidP="0041622B">
      <w:pPr>
        <w:pStyle w:val="ONUMFS"/>
      </w:pPr>
      <w:r>
        <w:t>Comme le CWS l</w:t>
      </w:r>
      <w:r w:rsidR="00102F72">
        <w:t>’</w:t>
      </w:r>
      <w:r>
        <w:t>a demandé à sa dix</w:t>
      </w:r>
      <w:r w:rsidR="00102F72">
        <w:t>ième session</w:t>
      </w:r>
      <w:r>
        <w:t>, toutes les équipes d</w:t>
      </w:r>
      <w:r w:rsidR="00102F72">
        <w:t>’</w:t>
      </w:r>
      <w:r>
        <w:t>experts en activité du CWS ont tenu des réunions trimestrielles en mars et en juin 2024 pour examiner les progrès accomplis et actualiser leurs objecti</w:t>
      </w:r>
      <w:r w:rsidR="00A3373D">
        <w:t>fs.  Un</w:t>
      </w:r>
      <w:r>
        <w:t>e dernière réunion d</w:t>
      </w:r>
      <w:r w:rsidR="00102F72">
        <w:t>’</w:t>
      </w:r>
      <w:r>
        <w:t>examen trimestriel pour 2024 est également prévue en décemb</w:t>
      </w:r>
      <w:r w:rsidR="00A3373D">
        <w:t>re.  To</w:t>
      </w:r>
      <w:r>
        <w:t>us les membres des équipes d</w:t>
      </w:r>
      <w:r w:rsidR="00102F72">
        <w:t>’</w:t>
      </w:r>
      <w:r>
        <w:t>experts du CWS et les observateurs sont invit</w:t>
      </w:r>
      <w:r w:rsidR="00A3373D">
        <w:t>és.  Au</w:t>
      </w:r>
      <w:r>
        <w:t xml:space="preserve"> cours de ces deux</w:t>
      </w:r>
      <w:r w:rsidR="007F1E05">
        <w:t> </w:t>
      </w:r>
      <w:r>
        <w:t>réunions, les participants ont pris note des progrès réalisés concernant les tâches du CWS en cours d</w:t>
      </w:r>
      <w:r w:rsidR="00102F72">
        <w:t>’</w:t>
      </w:r>
      <w:r>
        <w:t>exécution, dont les responsables des équipes d</w:t>
      </w:r>
      <w:r w:rsidR="00102F72">
        <w:t>’</w:t>
      </w:r>
      <w:r>
        <w:t xml:space="preserve">experts ont rendu compte en suivant un modèle commun, </w:t>
      </w:r>
      <w:r w:rsidR="00102F72">
        <w:t>à savoir :</w:t>
      </w:r>
    </w:p>
    <w:p w14:paraId="6FB8F204" w14:textId="77777777" w:rsidR="0041622B" w:rsidRDefault="0041622B" w:rsidP="0041622B">
      <w:pPr>
        <w:pStyle w:val="ListParagraph"/>
        <w:numPr>
          <w:ilvl w:val="0"/>
          <w:numId w:val="7"/>
        </w:numPr>
        <w:ind w:left="1134" w:hanging="567"/>
      </w:pPr>
      <w:r>
        <w:t>les objectifs;</w:t>
      </w:r>
    </w:p>
    <w:p w14:paraId="2529853B" w14:textId="5908313A" w:rsidR="0041622B" w:rsidRDefault="0041622B" w:rsidP="0041622B">
      <w:pPr>
        <w:pStyle w:val="ListParagraph"/>
        <w:numPr>
          <w:ilvl w:val="0"/>
          <w:numId w:val="7"/>
        </w:numPr>
        <w:ind w:left="1134" w:hanging="567"/>
      </w:pPr>
      <w:r>
        <w:t>les actions pertinentes pour 2024 et l</w:t>
      </w:r>
      <w:r w:rsidR="00102F72">
        <w:t>’</w:t>
      </w:r>
      <w:r>
        <w:t>année suivante;</w:t>
      </w:r>
    </w:p>
    <w:p w14:paraId="44E8F2FD" w14:textId="77777777" w:rsidR="0041622B" w:rsidRDefault="0041622B" w:rsidP="0041622B">
      <w:pPr>
        <w:pStyle w:val="ListParagraph"/>
        <w:numPr>
          <w:ilvl w:val="0"/>
          <w:numId w:val="7"/>
        </w:numPr>
        <w:ind w:left="1134" w:hanging="567"/>
      </w:pPr>
      <w:r>
        <w:t>les difficultés ou dépendances potentielles;  et</w:t>
      </w:r>
    </w:p>
    <w:p w14:paraId="37BEA37C" w14:textId="28DAC325" w:rsidR="0041622B" w:rsidRDefault="0041622B" w:rsidP="0041622B">
      <w:pPr>
        <w:pStyle w:val="ListParagraph"/>
        <w:numPr>
          <w:ilvl w:val="0"/>
          <w:numId w:val="7"/>
        </w:numPr>
        <w:spacing w:after="220"/>
        <w:ind w:left="1134" w:hanging="567"/>
        <w:contextualSpacing w:val="0"/>
      </w:pPr>
      <w:r>
        <w:t>l</w:t>
      </w:r>
      <w:r w:rsidR="00102F72">
        <w:t>’</w:t>
      </w:r>
      <w:r>
        <w:t>évaluation des progrès accomplis.</w:t>
      </w:r>
    </w:p>
    <w:p w14:paraId="2792A224" w14:textId="76B0339B" w:rsidR="0041622B" w:rsidRDefault="0041622B" w:rsidP="0041622B">
      <w:pPr>
        <w:pStyle w:val="ONUMFS"/>
      </w:pPr>
      <w:r>
        <w:t>Afin d</w:t>
      </w:r>
      <w:r w:rsidR="00102F72">
        <w:t>’</w:t>
      </w:r>
      <w:r>
        <w:t>aider les membres des équipes d</w:t>
      </w:r>
      <w:r w:rsidR="00102F72">
        <w:t>’</w:t>
      </w:r>
      <w:r>
        <w:t>experts du CWS, le Secrétariat a diffusé le calendrier des réunions relatives aux normes de l</w:t>
      </w:r>
      <w:r w:rsidR="00102F72">
        <w:t>’</w:t>
      </w:r>
      <w:r>
        <w:t>OMPI en 2024 au moyen de la circulaire C.CWS 178 Rev. et a ensuite envoyé aux membres des équipes d</w:t>
      </w:r>
      <w:r w:rsidR="00102F72">
        <w:t>’</w:t>
      </w:r>
      <w:r>
        <w:t>experts les invitations aux réunions en ligne correspondantes.</w:t>
      </w:r>
    </w:p>
    <w:p w14:paraId="3F630D9A" w14:textId="24D71C2E" w:rsidR="0041622B" w:rsidRDefault="0041622B" w:rsidP="0041622B">
      <w:pPr>
        <w:pStyle w:val="ONUMFS"/>
      </w:pPr>
      <w:r>
        <w:t>À la présente session, 12 équipes d</w:t>
      </w:r>
      <w:r w:rsidR="00102F72">
        <w:t>’</w:t>
      </w:r>
      <w:r>
        <w:t>experts en activité présenteront leur rapport sur les activités et les progrès accomplis depuis la onz</w:t>
      </w:r>
      <w:r w:rsidR="00102F72">
        <w:t>ième session</w:t>
      </w:r>
      <w:r>
        <w:t xml:space="preserve"> du CWS concernant les tâches qui leur ont été confié</w:t>
      </w:r>
      <w:r w:rsidR="00A3373D">
        <w:t>es.  Le</w:t>
      </w:r>
      <w:r>
        <w:t>s progrès réalisés concernant les tâches auxquelles aucune équipe d</w:t>
      </w:r>
      <w:r w:rsidR="00102F72">
        <w:t>’</w:t>
      </w:r>
      <w:r>
        <w:t>experts n</w:t>
      </w:r>
      <w:r w:rsidR="00102F72">
        <w:t>’</w:t>
      </w:r>
      <w:r>
        <w:t>est affectée sont indiqués dans l</w:t>
      </w:r>
      <w:r w:rsidR="00102F72">
        <w:t>’</w:t>
      </w:r>
      <w:r>
        <w:t>annexe du présent document.</w:t>
      </w:r>
    </w:p>
    <w:p w14:paraId="560DB492" w14:textId="77777777" w:rsidR="0041622B" w:rsidRDefault="0041622B" w:rsidP="0041622B">
      <w:pPr>
        <w:pStyle w:val="Heading3"/>
      </w:pPr>
      <w:r>
        <w:t>Liste des tâches actuelles</w:t>
      </w:r>
    </w:p>
    <w:p w14:paraId="66D526E5" w14:textId="4A1B235B" w:rsidR="0041622B" w:rsidRDefault="0041622B" w:rsidP="0041622B">
      <w:pPr>
        <w:pStyle w:val="ONUMFS"/>
      </w:pPr>
      <w:r>
        <w:t>Le Secrétariat a établi une nouvelle liste de tâches révisée pour examen par le CWS, qui figure à l</w:t>
      </w:r>
      <w:r w:rsidR="00102F72">
        <w:t>’</w:t>
      </w:r>
      <w:r>
        <w:t>annexe du présent docume</w:t>
      </w:r>
      <w:r w:rsidR="00A3373D">
        <w:t>nt.  Po</w:t>
      </w:r>
      <w:r>
        <w:t>ur chacune des tâches, l</w:t>
      </w:r>
      <w:r w:rsidR="00102F72">
        <w:t>’</w:t>
      </w:r>
      <w:r>
        <w:t>annexe contient les informations suivantes</w:t>
      </w:r>
      <w:r w:rsidR="00102F72">
        <w:t> :</w:t>
      </w:r>
    </w:p>
    <w:p w14:paraId="1A420193" w14:textId="77777777" w:rsidR="0041622B" w:rsidRDefault="0041622B" w:rsidP="0041622B">
      <w:pPr>
        <w:pStyle w:val="ListParagraph"/>
        <w:numPr>
          <w:ilvl w:val="0"/>
          <w:numId w:val="7"/>
        </w:numPr>
        <w:ind w:left="1134" w:hanging="567"/>
      </w:pPr>
      <w:r>
        <w:t>la description de la tâche;</w:t>
      </w:r>
    </w:p>
    <w:p w14:paraId="71432AD5" w14:textId="552629F0" w:rsidR="0041622B" w:rsidRDefault="0041622B" w:rsidP="0041622B">
      <w:pPr>
        <w:pStyle w:val="ListParagraph"/>
        <w:numPr>
          <w:ilvl w:val="0"/>
          <w:numId w:val="7"/>
        </w:numPr>
        <w:ind w:left="1134" w:hanging="567"/>
      </w:pPr>
      <w:r>
        <w:t>l</w:t>
      </w:r>
      <w:r w:rsidR="00102F72">
        <w:t>’</w:t>
      </w:r>
      <w:r>
        <w:t>équipe d</w:t>
      </w:r>
      <w:r w:rsidR="00102F72">
        <w:t>’</w:t>
      </w:r>
      <w:r>
        <w:t>experts/le responsable de l</w:t>
      </w:r>
      <w:r w:rsidR="00102F72">
        <w:t>’</w:t>
      </w:r>
      <w:r>
        <w:t>équipe d</w:t>
      </w:r>
      <w:r w:rsidR="00102F72">
        <w:t>’</w:t>
      </w:r>
      <w:r>
        <w:t>experts/le responsable de la tâche;</w:t>
      </w:r>
    </w:p>
    <w:p w14:paraId="38CF23B1" w14:textId="77777777" w:rsidR="0041622B" w:rsidRDefault="0041622B" w:rsidP="0041622B">
      <w:pPr>
        <w:pStyle w:val="ListParagraph"/>
        <w:numPr>
          <w:ilvl w:val="0"/>
          <w:numId w:val="7"/>
        </w:numPr>
        <w:ind w:left="1134" w:hanging="567"/>
      </w:pPr>
      <w:r>
        <w:t>les actions programmées;</w:t>
      </w:r>
    </w:p>
    <w:p w14:paraId="7D990FF1" w14:textId="77777777" w:rsidR="0041622B" w:rsidRDefault="0041622B" w:rsidP="0041622B">
      <w:pPr>
        <w:pStyle w:val="ListParagraph"/>
        <w:numPr>
          <w:ilvl w:val="0"/>
          <w:numId w:val="7"/>
        </w:numPr>
        <w:ind w:left="1134" w:hanging="567"/>
      </w:pPr>
      <w:r>
        <w:t>les remarques et précisions historiques;  et,</w:t>
      </w:r>
    </w:p>
    <w:p w14:paraId="74059E2A" w14:textId="77777777" w:rsidR="0041622B" w:rsidRDefault="0041622B" w:rsidP="0041622B">
      <w:pPr>
        <w:pStyle w:val="ListParagraph"/>
        <w:numPr>
          <w:ilvl w:val="0"/>
          <w:numId w:val="7"/>
        </w:numPr>
        <w:spacing w:after="240"/>
        <w:ind w:left="1134" w:hanging="567"/>
      </w:pPr>
      <w:r>
        <w:t>le cas échéant, les propositions soumises au CWS pour examen et décision.</w:t>
      </w:r>
    </w:p>
    <w:p w14:paraId="169196CA" w14:textId="3CEAF667" w:rsidR="0041622B" w:rsidRPr="00F97DC8" w:rsidRDefault="0041622B" w:rsidP="00AC10A7">
      <w:pPr>
        <w:pStyle w:val="ONUMFS"/>
        <w:rPr>
          <w:color w:val="000000" w:themeColor="text1"/>
        </w:rPr>
      </w:pPr>
      <w:r>
        <w:rPr>
          <w:color w:val="000000" w:themeColor="text1"/>
        </w:rPr>
        <w:t>La liste des tâches actuelles en cours d</w:t>
      </w:r>
      <w:r w:rsidR="00102F72">
        <w:rPr>
          <w:color w:val="000000" w:themeColor="text1"/>
        </w:rPr>
        <w:t>’</w:t>
      </w:r>
      <w:r>
        <w:rPr>
          <w:color w:val="000000" w:themeColor="text1"/>
        </w:rPr>
        <w:t>exécution est publiée sur le site</w:t>
      </w:r>
      <w:r w:rsidR="007F1E05">
        <w:rPr>
          <w:color w:val="000000" w:themeColor="text1"/>
        </w:rPr>
        <w:t> </w:t>
      </w:r>
      <w:r>
        <w:rPr>
          <w:color w:val="000000" w:themeColor="text1"/>
        </w:rPr>
        <w:t>Web de l</w:t>
      </w:r>
      <w:r w:rsidR="00102F72">
        <w:rPr>
          <w:color w:val="000000" w:themeColor="text1"/>
        </w:rPr>
        <w:t>’</w:t>
      </w:r>
      <w:r>
        <w:rPr>
          <w:color w:val="000000" w:themeColor="text1"/>
        </w:rPr>
        <w:t>OMPI à l</w:t>
      </w:r>
      <w:r w:rsidR="00102F72">
        <w:rPr>
          <w:color w:val="000000" w:themeColor="text1"/>
        </w:rPr>
        <w:t>’</w:t>
      </w:r>
      <w:r>
        <w:rPr>
          <w:color w:val="000000" w:themeColor="text1"/>
        </w:rPr>
        <w:t xml:space="preserve">adresse </w:t>
      </w:r>
      <w:hyperlink r:id="rId9" w:history="1">
        <w:r>
          <w:rPr>
            <w:rStyle w:val="Hyperlink"/>
          </w:rPr>
          <w:t>https://www.wipo.int/cws/fr/work</w:t>
        </w:r>
        <w:r w:rsidR="009C78C1">
          <w:rPr>
            <w:rStyle w:val="Hyperlink"/>
          </w:rPr>
          <w:noBreakHyphen/>
        </w:r>
        <w:r>
          <w:rPr>
            <w:rStyle w:val="Hyperlink"/>
          </w:rPr>
          <w:t>program.html</w:t>
        </w:r>
      </w:hyperlink>
      <w:r>
        <w:rPr>
          <w:color w:val="000000" w:themeColor="text1"/>
        </w:rPr>
        <w:t xml:space="preserve">.  </w:t>
      </w:r>
      <w:r>
        <w:t>La liste des équipes d</w:t>
      </w:r>
      <w:r w:rsidR="00102F72">
        <w:t>’</w:t>
      </w:r>
      <w:r>
        <w:t>experts du CWS et de leurs membres actuels est également disponible sur le site</w:t>
      </w:r>
      <w:r w:rsidR="007F1E05">
        <w:t> </w:t>
      </w:r>
      <w:r>
        <w:t>Web à l</w:t>
      </w:r>
      <w:r w:rsidR="00102F72">
        <w:t>’</w:t>
      </w:r>
      <w:r>
        <w:t xml:space="preserve">adresse </w:t>
      </w:r>
      <w:hyperlink r:id="rId10" w:history="1">
        <w:r>
          <w:rPr>
            <w:rStyle w:val="Hyperlink"/>
          </w:rPr>
          <w:t>https://www.wipo.int/cws/en/taskforce/index.html</w:t>
        </w:r>
      </w:hyperlink>
      <w:r>
        <w:t>.</w:t>
      </w:r>
      <w:r w:rsidRPr="00A3373D">
        <w:t xml:space="preserve">  </w:t>
      </w:r>
      <w:r>
        <w:rPr>
          <w:color w:val="000000" w:themeColor="text1"/>
        </w:rPr>
        <w:t>Ces informations seront revues et mises à jour après la douz</w:t>
      </w:r>
      <w:r w:rsidR="00102F72">
        <w:rPr>
          <w:color w:val="000000" w:themeColor="text1"/>
        </w:rPr>
        <w:t>ième session</w:t>
      </w:r>
      <w:r>
        <w:rPr>
          <w:color w:val="000000" w:themeColor="text1"/>
        </w:rPr>
        <w:t xml:space="preserve"> du CWS, de façon à refléter tous les accords obtenus par le </w:t>
      </w:r>
      <w:r w:rsidR="00A3373D">
        <w:rPr>
          <w:color w:val="000000" w:themeColor="text1"/>
        </w:rPr>
        <w:t>CWS.  Le</w:t>
      </w:r>
      <w:r>
        <w:rPr>
          <w:color w:val="000000" w:themeColor="text1"/>
        </w:rPr>
        <w:t xml:space="preserve"> Secrétariat publiera une présentation générale mise à jour du programme de travail du CWS sur le site</w:t>
      </w:r>
      <w:r w:rsidR="007F1E05">
        <w:rPr>
          <w:color w:val="000000" w:themeColor="text1"/>
        </w:rPr>
        <w:t> </w:t>
      </w:r>
      <w:r>
        <w:rPr>
          <w:color w:val="000000" w:themeColor="text1"/>
        </w:rPr>
        <w:t>Web de l</w:t>
      </w:r>
      <w:r w:rsidR="00102F72">
        <w:rPr>
          <w:color w:val="000000" w:themeColor="text1"/>
        </w:rPr>
        <w:t>’</w:t>
      </w:r>
      <w:r>
        <w:rPr>
          <w:color w:val="000000" w:themeColor="text1"/>
        </w:rPr>
        <w:t>OMPI.</w:t>
      </w:r>
    </w:p>
    <w:p w14:paraId="6A527BA7" w14:textId="77777777" w:rsidR="0041622B" w:rsidRPr="00F97DC8" w:rsidRDefault="0041622B" w:rsidP="0041622B">
      <w:pPr>
        <w:pStyle w:val="ONUMFS"/>
        <w:ind w:left="5533"/>
        <w:rPr>
          <w:i/>
        </w:rPr>
      </w:pPr>
      <w:r w:rsidRPr="00F97DC8">
        <w:rPr>
          <w:i/>
        </w:rPr>
        <w:t>Le CWS est invité</w:t>
      </w:r>
    </w:p>
    <w:p w14:paraId="795E9F50" w14:textId="77777777" w:rsidR="0041622B" w:rsidRPr="00236492" w:rsidRDefault="0041622B" w:rsidP="0041622B">
      <w:pPr>
        <w:pStyle w:val="ONUMFS"/>
        <w:numPr>
          <w:ilvl w:val="1"/>
          <w:numId w:val="6"/>
        </w:numPr>
        <w:ind w:left="5533" w:firstLine="704"/>
        <w:rPr>
          <w:i/>
          <w:lang w:val="fr-FR"/>
        </w:rPr>
      </w:pPr>
      <w:r w:rsidRPr="00236492">
        <w:rPr>
          <w:i/>
          <w:lang w:val="fr-FR"/>
        </w:rPr>
        <w:t>à prendre note du contenu du présent document,</w:t>
      </w:r>
    </w:p>
    <w:p w14:paraId="3E12C49C" w14:textId="77777777" w:rsidR="0041622B" w:rsidRPr="00236492" w:rsidRDefault="0041622B" w:rsidP="0041622B">
      <w:pPr>
        <w:pStyle w:val="ONUMFS"/>
        <w:numPr>
          <w:ilvl w:val="1"/>
          <w:numId w:val="6"/>
        </w:numPr>
        <w:ind w:left="5533" w:firstLine="704"/>
        <w:rPr>
          <w:i/>
          <w:lang w:val="fr-FR"/>
        </w:rPr>
      </w:pPr>
      <w:r w:rsidRPr="00236492">
        <w:rPr>
          <w:i/>
          <w:lang w:val="fr-FR"/>
        </w:rPr>
        <w:lastRenderedPageBreak/>
        <w:t>à examiner la liste des tâches jointe en annexe au présent document et</w:t>
      </w:r>
    </w:p>
    <w:p w14:paraId="710D7AF2" w14:textId="757C32DA" w:rsidR="0041622B" w:rsidRPr="00236492" w:rsidRDefault="0041622B" w:rsidP="0041622B">
      <w:pPr>
        <w:pStyle w:val="ONUMFS"/>
        <w:numPr>
          <w:ilvl w:val="1"/>
          <w:numId w:val="6"/>
        </w:numPr>
        <w:ind w:left="5533" w:firstLine="704"/>
        <w:rPr>
          <w:i/>
          <w:lang w:val="fr-FR"/>
        </w:rPr>
      </w:pPr>
      <w:r w:rsidRPr="00236492">
        <w:rPr>
          <w:i/>
          <w:lang w:val="fr-FR"/>
        </w:rPr>
        <w:t>à approuver l</w:t>
      </w:r>
      <w:r w:rsidR="00102F72">
        <w:rPr>
          <w:i/>
          <w:lang w:val="fr-FR"/>
        </w:rPr>
        <w:t>’</w:t>
      </w:r>
      <w:r w:rsidRPr="00236492">
        <w:rPr>
          <w:i/>
          <w:lang w:val="fr-FR"/>
        </w:rPr>
        <w:t>inclusion par le Secrétariat des accords auxquels la présente session a donné lieu, relatifs au programme de travail du</w:t>
      </w:r>
      <w:r>
        <w:rPr>
          <w:i/>
          <w:lang w:val="fr-FR"/>
        </w:rPr>
        <w:t> </w:t>
      </w:r>
      <w:r w:rsidRPr="00236492">
        <w:rPr>
          <w:i/>
          <w:lang w:val="fr-FR"/>
        </w:rPr>
        <w:t>CWS et à la présentation générale du programme de travail du</w:t>
      </w:r>
      <w:r>
        <w:rPr>
          <w:i/>
          <w:lang w:val="fr-FR"/>
        </w:rPr>
        <w:t> </w:t>
      </w:r>
      <w:r w:rsidRPr="00236492">
        <w:rPr>
          <w:i/>
          <w:lang w:val="fr-FR"/>
        </w:rPr>
        <w:t>CWS, et à les publier sur le site Web de l</w:t>
      </w:r>
      <w:r w:rsidR="00102F72">
        <w:rPr>
          <w:i/>
          <w:lang w:val="fr-FR"/>
        </w:rPr>
        <w:t>’</w:t>
      </w:r>
      <w:r w:rsidRPr="00236492">
        <w:rPr>
          <w:i/>
          <w:lang w:val="fr-FR"/>
        </w:rPr>
        <w:t>OMPI tels qu</w:t>
      </w:r>
      <w:r w:rsidR="00102F72">
        <w:rPr>
          <w:i/>
          <w:lang w:val="fr-FR"/>
        </w:rPr>
        <w:t>’</w:t>
      </w:r>
      <w:r w:rsidRPr="00236492">
        <w:rPr>
          <w:i/>
          <w:lang w:val="fr-FR"/>
        </w:rPr>
        <w:t>ils figurent au paragraphe 10.</w:t>
      </w:r>
    </w:p>
    <w:p w14:paraId="2D3293CC" w14:textId="7EADC55E" w:rsidR="0041622B" w:rsidRPr="00236492" w:rsidRDefault="0041622B" w:rsidP="0041622B">
      <w:pPr>
        <w:pStyle w:val="Endofdocument-Annex"/>
        <w:spacing w:before="720"/>
      </w:pPr>
      <w:r w:rsidRPr="00236492">
        <w:t>[L</w:t>
      </w:r>
      <w:r w:rsidR="00102F72">
        <w:t>’</w:t>
      </w:r>
      <w:r w:rsidRPr="00236492">
        <w:t>annexe suit]</w:t>
      </w:r>
    </w:p>
    <w:sectPr w:rsidR="0041622B" w:rsidRPr="00236492" w:rsidSect="0041622B">
      <w:headerReference w:type="default" r:id="rId11"/>
      <w:footerReference w:type="default" r:id="rId12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C577B0" w14:textId="77777777" w:rsidR="0041622B" w:rsidRDefault="0041622B">
      <w:r>
        <w:separator/>
      </w:r>
    </w:p>
  </w:endnote>
  <w:endnote w:type="continuationSeparator" w:id="0">
    <w:p w14:paraId="128FD877" w14:textId="77777777" w:rsidR="0041622B" w:rsidRPr="009D30E6" w:rsidRDefault="0041622B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33700B1F" w14:textId="77777777" w:rsidR="0041622B" w:rsidRPr="009D30E6" w:rsidRDefault="0041622B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14:paraId="59913ACA" w14:textId="77777777" w:rsidR="0041622B" w:rsidRPr="009D30E6" w:rsidRDefault="0041622B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C469FC" w14:textId="77777777" w:rsidR="00A3373D" w:rsidRDefault="00A337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58FF46" w14:textId="77777777" w:rsidR="0041622B" w:rsidRDefault="0041622B">
      <w:r>
        <w:separator/>
      </w:r>
    </w:p>
  </w:footnote>
  <w:footnote w:type="continuationSeparator" w:id="0">
    <w:p w14:paraId="2B5D0939" w14:textId="77777777" w:rsidR="0041622B" w:rsidRDefault="0041622B" w:rsidP="007461F1">
      <w:r>
        <w:separator/>
      </w:r>
    </w:p>
    <w:p w14:paraId="2B37AA4C" w14:textId="77777777" w:rsidR="0041622B" w:rsidRPr="009D30E6" w:rsidRDefault="0041622B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14:paraId="66E92AB3" w14:textId="77777777" w:rsidR="0041622B" w:rsidRPr="009D30E6" w:rsidRDefault="0041622B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82A5C2" w14:textId="77777777" w:rsidR="00F16975" w:rsidRDefault="0041622B" w:rsidP="00477D6B">
    <w:pPr>
      <w:jc w:val="right"/>
    </w:pPr>
    <w:bookmarkStart w:id="5" w:name="Code2"/>
    <w:bookmarkEnd w:id="5"/>
    <w:r>
      <w:t>CWS/12/2</w:t>
    </w:r>
  </w:p>
  <w:p w14:paraId="3B5AFB91" w14:textId="0D07DDA8" w:rsidR="004F4E31" w:rsidRDefault="00F16975" w:rsidP="00AC10A7">
    <w:pPr>
      <w:spacing w:after="480"/>
      <w:jc w:val="right"/>
    </w:pPr>
    <w:r>
      <w:t>page</w:t>
    </w:r>
    <w:r w:rsidR="00AC10A7">
      <w:t> </w:t>
    </w:r>
    <w:r>
      <w:fldChar w:fldCharType="begin"/>
    </w:r>
    <w:r>
      <w:instrText xml:space="preserve"> PAGE  \* MERGEFORMAT </w:instrText>
    </w:r>
    <w:r>
      <w:fldChar w:fldCharType="separate"/>
    </w:r>
    <w:r w:rsidR="004F4E31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390C36AC"/>
    <w:multiLevelType w:val="hybridMultilevel"/>
    <w:tmpl w:val="41A27008"/>
    <w:lvl w:ilvl="0" w:tplc="DDA6CF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98548192">
    <w:abstractNumId w:val="2"/>
  </w:num>
  <w:num w:numId="2" w16cid:durableId="1870607316">
    <w:abstractNumId w:val="5"/>
  </w:num>
  <w:num w:numId="3" w16cid:durableId="844322595">
    <w:abstractNumId w:val="0"/>
  </w:num>
  <w:num w:numId="4" w16cid:durableId="1456631763">
    <w:abstractNumId w:val="6"/>
  </w:num>
  <w:num w:numId="5" w16cid:durableId="628778745">
    <w:abstractNumId w:val="1"/>
  </w:num>
  <w:num w:numId="6" w16cid:durableId="670451745">
    <w:abstractNumId w:val="3"/>
  </w:num>
  <w:num w:numId="7" w16cid:durableId="3955922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22B"/>
    <w:rsid w:val="00011B7D"/>
    <w:rsid w:val="000323D5"/>
    <w:rsid w:val="00075432"/>
    <w:rsid w:val="000F5E56"/>
    <w:rsid w:val="00102F72"/>
    <w:rsid w:val="001352EC"/>
    <w:rsid w:val="001362EE"/>
    <w:rsid w:val="00142B34"/>
    <w:rsid w:val="001832A6"/>
    <w:rsid w:val="00195C6E"/>
    <w:rsid w:val="00197881"/>
    <w:rsid w:val="001B266A"/>
    <w:rsid w:val="001D3D56"/>
    <w:rsid w:val="00240654"/>
    <w:rsid w:val="002634C4"/>
    <w:rsid w:val="002D4918"/>
    <w:rsid w:val="002E4D1A"/>
    <w:rsid w:val="002F16BC"/>
    <w:rsid w:val="002F4E68"/>
    <w:rsid w:val="00315FCA"/>
    <w:rsid w:val="003319E6"/>
    <w:rsid w:val="003845C1"/>
    <w:rsid w:val="003A1BCD"/>
    <w:rsid w:val="004008A2"/>
    <w:rsid w:val="004025DF"/>
    <w:rsid w:val="0041622B"/>
    <w:rsid w:val="00423E3E"/>
    <w:rsid w:val="00427AF4"/>
    <w:rsid w:val="004647DA"/>
    <w:rsid w:val="00477D6B"/>
    <w:rsid w:val="004D6471"/>
    <w:rsid w:val="004F4E31"/>
    <w:rsid w:val="00525B63"/>
    <w:rsid w:val="00547476"/>
    <w:rsid w:val="00561DB8"/>
    <w:rsid w:val="00567A4C"/>
    <w:rsid w:val="00595C9C"/>
    <w:rsid w:val="005E6516"/>
    <w:rsid w:val="00605827"/>
    <w:rsid w:val="0063731B"/>
    <w:rsid w:val="00670E28"/>
    <w:rsid w:val="00676936"/>
    <w:rsid w:val="006B0DB5"/>
    <w:rsid w:val="006B2215"/>
    <w:rsid w:val="006E4243"/>
    <w:rsid w:val="006F0562"/>
    <w:rsid w:val="007461F1"/>
    <w:rsid w:val="007D6961"/>
    <w:rsid w:val="007F07CB"/>
    <w:rsid w:val="007F1E05"/>
    <w:rsid w:val="00810CEF"/>
    <w:rsid w:val="0081208D"/>
    <w:rsid w:val="008236DE"/>
    <w:rsid w:val="00842000"/>
    <w:rsid w:val="00842A13"/>
    <w:rsid w:val="00853A7D"/>
    <w:rsid w:val="00890A2B"/>
    <w:rsid w:val="008B2CC1"/>
    <w:rsid w:val="008C3ACC"/>
    <w:rsid w:val="008E7930"/>
    <w:rsid w:val="0090731E"/>
    <w:rsid w:val="009147E3"/>
    <w:rsid w:val="00966A22"/>
    <w:rsid w:val="00974CD6"/>
    <w:rsid w:val="009C78C1"/>
    <w:rsid w:val="009D30E6"/>
    <w:rsid w:val="009E3F6F"/>
    <w:rsid w:val="009F499F"/>
    <w:rsid w:val="00A02BD3"/>
    <w:rsid w:val="00A3373D"/>
    <w:rsid w:val="00A81254"/>
    <w:rsid w:val="00AA1F20"/>
    <w:rsid w:val="00AC0AE4"/>
    <w:rsid w:val="00AC10A7"/>
    <w:rsid w:val="00AD61DB"/>
    <w:rsid w:val="00B87BCF"/>
    <w:rsid w:val="00BA62D4"/>
    <w:rsid w:val="00BD3D25"/>
    <w:rsid w:val="00C153FD"/>
    <w:rsid w:val="00C40E15"/>
    <w:rsid w:val="00C664C8"/>
    <w:rsid w:val="00C76A79"/>
    <w:rsid w:val="00CA15F5"/>
    <w:rsid w:val="00CB2350"/>
    <w:rsid w:val="00CF0460"/>
    <w:rsid w:val="00D45252"/>
    <w:rsid w:val="00D71B4D"/>
    <w:rsid w:val="00D75C1E"/>
    <w:rsid w:val="00D93D55"/>
    <w:rsid w:val="00DB0349"/>
    <w:rsid w:val="00DD6A16"/>
    <w:rsid w:val="00E0091A"/>
    <w:rsid w:val="00E035DD"/>
    <w:rsid w:val="00E203AA"/>
    <w:rsid w:val="00E239FC"/>
    <w:rsid w:val="00E527A5"/>
    <w:rsid w:val="00E76456"/>
    <w:rsid w:val="00EE71CB"/>
    <w:rsid w:val="00F16975"/>
    <w:rsid w:val="00F66152"/>
    <w:rsid w:val="00FF4371"/>
    <w:rsid w:val="00FF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15521EB"/>
  <w15:docId w15:val="{18A924EE-5A10-4508-8D9D-AC7414AD0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FF4371"/>
    <w:pPr>
      <w:ind w:left="5534"/>
    </w:pPr>
    <w:rPr>
      <w:lang w:val="en-US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character" w:styleId="Hyperlink">
    <w:name w:val="Hyperlink"/>
    <w:unhideWhenUsed/>
    <w:rsid w:val="0041622B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rsid w:val="0041622B"/>
    <w:rPr>
      <w:rFonts w:ascii="Arial" w:eastAsia="SimSun" w:hAnsi="Arial" w:cs="Arial"/>
      <w:bCs/>
      <w:iCs/>
      <w:caps/>
      <w:sz w:val="22"/>
      <w:szCs w:val="28"/>
      <w:lang w:eastAsia="zh-CN"/>
    </w:rPr>
  </w:style>
  <w:style w:type="paragraph" w:styleId="ListParagraph">
    <w:name w:val="List Paragraph"/>
    <w:basedOn w:val="Normal"/>
    <w:uiPriority w:val="34"/>
    <w:qFormat/>
    <w:rsid w:val="0041622B"/>
    <w:pPr>
      <w:ind w:left="720"/>
      <w:contextualSpacing/>
    </w:pPr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po.int/cws/en/taskforce/members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wipo.int/cws/en/taskforce/index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ipo.int/cws/fr/work-program.html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CWS_12%20(F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CWS_12 (F).dotm</Template>
  <TotalTime>10</TotalTime>
  <Pages>3</Pages>
  <Words>850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CWS/12/2</vt:lpstr>
    </vt:vector>
  </TitlesOfParts>
  <Company>WIPO</Company>
  <LinksUpToDate>false</LinksUpToDate>
  <CharactersWithSpaces>5383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CWS/12/2</dc:title>
  <dc:creator>WIPO</dc:creator>
  <cp:keywords>Comité des normes de l’OMPI (CWS) Douziéeme session</cp:keywords>
  <cp:lastModifiedBy>BLANCHET Gaspard</cp:lastModifiedBy>
  <cp:revision>8</cp:revision>
  <cp:lastPrinted>2011-05-19T12:37:00Z</cp:lastPrinted>
  <dcterms:created xsi:type="dcterms:W3CDTF">2024-08-16T10:37:00Z</dcterms:created>
  <dcterms:modified xsi:type="dcterms:W3CDTF">2024-08-20T13:55:00Z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4be00795-0332-471b-bc48-392ea471087a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2024-08-16T10:39:29Z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f568ca08-584a-4e97-b553-0139fcc762e9</vt:lpwstr>
  </property>
  <property fmtid="{D5CDD505-2E9C-101B-9397-08002B2CF9AE}" pid="14" name="MSIP_Label_20773ee6-353b-4fb9-a59d-0b94c8c67bea_ContentBits">
    <vt:lpwstr>0</vt:lpwstr>
  </property>
</Properties>
</file>