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DF36D" w14:textId="7654B411" w:rsidR="007B7C87" w:rsidRPr="00B15495" w:rsidRDefault="007B7C87" w:rsidP="00B15495">
      <w:pPr>
        <w:pStyle w:val="Heading1"/>
      </w:pPr>
      <w:r w:rsidRPr="00B15495">
        <w:t>Descriptif du projet sur le cadre et la plateforme d</w:t>
      </w:r>
      <w:r w:rsidR="00092D9C">
        <w:t>’</w:t>
      </w:r>
      <w:r w:rsidRPr="00B15495">
        <w:t>échange de données de propriété intellectuelle</w:t>
      </w:r>
    </w:p>
    <w:p w14:paraId="0B4E5953" w14:textId="7B0E5512" w:rsidR="007B7C87" w:rsidRPr="00B15495" w:rsidRDefault="007B7C87" w:rsidP="00B15495">
      <w:pPr>
        <w:spacing w:before="220" w:after="220"/>
        <w:rPr>
          <w:i/>
          <w:iCs/>
        </w:rPr>
      </w:pPr>
      <w:r w:rsidRPr="00B15495">
        <w:rPr>
          <w:i/>
        </w:rPr>
        <w:t>Document établi par les délégations du Japon et de l</w:t>
      </w:r>
      <w:r w:rsidR="00092D9C">
        <w:rPr>
          <w:i/>
        </w:rPr>
        <w:t>’Arabie saoudite</w:t>
      </w:r>
    </w:p>
    <w:p w14:paraId="4EE7FC31" w14:textId="04A10B27" w:rsidR="007B7C87" w:rsidRPr="00B15495" w:rsidRDefault="007B7C87" w:rsidP="00B15495">
      <w:pPr>
        <w:pStyle w:val="Heading2"/>
        <w:rPr>
          <w:szCs w:val="22"/>
        </w:rPr>
      </w:pPr>
      <w:r w:rsidRPr="00B15495">
        <w:rPr>
          <w:szCs w:val="22"/>
          <w:u w:val="none"/>
        </w:rPr>
        <w:fldChar w:fldCharType="begin"/>
      </w:r>
      <w:r w:rsidRPr="00B15495">
        <w:rPr>
          <w:szCs w:val="22"/>
          <w:u w:val="none"/>
        </w:rPr>
        <w:instrText xml:space="preserve"> AUTONUM  </w:instrText>
      </w:r>
      <w:r w:rsidRPr="00B15495">
        <w:rPr>
          <w:szCs w:val="22"/>
          <w:u w:val="none"/>
        </w:rPr>
        <w:fldChar w:fldCharType="end"/>
      </w:r>
      <w:r w:rsidRPr="00B15495">
        <w:rPr>
          <w:szCs w:val="22"/>
          <w:u w:val="none"/>
        </w:rPr>
        <w:tab/>
      </w:r>
      <w:r w:rsidRPr="00B15495">
        <w:rPr>
          <w:szCs w:val="22"/>
        </w:rPr>
        <w:t>R</w:t>
      </w:r>
      <w:r w:rsidR="00B15495" w:rsidRPr="00B15495">
        <w:rPr>
          <w:caps w:val="0"/>
          <w:szCs w:val="22"/>
        </w:rPr>
        <w:t>appel</w:t>
      </w:r>
    </w:p>
    <w:p w14:paraId="34C2CC7A" w14:textId="3848EEDE" w:rsidR="007B7C87" w:rsidRPr="00B15495" w:rsidRDefault="007B7C87" w:rsidP="007B7C87">
      <w:pPr>
        <w:spacing w:after="240"/>
        <w:rPr>
          <w:szCs w:val="22"/>
        </w:rPr>
      </w:pPr>
      <w:r w:rsidRPr="00B15495">
        <w:rPr>
          <w:szCs w:val="22"/>
        </w:rPr>
        <w:t>Ces dernières années, des organismes publics de nombreux États membres de l</w:t>
      </w:r>
      <w:r w:rsidR="00092D9C">
        <w:rPr>
          <w:szCs w:val="22"/>
        </w:rPr>
        <w:t>’</w:t>
      </w:r>
      <w:r w:rsidRPr="00B15495">
        <w:rPr>
          <w:szCs w:val="22"/>
        </w:rPr>
        <w:t>OMPI ont adhéré à la tendance mondiale en faveur des données ouvertes en mettant leurs données à disposition en lig</w:t>
      </w:r>
      <w:r w:rsidR="00F3221F" w:rsidRPr="00B15495">
        <w:rPr>
          <w:szCs w:val="22"/>
        </w:rPr>
        <w:t>ne</w:t>
      </w:r>
      <w:r w:rsidR="00F3221F">
        <w:rPr>
          <w:szCs w:val="22"/>
        </w:rPr>
        <w:t xml:space="preserve">.  </w:t>
      </w:r>
      <w:r w:rsidR="00F3221F" w:rsidRPr="00B15495">
        <w:rPr>
          <w:szCs w:val="22"/>
        </w:rPr>
        <w:t>To</w:t>
      </w:r>
      <w:r w:rsidRPr="00B15495">
        <w:rPr>
          <w:szCs w:val="22"/>
        </w:rPr>
        <w:t>utefois, nombre d</w:t>
      </w:r>
      <w:r w:rsidR="00092D9C">
        <w:rPr>
          <w:szCs w:val="22"/>
        </w:rPr>
        <w:t>’</w:t>
      </w:r>
      <w:r w:rsidRPr="00B15495">
        <w:rPr>
          <w:szCs w:val="22"/>
        </w:rPr>
        <w:t>entre eux ne mettent pas encore à la disposition du public des données relatives à la propriété intellectuelle en masse et, compte tenu de l</w:t>
      </w:r>
      <w:r w:rsidR="00092D9C">
        <w:rPr>
          <w:szCs w:val="22"/>
        </w:rPr>
        <w:t>’</w:t>
      </w:r>
      <w:r w:rsidRPr="00B15495">
        <w:rPr>
          <w:szCs w:val="22"/>
        </w:rPr>
        <w:t>intérêt croissant que suscitent ces données, il convient de les rationaliser et de les rendre plus accessibles.</w:t>
      </w:r>
    </w:p>
    <w:p w14:paraId="302B34A5" w14:textId="3CDD738E" w:rsidR="007B7C87" w:rsidRPr="00B15495" w:rsidRDefault="007B7C87" w:rsidP="007B7C87">
      <w:pPr>
        <w:rPr>
          <w:szCs w:val="22"/>
        </w:rPr>
      </w:pPr>
      <w:r w:rsidRPr="00B15495">
        <w:rPr>
          <w:szCs w:val="22"/>
        </w:rPr>
        <w:t>Si les membres de l</w:t>
      </w:r>
      <w:r w:rsidR="00092D9C">
        <w:rPr>
          <w:szCs w:val="22"/>
        </w:rPr>
        <w:t>’</w:t>
      </w:r>
      <w:r w:rsidRPr="00B15495">
        <w:rPr>
          <w:szCs w:val="22"/>
        </w:rPr>
        <w:t>OMPI peuvent améliorer la manière d</w:t>
      </w:r>
      <w:r w:rsidR="00092D9C">
        <w:rPr>
          <w:szCs w:val="22"/>
        </w:rPr>
        <w:t>’</w:t>
      </w:r>
      <w:r w:rsidRPr="00B15495">
        <w:rPr>
          <w:szCs w:val="22"/>
        </w:rPr>
        <w:t>échanger les données de propriété intellectuelle, telles que les données figurant dans les bulletins de brevets, idéalement dans un format lisible par machine, cela favorisera</w:t>
      </w:r>
      <w:r w:rsidR="00092D9C">
        <w:rPr>
          <w:szCs w:val="22"/>
        </w:rPr>
        <w:t> :</w:t>
      </w:r>
    </w:p>
    <w:p w14:paraId="78204B54" w14:textId="18FF1400" w:rsidR="00092D9C" w:rsidRDefault="007B7C87" w:rsidP="00F3221F">
      <w:pPr>
        <w:pStyle w:val="ListParagraph"/>
        <w:widowControl/>
        <w:numPr>
          <w:ilvl w:val="0"/>
          <w:numId w:val="9"/>
        </w:numPr>
        <w:ind w:leftChars="0" w:left="1134" w:hanging="567"/>
        <w:jc w:val="left"/>
        <w:rPr>
          <w:rFonts w:ascii="Arial" w:hAnsi="Arial" w:cs="Arial"/>
          <w:sz w:val="22"/>
        </w:rPr>
      </w:pPr>
      <w:proofErr w:type="gramStart"/>
      <w:r w:rsidRPr="00B15495">
        <w:rPr>
          <w:rFonts w:ascii="Arial" w:hAnsi="Arial" w:cs="Arial"/>
          <w:sz w:val="22"/>
        </w:rPr>
        <w:t>une</w:t>
      </w:r>
      <w:proofErr w:type="gramEnd"/>
      <w:r w:rsidRPr="00B15495">
        <w:rPr>
          <w:rFonts w:ascii="Arial" w:hAnsi="Arial" w:cs="Arial"/>
          <w:sz w:val="22"/>
        </w:rPr>
        <w:t xml:space="preserve"> meilleure qualité des services d</w:t>
      </w:r>
      <w:r w:rsidR="00092D9C">
        <w:rPr>
          <w:rFonts w:ascii="Arial" w:hAnsi="Arial" w:cs="Arial"/>
          <w:sz w:val="22"/>
        </w:rPr>
        <w:t>’</w:t>
      </w:r>
      <w:r w:rsidRPr="00B15495">
        <w:rPr>
          <w:rFonts w:ascii="Arial" w:hAnsi="Arial" w:cs="Arial"/>
          <w:sz w:val="22"/>
        </w:rPr>
        <w:t>administration des offices de propriété intellectuelle;</w:t>
      </w:r>
    </w:p>
    <w:p w14:paraId="0D5517F4" w14:textId="3232F425" w:rsidR="007B7C87" w:rsidRPr="00B15495" w:rsidRDefault="007B7C87" w:rsidP="00F3221F">
      <w:pPr>
        <w:pStyle w:val="ListParagraph"/>
        <w:widowControl/>
        <w:numPr>
          <w:ilvl w:val="0"/>
          <w:numId w:val="9"/>
        </w:numPr>
        <w:spacing w:after="220"/>
        <w:ind w:leftChars="0" w:left="1134" w:hanging="567"/>
        <w:jc w:val="left"/>
        <w:rPr>
          <w:rFonts w:ascii="Arial" w:hAnsi="Arial" w:cs="Arial"/>
          <w:sz w:val="22"/>
        </w:rPr>
      </w:pPr>
      <w:proofErr w:type="gramStart"/>
      <w:r w:rsidRPr="00B15495">
        <w:rPr>
          <w:rFonts w:ascii="Arial" w:hAnsi="Arial" w:cs="Arial"/>
          <w:sz w:val="22"/>
        </w:rPr>
        <w:t>des</w:t>
      </w:r>
      <w:proofErr w:type="gramEnd"/>
      <w:r w:rsidRPr="00B15495">
        <w:rPr>
          <w:rFonts w:ascii="Arial" w:hAnsi="Arial" w:cs="Arial"/>
          <w:sz w:val="22"/>
        </w:rPr>
        <w:t xml:space="preserve"> recherches techniques plus ciblées par les utilisateurs de chaque pays, ce qui stimulera l</w:t>
      </w:r>
      <w:r w:rsidR="00092D9C">
        <w:rPr>
          <w:rFonts w:ascii="Arial" w:hAnsi="Arial" w:cs="Arial"/>
          <w:sz w:val="22"/>
        </w:rPr>
        <w:t>’</w:t>
      </w:r>
      <w:r w:rsidRPr="00B15495">
        <w:rPr>
          <w:rFonts w:ascii="Arial" w:hAnsi="Arial" w:cs="Arial"/>
          <w:sz w:val="22"/>
        </w:rPr>
        <w:t>innovation.</w:t>
      </w:r>
    </w:p>
    <w:p w14:paraId="4179B54F" w14:textId="5B2E87AD" w:rsidR="007B7C87" w:rsidRPr="00B15495" w:rsidRDefault="007B7C87" w:rsidP="00F3221F">
      <w:pPr>
        <w:pStyle w:val="Heading2"/>
        <w:spacing w:before="220"/>
        <w:rPr>
          <w:szCs w:val="22"/>
        </w:rPr>
      </w:pPr>
      <w:r w:rsidRPr="00B15495">
        <w:rPr>
          <w:szCs w:val="22"/>
          <w:u w:val="none"/>
        </w:rPr>
        <w:fldChar w:fldCharType="begin"/>
      </w:r>
      <w:r w:rsidRPr="00B15495">
        <w:rPr>
          <w:szCs w:val="22"/>
          <w:u w:val="none"/>
        </w:rPr>
        <w:instrText xml:space="preserve"> AUTONUM  </w:instrText>
      </w:r>
      <w:r w:rsidRPr="00B15495">
        <w:rPr>
          <w:szCs w:val="22"/>
          <w:u w:val="none"/>
        </w:rPr>
        <w:fldChar w:fldCharType="end"/>
      </w:r>
      <w:r w:rsidRPr="00B15495">
        <w:rPr>
          <w:szCs w:val="22"/>
          <w:u w:val="none"/>
        </w:rPr>
        <w:tab/>
      </w:r>
      <w:r w:rsidRPr="00B15495">
        <w:rPr>
          <w:szCs w:val="22"/>
        </w:rPr>
        <w:t>P</w:t>
      </w:r>
      <w:r w:rsidR="00B15495" w:rsidRPr="00B15495">
        <w:rPr>
          <w:caps w:val="0"/>
          <w:szCs w:val="22"/>
        </w:rPr>
        <w:t>roblèmes à résoudre</w:t>
      </w:r>
    </w:p>
    <w:p w14:paraId="752D6BD7" w14:textId="2336B2E2" w:rsidR="007B7C87" w:rsidRPr="00B15495" w:rsidRDefault="007B7C87" w:rsidP="007B7C87">
      <w:pPr>
        <w:rPr>
          <w:szCs w:val="22"/>
        </w:rPr>
      </w:pPr>
      <w:r w:rsidRPr="00B15495">
        <w:rPr>
          <w:szCs w:val="22"/>
        </w:rPr>
        <w:t>Voici quelques exemples de problèmes que les offices rencontrent lorsqu</w:t>
      </w:r>
      <w:r w:rsidR="00092D9C">
        <w:rPr>
          <w:szCs w:val="22"/>
        </w:rPr>
        <w:t>’</w:t>
      </w:r>
      <w:r w:rsidRPr="00B15495">
        <w:rPr>
          <w:szCs w:val="22"/>
        </w:rPr>
        <w:t>il s</w:t>
      </w:r>
      <w:r w:rsidR="00092D9C">
        <w:rPr>
          <w:szCs w:val="22"/>
        </w:rPr>
        <w:t>’</w:t>
      </w:r>
      <w:r w:rsidRPr="00B15495">
        <w:rPr>
          <w:szCs w:val="22"/>
        </w:rPr>
        <w:t>agit d</w:t>
      </w:r>
      <w:r w:rsidR="00092D9C">
        <w:rPr>
          <w:szCs w:val="22"/>
        </w:rPr>
        <w:t>’</w:t>
      </w:r>
      <w:r w:rsidRPr="00B15495">
        <w:rPr>
          <w:szCs w:val="22"/>
        </w:rPr>
        <w:t>échanger et de traiter des données de propriété intellectuelle</w:t>
      </w:r>
      <w:r w:rsidR="00092D9C">
        <w:rPr>
          <w:szCs w:val="22"/>
        </w:rPr>
        <w:t> :</w:t>
      </w:r>
    </w:p>
    <w:p w14:paraId="6A8F16A2" w14:textId="3E563BBE" w:rsidR="007B7C87" w:rsidRPr="00B15495" w:rsidRDefault="007B7C87" w:rsidP="00F3221F">
      <w:pPr>
        <w:pStyle w:val="ListParagraph"/>
        <w:widowControl/>
        <w:numPr>
          <w:ilvl w:val="0"/>
          <w:numId w:val="11"/>
        </w:numPr>
        <w:ind w:leftChars="0" w:left="1134" w:hanging="567"/>
        <w:jc w:val="left"/>
        <w:rPr>
          <w:rFonts w:ascii="Arial" w:hAnsi="Arial" w:cs="Arial"/>
          <w:sz w:val="22"/>
        </w:rPr>
      </w:pPr>
      <w:proofErr w:type="gramStart"/>
      <w:r w:rsidRPr="00B15495">
        <w:rPr>
          <w:rFonts w:ascii="Arial" w:hAnsi="Arial" w:cs="Arial"/>
          <w:sz w:val="22"/>
        </w:rPr>
        <w:t>les</w:t>
      </w:r>
      <w:proofErr w:type="gramEnd"/>
      <w:r w:rsidRPr="00B15495">
        <w:rPr>
          <w:rFonts w:ascii="Arial" w:hAnsi="Arial" w:cs="Arial"/>
          <w:sz w:val="22"/>
        </w:rPr>
        <w:t xml:space="preserve"> négociations bilatérales visant à créer les conditions générales concernant l</w:t>
      </w:r>
      <w:r w:rsidR="00092D9C">
        <w:rPr>
          <w:rFonts w:ascii="Arial" w:hAnsi="Arial" w:cs="Arial"/>
          <w:sz w:val="22"/>
        </w:rPr>
        <w:t>’</w:t>
      </w:r>
      <w:r w:rsidRPr="00B15495">
        <w:rPr>
          <w:rFonts w:ascii="Arial" w:hAnsi="Arial" w:cs="Arial"/>
          <w:sz w:val="22"/>
        </w:rPr>
        <w:t>usage des données et la redistribution des droits exigent beaucoup de temps et de ressources;</w:t>
      </w:r>
    </w:p>
    <w:p w14:paraId="5A63E8C4" w14:textId="3AEDD4FA" w:rsidR="00092D9C" w:rsidRDefault="007B7C87" w:rsidP="00F3221F">
      <w:pPr>
        <w:pStyle w:val="ListParagraph"/>
        <w:widowControl/>
        <w:numPr>
          <w:ilvl w:val="0"/>
          <w:numId w:val="11"/>
        </w:numPr>
        <w:ind w:leftChars="0" w:left="1134" w:hanging="567"/>
        <w:jc w:val="left"/>
        <w:rPr>
          <w:rFonts w:ascii="Arial" w:hAnsi="Arial" w:cs="Arial"/>
          <w:sz w:val="22"/>
        </w:rPr>
      </w:pPr>
      <w:proofErr w:type="gramStart"/>
      <w:r w:rsidRPr="00B15495">
        <w:rPr>
          <w:rFonts w:ascii="Arial" w:hAnsi="Arial" w:cs="Arial"/>
          <w:sz w:val="22"/>
        </w:rPr>
        <w:t>le</w:t>
      </w:r>
      <w:proofErr w:type="gramEnd"/>
      <w:r w:rsidRPr="00B15495">
        <w:rPr>
          <w:rFonts w:ascii="Arial" w:hAnsi="Arial" w:cs="Arial"/>
          <w:sz w:val="22"/>
        </w:rPr>
        <w:t xml:space="preserve"> manque d</w:t>
      </w:r>
      <w:r w:rsidR="00092D9C">
        <w:rPr>
          <w:rFonts w:ascii="Arial" w:hAnsi="Arial" w:cs="Arial"/>
          <w:sz w:val="22"/>
        </w:rPr>
        <w:t>’</w:t>
      </w:r>
      <w:r w:rsidRPr="00B15495">
        <w:rPr>
          <w:rFonts w:ascii="Arial" w:hAnsi="Arial" w:cs="Arial"/>
          <w:sz w:val="22"/>
        </w:rPr>
        <w:t>opérabilité entre les plateformes de distribution de données et les différentes fonctionnalités offertes;</w:t>
      </w:r>
    </w:p>
    <w:p w14:paraId="32E033A1" w14:textId="0F45867B" w:rsidR="007B7C87" w:rsidRPr="00B15495" w:rsidRDefault="007B7C87" w:rsidP="00F3221F">
      <w:pPr>
        <w:pStyle w:val="ListParagraph"/>
        <w:widowControl/>
        <w:numPr>
          <w:ilvl w:val="0"/>
          <w:numId w:val="11"/>
        </w:numPr>
        <w:ind w:leftChars="0" w:left="1134" w:hanging="567"/>
        <w:jc w:val="left"/>
        <w:rPr>
          <w:rFonts w:ascii="Arial" w:hAnsi="Arial" w:cs="Arial"/>
          <w:sz w:val="22"/>
        </w:rPr>
      </w:pPr>
      <w:proofErr w:type="gramStart"/>
      <w:r w:rsidRPr="00B15495">
        <w:rPr>
          <w:rFonts w:ascii="Arial" w:hAnsi="Arial" w:cs="Arial"/>
          <w:sz w:val="22"/>
        </w:rPr>
        <w:t>l</w:t>
      </w:r>
      <w:r w:rsidR="00092D9C">
        <w:rPr>
          <w:rFonts w:ascii="Arial" w:hAnsi="Arial" w:cs="Arial"/>
          <w:sz w:val="22"/>
        </w:rPr>
        <w:t>’</w:t>
      </w:r>
      <w:r w:rsidRPr="00B15495">
        <w:rPr>
          <w:rFonts w:ascii="Arial" w:hAnsi="Arial" w:cs="Arial"/>
          <w:sz w:val="22"/>
        </w:rPr>
        <w:t>impossibilité</w:t>
      </w:r>
      <w:proofErr w:type="gramEnd"/>
      <w:r w:rsidRPr="00B15495">
        <w:rPr>
          <w:rFonts w:ascii="Arial" w:hAnsi="Arial" w:cs="Arial"/>
          <w:sz w:val="22"/>
        </w:rPr>
        <w:t xml:space="preserve"> d</w:t>
      </w:r>
      <w:r w:rsidR="00092D9C">
        <w:rPr>
          <w:rFonts w:ascii="Arial" w:hAnsi="Arial" w:cs="Arial"/>
          <w:sz w:val="22"/>
        </w:rPr>
        <w:t>’</w:t>
      </w:r>
      <w:r w:rsidRPr="00B15495">
        <w:rPr>
          <w:rFonts w:ascii="Arial" w:hAnsi="Arial" w:cs="Arial"/>
          <w:sz w:val="22"/>
        </w:rPr>
        <w:t>accéder aux données ou leur format non lisible par machine;</w:t>
      </w:r>
    </w:p>
    <w:p w14:paraId="5E296A19" w14:textId="77777777" w:rsidR="007B7C87" w:rsidRPr="00B15495" w:rsidRDefault="007B7C87" w:rsidP="00F3221F">
      <w:pPr>
        <w:pStyle w:val="ListParagraph"/>
        <w:widowControl/>
        <w:numPr>
          <w:ilvl w:val="0"/>
          <w:numId w:val="11"/>
        </w:numPr>
        <w:ind w:leftChars="0" w:left="1134" w:hanging="567"/>
        <w:jc w:val="left"/>
        <w:rPr>
          <w:rFonts w:ascii="Arial" w:hAnsi="Arial" w:cs="Arial"/>
          <w:sz w:val="22"/>
        </w:rPr>
      </w:pPr>
      <w:proofErr w:type="gramStart"/>
      <w:r w:rsidRPr="00B15495">
        <w:rPr>
          <w:rFonts w:ascii="Arial" w:hAnsi="Arial" w:cs="Arial"/>
          <w:sz w:val="22"/>
        </w:rPr>
        <w:t>la</w:t>
      </w:r>
      <w:proofErr w:type="gramEnd"/>
      <w:r w:rsidRPr="00B15495">
        <w:rPr>
          <w:rFonts w:ascii="Arial" w:hAnsi="Arial" w:cs="Arial"/>
          <w:sz w:val="22"/>
        </w:rPr>
        <w:t xml:space="preserve"> fourniture de données dans des formats non normalisés ou bien dans des formats inconnus;</w:t>
      </w:r>
    </w:p>
    <w:p w14:paraId="75D82D47" w14:textId="61E6B010" w:rsidR="007B7C87" w:rsidRPr="00B15495" w:rsidRDefault="007B7C87" w:rsidP="00F3221F">
      <w:pPr>
        <w:pStyle w:val="ListParagraph"/>
        <w:widowControl/>
        <w:numPr>
          <w:ilvl w:val="0"/>
          <w:numId w:val="11"/>
        </w:numPr>
        <w:ind w:leftChars="0" w:left="1134" w:hanging="567"/>
        <w:jc w:val="left"/>
        <w:rPr>
          <w:rFonts w:ascii="Arial" w:hAnsi="Arial" w:cs="Arial"/>
          <w:sz w:val="22"/>
        </w:rPr>
      </w:pPr>
      <w:proofErr w:type="gramStart"/>
      <w:r w:rsidRPr="00B15495">
        <w:rPr>
          <w:rFonts w:ascii="Arial" w:hAnsi="Arial" w:cs="Arial"/>
          <w:sz w:val="22"/>
        </w:rPr>
        <w:t>la</w:t>
      </w:r>
      <w:proofErr w:type="gramEnd"/>
      <w:r w:rsidRPr="00B15495">
        <w:rPr>
          <w:rFonts w:ascii="Arial" w:hAnsi="Arial" w:cs="Arial"/>
          <w:sz w:val="22"/>
        </w:rPr>
        <w:t xml:space="preserve"> qualité des données, par exemple lorsque les balises XML pour les données de bulletin fournies par les offices partenaires sont incorrectes ou qu</w:t>
      </w:r>
      <w:r w:rsidR="00092D9C">
        <w:rPr>
          <w:rFonts w:ascii="Arial" w:hAnsi="Arial" w:cs="Arial"/>
          <w:sz w:val="22"/>
        </w:rPr>
        <w:t>’</w:t>
      </w:r>
      <w:r w:rsidRPr="00B15495">
        <w:rPr>
          <w:rFonts w:ascii="Arial" w:hAnsi="Arial" w:cs="Arial"/>
          <w:sz w:val="22"/>
        </w:rPr>
        <w:t>il existe des lacunes dans les données;</w:t>
      </w:r>
    </w:p>
    <w:p w14:paraId="014DE1BA" w14:textId="454E40AF" w:rsidR="007B7C87" w:rsidRPr="00B15495" w:rsidRDefault="007B7C87" w:rsidP="00F3221F">
      <w:pPr>
        <w:pStyle w:val="ListParagraph"/>
        <w:widowControl/>
        <w:numPr>
          <w:ilvl w:val="0"/>
          <w:numId w:val="11"/>
        </w:numPr>
        <w:ind w:leftChars="0" w:left="1134" w:hanging="567"/>
        <w:jc w:val="left"/>
        <w:rPr>
          <w:rFonts w:ascii="Arial" w:hAnsi="Arial" w:cs="Arial"/>
          <w:sz w:val="22"/>
        </w:rPr>
      </w:pPr>
      <w:proofErr w:type="gramStart"/>
      <w:r w:rsidRPr="00B15495">
        <w:rPr>
          <w:rFonts w:ascii="Arial" w:hAnsi="Arial" w:cs="Arial"/>
          <w:sz w:val="22"/>
        </w:rPr>
        <w:t>le</w:t>
      </w:r>
      <w:proofErr w:type="gramEnd"/>
      <w:r w:rsidRPr="00B15495">
        <w:rPr>
          <w:rFonts w:ascii="Arial" w:hAnsi="Arial" w:cs="Arial"/>
          <w:sz w:val="22"/>
        </w:rPr>
        <w:t xml:space="preserve"> manque de communication concernant les changements apportés à la fourniture des données, comme une modification du format des données sans notification ou avec un court préavis, l</w:t>
      </w:r>
      <w:r w:rsidR="00092D9C">
        <w:rPr>
          <w:rFonts w:ascii="Arial" w:hAnsi="Arial" w:cs="Arial"/>
          <w:sz w:val="22"/>
        </w:rPr>
        <w:t>’</w:t>
      </w:r>
      <w:r w:rsidRPr="00B15495">
        <w:rPr>
          <w:rFonts w:ascii="Arial" w:hAnsi="Arial" w:cs="Arial"/>
          <w:sz w:val="22"/>
        </w:rPr>
        <w:t>interruption ou l</w:t>
      </w:r>
      <w:r w:rsidR="00092D9C">
        <w:rPr>
          <w:rFonts w:ascii="Arial" w:hAnsi="Arial" w:cs="Arial"/>
          <w:sz w:val="22"/>
        </w:rPr>
        <w:t>’</w:t>
      </w:r>
      <w:r w:rsidRPr="00B15495">
        <w:rPr>
          <w:rFonts w:ascii="Arial" w:hAnsi="Arial" w:cs="Arial"/>
          <w:sz w:val="22"/>
        </w:rPr>
        <w:t>omission de la fourniture de données sans préavis;  et</w:t>
      </w:r>
    </w:p>
    <w:p w14:paraId="23D94376" w14:textId="32F97064" w:rsidR="007B7C87" w:rsidRPr="00B15495" w:rsidRDefault="007B7C87" w:rsidP="00F3221F">
      <w:pPr>
        <w:pStyle w:val="ListParagraph"/>
        <w:widowControl/>
        <w:numPr>
          <w:ilvl w:val="0"/>
          <w:numId w:val="11"/>
        </w:numPr>
        <w:spacing w:after="220"/>
        <w:ind w:leftChars="0" w:left="1134" w:hanging="567"/>
        <w:jc w:val="left"/>
        <w:rPr>
          <w:rFonts w:ascii="Arial" w:hAnsi="Arial" w:cs="Arial"/>
          <w:sz w:val="22"/>
        </w:rPr>
      </w:pPr>
      <w:proofErr w:type="gramStart"/>
      <w:r w:rsidRPr="00B15495">
        <w:rPr>
          <w:rFonts w:ascii="Arial" w:hAnsi="Arial" w:cs="Arial"/>
          <w:sz w:val="22"/>
        </w:rPr>
        <w:t>des</w:t>
      </w:r>
      <w:proofErr w:type="gramEnd"/>
      <w:r w:rsidRPr="00B15495">
        <w:rPr>
          <w:rFonts w:ascii="Arial" w:hAnsi="Arial" w:cs="Arial"/>
          <w:sz w:val="22"/>
        </w:rPr>
        <w:t xml:space="preserve"> politiques différentes en matière de commercialisation de données, comme le fait que certains offices de propriété intellectuelle vendent leurs données alors que d</w:t>
      </w:r>
      <w:r w:rsidR="00092D9C">
        <w:rPr>
          <w:rFonts w:ascii="Arial" w:hAnsi="Arial" w:cs="Arial"/>
          <w:sz w:val="22"/>
        </w:rPr>
        <w:t>’</w:t>
      </w:r>
      <w:r w:rsidRPr="00B15495">
        <w:rPr>
          <w:rFonts w:ascii="Arial" w:hAnsi="Arial" w:cs="Arial"/>
          <w:sz w:val="22"/>
        </w:rPr>
        <w:t>autres les mettent à disposition gratuitement.</w:t>
      </w:r>
    </w:p>
    <w:p w14:paraId="024BD02B" w14:textId="65F4D623" w:rsidR="007B7C87" w:rsidRPr="00B15495" w:rsidRDefault="007B7C87" w:rsidP="00F3221F">
      <w:pPr>
        <w:pStyle w:val="Heading2"/>
        <w:spacing w:before="220"/>
        <w:rPr>
          <w:szCs w:val="22"/>
        </w:rPr>
      </w:pPr>
      <w:r w:rsidRPr="00B15495">
        <w:rPr>
          <w:szCs w:val="22"/>
          <w:u w:val="none"/>
        </w:rPr>
        <w:fldChar w:fldCharType="begin"/>
      </w:r>
      <w:r w:rsidRPr="00B15495">
        <w:rPr>
          <w:szCs w:val="22"/>
          <w:u w:val="none"/>
        </w:rPr>
        <w:instrText xml:space="preserve"> AUTONUM  </w:instrText>
      </w:r>
      <w:r w:rsidRPr="00B15495">
        <w:rPr>
          <w:szCs w:val="22"/>
          <w:u w:val="none"/>
        </w:rPr>
        <w:fldChar w:fldCharType="end"/>
      </w:r>
      <w:r w:rsidRPr="00B15495">
        <w:rPr>
          <w:szCs w:val="22"/>
          <w:u w:val="none"/>
        </w:rPr>
        <w:tab/>
      </w:r>
      <w:r w:rsidRPr="00B15495">
        <w:rPr>
          <w:szCs w:val="22"/>
        </w:rPr>
        <w:t>S</w:t>
      </w:r>
      <w:r w:rsidR="00B15495" w:rsidRPr="00B15495">
        <w:rPr>
          <w:caps w:val="0"/>
          <w:szCs w:val="22"/>
        </w:rPr>
        <w:t>olutions proposées</w:t>
      </w:r>
    </w:p>
    <w:p w14:paraId="317DC5F5" w14:textId="4ECC213A" w:rsidR="007B7C87" w:rsidRPr="00B15495" w:rsidDel="00D953E1" w:rsidRDefault="007B7C87" w:rsidP="007B7C87">
      <w:pPr>
        <w:rPr>
          <w:szCs w:val="22"/>
        </w:rPr>
      </w:pPr>
      <w:r w:rsidRPr="00B15495">
        <w:rPr>
          <w:szCs w:val="22"/>
        </w:rPr>
        <w:t>Les quatre solutions suivantes sont proposées par les deux délégations à titre de moyens potentiels permettant de résoudre les problèmes susmentionnés</w:t>
      </w:r>
      <w:r w:rsidR="00092D9C">
        <w:rPr>
          <w:szCs w:val="22"/>
        </w:rPr>
        <w:t> :</w:t>
      </w:r>
    </w:p>
    <w:p w14:paraId="12D05AEF" w14:textId="319BA462" w:rsidR="00092D9C" w:rsidRDefault="00F3221F" w:rsidP="00B15495">
      <w:pPr>
        <w:pStyle w:val="ListParagraph"/>
        <w:widowControl/>
        <w:numPr>
          <w:ilvl w:val="0"/>
          <w:numId w:val="8"/>
        </w:numPr>
        <w:ind w:leftChars="0" w:left="1134" w:hanging="567"/>
        <w:jc w:val="left"/>
        <w:rPr>
          <w:rFonts w:ascii="Arial" w:hAnsi="Arial" w:cs="Arial"/>
          <w:sz w:val="22"/>
        </w:rPr>
      </w:pPr>
      <w:proofErr w:type="gramStart"/>
      <w:r>
        <w:rPr>
          <w:rFonts w:ascii="Arial" w:hAnsi="Arial" w:cs="Arial"/>
          <w:sz w:val="22"/>
        </w:rPr>
        <w:t>é</w:t>
      </w:r>
      <w:r w:rsidR="007B7C87" w:rsidRPr="00B15495">
        <w:rPr>
          <w:rFonts w:ascii="Arial" w:hAnsi="Arial" w:cs="Arial"/>
          <w:sz w:val="22"/>
        </w:rPr>
        <w:t>laborer</w:t>
      </w:r>
      <w:proofErr w:type="gramEnd"/>
      <w:r w:rsidR="007B7C87" w:rsidRPr="00B15495">
        <w:rPr>
          <w:rFonts w:ascii="Arial" w:hAnsi="Arial" w:cs="Arial"/>
          <w:sz w:val="22"/>
        </w:rPr>
        <w:t xml:space="preserve"> une nouvelle norme de l</w:t>
      </w:r>
      <w:r w:rsidR="00092D9C">
        <w:rPr>
          <w:rFonts w:ascii="Arial" w:hAnsi="Arial" w:cs="Arial"/>
          <w:sz w:val="22"/>
        </w:rPr>
        <w:t>’</w:t>
      </w:r>
      <w:r w:rsidR="007B7C87" w:rsidRPr="00B15495">
        <w:rPr>
          <w:rFonts w:ascii="Arial" w:hAnsi="Arial" w:cs="Arial"/>
          <w:sz w:val="22"/>
        </w:rPr>
        <w:t xml:space="preserve">OMPI prescrivant des critères recommandés, </w:t>
      </w:r>
      <w:r w:rsidR="007B7C87" w:rsidRPr="00B15495">
        <w:rPr>
          <w:rFonts w:ascii="Arial" w:hAnsi="Arial" w:cs="Arial"/>
          <w:sz w:val="22"/>
          <w:shd w:val="clear" w:color="auto" w:fill="FFFFFF"/>
        </w:rPr>
        <w:t>d</w:t>
      </w:r>
      <w:r w:rsidR="00092D9C">
        <w:rPr>
          <w:rFonts w:ascii="Arial" w:hAnsi="Arial" w:cs="Arial"/>
          <w:sz w:val="22"/>
          <w:shd w:val="clear" w:color="auto" w:fill="FFFFFF"/>
        </w:rPr>
        <w:t>’</w:t>
      </w:r>
      <w:r w:rsidR="007B7C87" w:rsidRPr="00B15495">
        <w:rPr>
          <w:rFonts w:ascii="Arial" w:hAnsi="Arial" w:cs="Arial"/>
          <w:sz w:val="22"/>
          <w:shd w:val="clear" w:color="auto" w:fill="FFFFFF"/>
        </w:rPr>
        <w:t>un niveau similaire à la “</w:t>
      </w:r>
      <w:hyperlink r:id="rId7" w:history="1">
        <w:r w:rsidR="007B7C87" w:rsidRPr="00B15495">
          <w:rPr>
            <w:rStyle w:val="Hyperlink"/>
            <w:rFonts w:ascii="Arial" w:hAnsi="Arial" w:cs="Arial"/>
            <w:sz w:val="22"/>
            <w:shd w:val="clear" w:color="auto" w:fill="FFFFFF"/>
          </w:rPr>
          <w:t>politique de diffusion de l</w:t>
        </w:r>
        <w:r w:rsidR="00092D9C">
          <w:rPr>
            <w:rStyle w:val="Hyperlink"/>
            <w:rFonts w:ascii="Arial" w:hAnsi="Arial" w:cs="Arial"/>
            <w:sz w:val="22"/>
            <w:shd w:val="clear" w:color="auto" w:fill="FFFFFF"/>
          </w:rPr>
          <w:t>’</w:t>
        </w:r>
        <w:r w:rsidR="007B7C87" w:rsidRPr="00B15495">
          <w:rPr>
            <w:rStyle w:val="Hyperlink"/>
            <w:rFonts w:ascii="Arial" w:hAnsi="Arial" w:cs="Arial"/>
            <w:sz w:val="22"/>
            <w:shd w:val="clear" w:color="auto" w:fill="FFFFFF"/>
          </w:rPr>
          <w:t>information des offices de l</w:t>
        </w:r>
        <w:r w:rsidR="00092D9C">
          <w:rPr>
            <w:rStyle w:val="Hyperlink"/>
            <w:rFonts w:ascii="Arial" w:hAnsi="Arial" w:cs="Arial"/>
            <w:sz w:val="22"/>
            <w:shd w:val="clear" w:color="auto" w:fill="FFFFFF"/>
          </w:rPr>
          <w:t>’</w:t>
        </w:r>
        <w:r w:rsidR="007B7C87" w:rsidRPr="00B15495">
          <w:rPr>
            <w:rStyle w:val="Hyperlink"/>
            <w:rFonts w:ascii="Arial" w:hAnsi="Arial" w:cs="Arial"/>
            <w:sz w:val="22"/>
            <w:shd w:val="clear" w:color="auto" w:fill="FFFFFF"/>
          </w:rPr>
          <w:t>IP5 de 2011</w:t>
        </w:r>
      </w:hyperlink>
      <w:r w:rsidR="007B7C87" w:rsidRPr="00B15495">
        <w:rPr>
          <w:rFonts w:ascii="Arial" w:hAnsi="Arial" w:cs="Arial"/>
          <w:sz w:val="22"/>
          <w:shd w:val="clear" w:color="auto" w:fill="FFFFFF"/>
        </w:rPr>
        <w:t xml:space="preserve">”, </w:t>
      </w:r>
      <w:r w:rsidR="007B7C87" w:rsidRPr="00B15495">
        <w:rPr>
          <w:rFonts w:ascii="Arial" w:hAnsi="Arial" w:cs="Arial"/>
          <w:sz w:val="22"/>
        </w:rPr>
        <w:t>pour la transmission de données de propriété intellectuelle, notamment l</w:t>
      </w:r>
      <w:r w:rsidR="00092D9C">
        <w:rPr>
          <w:rFonts w:ascii="Arial" w:hAnsi="Arial" w:cs="Arial"/>
          <w:sz w:val="22"/>
        </w:rPr>
        <w:t>’</w:t>
      </w:r>
      <w:r w:rsidR="007B7C87" w:rsidRPr="00B15495">
        <w:rPr>
          <w:rFonts w:ascii="Arial" w:hAnsi="Arial" w:cs="Arial"/>
          <w:sz w:val="22"/>
        </w:rPr>
        <w:t>échange de données par les offices de propriété intellectuelle avec le public et entre eux;</w:t>
      </w:r>
    </w:p>
    <w:p w14:paraId="06C55AE9" w14:textId="5AC205B7" w:rsidR="007B7C87" w:rsidRPr="00B15495" w:rsidRDefault="00F3221F" w:rsidP="00B15495">
      <w:pPr>
        <w:pStyle w:val="ListParagraph"/>
        <w:widowControl/>
        <w:numPr>
          <w:ilvl w:val="0"/>
          <w:numId w:val="8"/>
        </w:numPr>
        <w:ind w:leftChars="0" w:left="1134" w:hanging="567"/>
        <w:jc w:val="left"/>
        <w:rPr>
          <w:rFonts w:ascii="Arial" w:hAnsi="Arial" w:cs="Arial"/>
          <w:sz w:val="22"/>
        </w:rPr>
      </w:pPr>
      <w:proofErr w:type="gramStart"/>
      <w:r>
        <w:rPr>
          <w:rFonts w:ascii="Arial" w:hAnsi="Arial" w:cs="Arial"/>
          <w:sz w:val="22"/>
        </w:rPr>
        <w:t>m</w:t>
      </w:r>
      <w:r w:rsidR="007B7C87" w:rsidRPr="00B15495">
        <w:rPr>
          <w:rFonts w:ascii="Arial" w:hAnsi="Arial" w:cs="Arial"/>
          <w:sz w:val="22"/>
        </w:rPr>
        <w:t>ettre</w:t>
      </w:r>
      <w:proofErr w:type="gramEnd"/>
      <w:r w:rsidR="007B7C87" w:rsidRPr="00B15495">
        <w:rPr>
          <w:rFonts w:ascii="Arial" w:hAnsi="Arial" w:cs="Arial"/>
          <w:sz w:val="22"/>
        </w:rPr>
        <w:t xml:space="preserve"> en place un portail afin d</w:t>
      </w:r>
      <w:r w:rsidR="00092D9C">
        <w:rPr>
          <w:rFonts w:ascii="Arial" w:hAnsi="Arial" w:cs="Arial"/>
          <w:sz w:val="22"/>
        </w:rPr>
        <w:t>’</w:t>
      </w:r>
      <w:r w:rsidR="007B7C87" w:rsidRPr="00B15495">
        <w:rPr>
          <w:rFonts w:ascii="Arial" w:hAnsi="Arial" w:cs="Arial"/>
          <w:sz w:val="22"/>
        </w:rPr>
        <w:t xml:space="preserve">améliorer la communication entre les offices de propriété intellectuelle, notamment concernant les processus de correction ou de </w:t>
      </w:r>
      <w:r w:rsidR="007B7C87" w:rsidRPr="00B15495">
        <w:rPr>
          <w:rFonts w:ascii="Arial" w:hAnsi="Arial" w:cs="Arial"/>
          <w:sz w:val="22"/>
        </w:rPr>
        <w:lastRenderedPageBreak/>
        <w:t>nettoyage des données, assorti de restrictions d</w:t>
      </w:r>
      <w:r w:rsidR="00092D9C">
        <w:rPr>
          <w:rFonts w:ascii="Arial" w:hAnsi="Arial" w:cs="Arial"/>
          <w:sz w:val="22"/>
        </w:rPr>
        <w:t>’</w:t>
      </w:r>
      <w:r w:rsidR="007B7C87" w:rsidRPr="00B15495">
        <w:rPr>
          <w:rFonts w:ascii="Arial" w:hAnsi="Arial" w:cs="Arial"/>
          <w:sz w:val="22"/>
        </w:rPr>
        <w:t>accès appropriées et de processus d</w:t>
      </w:r>
      <w:r w:rsidR="00092D9C">
        <w:rPr>
          <w:rFonts w:ascii="Arial" w:hAnsi="Arial" w:cs="Arial"/>
          <w:sz w:val="22"/>
        </w:rPr>
        <w:t>’</w:t>
      </w:r>
      <w:r w:rsidR="007B7C87" w:rsidRPr="00B15495">
        <w:rPr>
          <w:rFonts w:ascii="Arial" w:hAnsi="Arial" w:cs="Arial"/>
          <w:sz w:val="22"/>
        </w:rPr>
        <w:t>authentification;</w:t>
      </w:r>
    </w:p>
    <w:p w14:paraId="5C3D4302" w14:textId="0C811A24" w:rsidR="007B7C87" w:rsidRPr="00B15495" w:rsidRDefault="00F3221F" w:rsidP="00B15495">
      <w:pPr>
        <w:pStyle w:val="ListParagraph"/>
        <w:widowControl/>
        <w:numPr>
          <w:ilvl w:val="0"/>
          <w:numId w:val="8"/>
        </w:numPr>
        <w:ind w:leftChars="0" w:left="1134" w:hanging="567"/>
        <w:jc w:val="left"/>
        <w:rPr>
          <w:rFonts w:ascii="Arial" w:hAnsi="Arial" w:cs="Arial"/>
          <w:sz w:val="22"/>
        </w:rPr>
      </w:pPr>
      <w:proofErr w:type="gramStart"/>
      <w:r>
        <w:rPr>
          <w:rFonts w:ascii="Arial" w:hAnsi="Arial" w:cs="Arial"/>
          <w:sz w:val="22"/>
        </w:rPr>
        <w:t>c</w:t>
      </w:r>
      <w:r w:rsidR="007B7C87" w:rsidRPr="00B15495">
        <w:rPr>
          <w:rFonts w:ascii="Arial" w:hAnsi="Arial" w:cs="Arial"/>
          <w:sz w:val="22"/>
        </w:rPr>
        <w:t>réer</w:t>
      </w:r>
      <w:proofErr w:type="gramEnd"/>
      <w:r w:rsidR="007B7C87" w:rsidRPr="00B15495">
        <w:rPr>
          <w:rFonts w:ascii="Arial" w:hAnsi="Arial" w:cs="Arial"/>
          <w:sz w:val="22"/>
        </w:rPr>
        <w:t xml:space="preserve"> une plateforme mondiale d</w:t>
      </w:r>
      <w:r w:rsidR="00092D9C">
        <w:rPr>
          <w:rFonts w:ascii="Arial" w:hAnsi="Arial" w:cs="Arial"/>
          <w:sz w:val="22"/>
        </w:rPr>
        <w:t>’</w:t>
      </w:r>
      <w:r w:rsidR="007B7C87" w:rsidRPr="00B15495">
        <w:rPr>
          <w:rFonts w:ascii="Arial" w:hAnsi="Arial" w:cs="Arial"/>
          <w:sz w:val="22"/>
        </w:rPr>
        <w:t>information qui servira de centre d</w:t>
      </w:r>
      <w:r w:rsidR="00092D9C">
        <w:rPr>
          <w:rFonts w:ascii="Arial" w:hAnsi="Arial" w:cs="Arial"/>
          <w:sz w:val="22"/>
        </w:rPr>
        <w:t>’</w:t>
      </w:r>
      <w:r w:rsidR="007B7C87" w:rsidRPr="00B15495">
        <w:rPr>
          <w:rFonts w:ascii="Arial" w:hAnsi="Arial" w:cs="Arial"/>
          <w:sz w:val="22"/>
        </w:rPr>
        <w:t xml:space="preserve">échange de données ou mettre au point des outils interopérables communs pour établir des passerelles entre les différentes plateformes de diffusion des offices de propriété </w:t>
      </w:r>
      <w:r>
        <w:rPr>
          <w:rFonts w:ascii="Arial" w:hAnsi="Arial" w:cs="Arial"/>
          <w:sz w:val="22"/>
        </w:rPr>
        <w:t>i</w:t>
      </w:r>
      <w:r w:rsidR="007B7C87" w:rsidRPr="00B15495">
        <w:rPr>
          <w:rFonts w:ascii="Arial" w:hAnsi="Arial" w:cs="Arial"/>
          <w:sz w:val="22"/>
        </w:rPr>
        <w:t>ntellectuelle;  et</w:t>
      </w:r>
    </w:p>
    <w:p w14:paraId="35407D91" w14:textId="289A9256" w:rsidR="007B7C87" w:rsidRPr="00B15495" w:rsidRDefault="00F3221F" w:rsidP="00B15495">
      <w:pPr>
        <w:pStyle w:val="ListParagraph"/>
        <w:widowControl/>
        <w:numPr>
          <w:ilvl w:val="0"/>
          <w:numId w:val="8"/>
        </w:numPr>
        <w:spacing w:after="220"/>
        <w:ind w:leftChars="0" w:left="1134" w:hanging="567"/>
        <w:jc w:val="left"/>
        <w:rPr>
          <w:rFonts w:ascii="Arial" w:hAnsi="Arial" w:cs="Arial"/>
          <w:sz w:val="22"/>
        </w:rPr>
      </w:pPr>
      <w:proofErr w:type="gramStart"/>
      <w:r>
        <w:rPr>
          <w:rFonts w:ascii="Arial" w:hAnsi="Arial" w:cs="Arial"/>
          <w:sz w:val="22"/>
        </w:rPr>
        <w:t>r</w:t>
      </w:r>
      <w:r w:rsidR="007B7C87" w:rsidRPr="00B15495">
        <w:rPr>
          <w:rFonts w:ascii="Arial" w:hAnsi="Arial" w:cs="Arial"/>
          <w:sz w:val="22"/>
        </w:rPr>
        <w:t>ecueillir</w:t>
      </w:r>
      <w:proofErr w:type="gramEnd"/>
      <w:r w:rsidR="007B7C87" w:rsidRPr="00B15495">
        <w:rPr>
          <w:rFonts w:ascii="Arial" w:hAnsi="Arial" w:cs="Arial"/>
          <w:sz w:val="22"/>
        </w:rPr>
        <w:t xml:space="preserve"> et partager les pratiques recommandées pour l</w:t>
      </w:r>
      <w:r w:rsidR="00092D9C">
        <w:rPr>
          <w:rFonts w:ascii="Arial" w:hAnsi="Arial" w:cs="Arial"/>
          <w:sz w:val="22"/>
        </w:rPr>
        <w:t>’</w:t>
      </w:r>
      <w:r w:rsidR="007B7C87" w:rsidRPr="00B15495">
        <w:rPr>
          <w:rFonts w:ascii="Arial" w:hAnsi="Arial" w:cs="Arial"/>
          <w:sz w:val="22"/>
        </w:rPr>
        <w:t xml:space="preserve">échange de données, en particulier la numérisation et la </w:t>
      </w:r>
      <w:proofErr w:type="spellStart"/>
      <w:r w:rsidR="007B7C87" w:rsidRPr="00B15495">
        <w:rPr>
          <w:rFonts w:ascii="Arial" w:hAnsi="Arial" w:cs="Arial"/>
          <w:sz w:val="22"/>
        </w:rPr>
        <w:t>textualisation</w:t>
      </w:r>
      <w:proofErr w:type="spellEnd"/>
      <w:r w:rsidR="007B7C87" w:rsidRPr="00B15495">
        <w:rPr>
          <w:rFonts w:ascii="Arial" w:hAnsi="Arial" w:cs="Arial"/>
          <w:sz w:val="22"/>
        </w:rPr>
        <w:t xml:space="preserve"> des données de propriété intellectuelle.</w:t>
      </w:r>
    </w:p>
    <w:p w14:paraId="0D0BF770" w14:textId="1E955302" w:rsidR="007B7C87" w:rsidRPr="00B15495" w:rsidRDefault="007B7C87" w:rsidP="007B7C87">
      <w:pPr>
        <w:rPr>
          <w:szCs w:val="22"/>
        </w:rPr>
      </w:pPr>
      <w:r w:rsidRPr="00B15495">
        <w:rPr>
          <w:szCs w:val="22"/>
        </w:rPr>
        <w:t>Ces solutions feront l</w:t>
      </w:r>
      <w:r w:rsidR="00092D9C">
        <w:rPr>
          <w:szCs w:val="22"/>
        </w:rPr>
        <w:t>’</w:t>
      </w:r>
      <w:r w:rsidRPr="00B15495">
        <w:rPr>
          <w:szCs w:val="22"/>
        </w:rPr>
        <w:t>objet d</w:t>
      </w:r>
      <w:r w:rsidR="00092D9C">
        <w:rPr>
          <w:szCs w:val="22"/>
        </w:rPr>
        <w:t>’</w:t>
      </w:r>
      <w:r w:rsidRPr="00B15495">
        <w:rPr>
          <w:szCs w:val="22"/>
        </w:rPr>
        <w:t>un examen par l</w:t>
      </w:r>
      <w:r w:rsidR="00092D9C">
        <w:rPr>
          <w:szCs w:val="22"/>
        </w:rPr>
        <w:t>’</w:t>
      </w:r>
      <w:r w:rsidRPr="00B15495">
        <w:rPr>
          <w:szCs w:val="22"/>
        </w:rPr>
        <w:t>équipe d</w:t>
      </w:r>
      <w:r w:rsidR="00092D9C">
        <w:rPr>
          <w:szCs w:val="22"/>
        </w:rPr>
        <w:t>’</w:t>
      </w:r>
      <w:r w:rsidRPr="00B15495">
        <w:rPr>
          <w:szCs w:val="22"/>
        </w:rPr>
        <w:t>experts, une fois celle</w:t>
      </w:r>
      <w:r w:rsidR="00F3221F">
        <w:rPr>
          <w:szCs w:val="22"/>
        </w:rPr>
        <w:noBreakHyphen/>
      </w:r>
      <w:r w:rsidRPr="00B15495">
        <w:rPr>
          <w:szCs w:val="22"/>
        </w:rPr>
        <w:t>ci créé</w:t>
      </w:r>
      <w:r w:rsidR="00BB0050">
        <w:rPr>
          <w:szCs w:val="22"/>
        </w:rPr>
        <w:t>e</w:t>
      </w:r>
      <w:r w:rsidRPr="00B15495">
        <w:rPr>
          <w:szCs w:val="22"/>
        </w:rPr>
        <w:t xml:space="preserve"> par le CWS, pour en déterminer la viabilité.</w:t>
      </w:r>
    </w:p>
    <w:p w14:paraId="1F202914" w14:textId="1DA66769" w:rsidR="007B7C87" w:rsidRPr="00B15495" w:rsidRDefault="007B7C87" w:rsidP="00B15495">
      <w:pPr>
        <w:pStyle w:val="Heading2"/>
        <w:spacing w:before="220" w:after="220"/>
        <w:rPr>
          <w:szCs w:val="22"/>
        </w:rPr>
      </w:pPr>
      <w:r w:rsidRPr="00B15495">
        <w:rPr>
          <w:szCs w:val="22"/>
          <w:u w:val="none"/>
        </w:rPr>
        <w:fldChar w:fldCharType="begin"/>
      </w:r>
      <w:r w:rsidRPr="00B15495">
        <w:rPr>
          <w:szCs w:val="22"/>
          <w:u w:val="none"/>
        </w:rPr>
        <w:instrText xml:space="preserve"> AUTONUM  </w:instrText>
      </w:r>
      <w:r w:rsidRPr="00B15495">
        <w:rPr>
          <w:szCs w:val="22"/>
          <w:u w:val="none"/>
        </w:rPr>
        <w:fldChar w:fldCharType="end"/>
      </w:r>
      <w:r w:rsidRPr="00B15495">
        <w:rPr>
          <w:szCs w:val="22"/>
          <w:u w:val="none"/>
        </w:rPr>
        <w:tab/>
      </w:r>
      <w:r w:rsidRPr="00B15495">
        <w:rPr>
          <w:szCs w:val="22"/>
        </w:rPr>
        <w:t>O</w:t>
      </w:r>
      <w:r w:rsidR="00B15495" w:rsidRPr="00B15495">
        <w:rPr>
          <w:caps w:val="0"/>
          <w:szCs w:val="22"/>
        </w:rPr>
        <w:t>bjectifs de la proposition</w:t>
      </w:r>
    </w:p>
    <w:p w14:paraId="0D7A1B69" w14:textId="24739E6B" w:rsidR="007B7C87" w:rsidRPr="00B15495" w:rsidRDefault="007B7C87" w:rsidP="007B7C87">
      <w:pPr>
        <w:rPr>
          <w:szCs w:val="22"/>
        </w:rPr>
      </w:pPr>
      <w:bookmarkStart w:id="0" w:name="_Hlk173137784"/>
      <w:bookmarkStart w:id="1" w:name="_Hlk172886785"/>
      <w:r w:rsidRPr="00B15495">
        <w:rPr>
          <w:szCs w:val="22"/>
        </w:rPr>
        <w:t>Bien que la nécessité des solutions proposées ci</w:t>
      </w:r>
      <w:r w:rsidR="00F3221F">
        <w:rPr>
          <w:szCs w:val="22"/>
        </w:rPr>
        <w:noBreakHyphen/>
      </w:r>
      <w:r w:rsidRPr="00B15495">
        <w:rPr>
          <w:szCs w:val="22"/>
        </w:rPr>
        <w:t>dessus puisse ne pas sembler évidente ou acceptable, les deux délégations estiment qu</w:t>
      </w:r>
      <w:r w:rsidR="00092D9C">
        <w:rPr>
          <w:szCs w:val="22"/>
        </w:rPr>
        <w:t>’</w:t>
      </w:r>
      <w:r w:rsidRPr="00B15495">
        <w:rPr>
          <w:szCs w:val="22"/>
        </w:rPr>
        <w:t>il y a lieu d</w:t>
      </w:r>
      <w:r w:rsidR="00092D9C">
        <w:rPr>
          <w:szCs w:val="22"/>
        </w:rPr>
        <w:t>’</w:t>
      </w:r>
      <w:r w:rsidRPr="00B15495">
        <w:rPr>
          <w:szCs w:val="22"/>
        </w:rPr>
        <w:t>évaluer leur utilité.  À cet égard, il est important que les États membres de l</w:t>
      </w:r>
      <w:r w:rsidR="00092D9C">
        <w:rPr>
          <w:szCs w:val="22"/>
        </w:rPr>
        <w:t>’</w:t>
      </w:r>
      <w:r w:rsidRPr="00B15495">
        <w:rPr>
          <w:szCs w:val="22"/>
        </w:rPr>
        <w:t>OMPI participent à cet examen afin que les solutions proposées puissent être utilisées au mieux dans le cadre de la présente propositi</w:t>
      </w:r>
      <w:r w:rsidR="00F3221F" w:rsidRPr="00B15495">
        <w:rPr>
          <w:szCs w:val="22"/>
        </w:rPr>
        <w:t>on</w:t>
      </w:r>
      <w:r w:rsidR="00F3221F">
        <w:rPr>
          <w:szCs w:val="22"/>
        </w:rPr>
        <w:t xml:space="preserve">.  </w:t>
      </w:r>
      <w:r w:rsidR="00F3221F" w:rsidRPr="00B15495">
        <w:rPr>
          <w:szCs w:val="22"/>
        </w:rPr>
        <w:t>Au</w:t>
      </w:r>
      <w:r w:rsidRPr="00B15495">
        <w:rPr>
          <w:szCs w:val="22"/>
        </w:rPr>
        <w:t>ssi est</w:t>
      </w:r>
      <w:r w:rsidR="00F3221F">
        <w:rPr>
          <w:szCs w:val="22"/>
        </w:rPr>
        <w:noBreakHyphen/>
      </w:r>
      <w:r w:rsidRPr="00B15495">
        <w:rPr>
          <w:szCs w:val="22"/>
        </w:rPr>
        <w:t>il proposé que le CWS examine et approuve la création d</w:t>
      </w:r>
      <w:r w:rsidR="00092D9C">
        <w:rPr>
          <w:szCs w:val="22"/>
        </w:rPr>
        <w:t>’</w:t>
      </w:r>
      <w:r w:rsidRPr="00B15495">
        <w:rPr>
          <w:szCs w:val="22"/>
        </w:rPr>
        <w:t>une nouvelle tâche et d</w:t>
      </w:r>
      <w:r w:rsidR="00092D9C">
        <w:rPr>
          <w:szCs w:val="22"/>
        </w:rPr>
        <w:t>’</w:t>
      </w:r>
      <w:r w:rsidRPr="00B15495">
        <w:rPr>
          <w:szCs w:val="22"/>
        </w:rPr>
        <w:t>une équipe d</w:t>
      </w:r>
      <w:r w:rsidR="00092D9C">
        <w:rPr>
          <w:szCs w:val="22"/>
        </w:rPr>
        <w:t>’</w:t>
      </w:r>
      <w:r w:rsidRPr="00B15495">
        <w:rPr>
          <w:szCs w:val="22"/>
        </w:rPr>
        <w:t>experts correspondante afin de faciliter les débats sur les difficultés potentielles lié</w:t>
      </w:r>
      <w:r w:rsidR="00BB0050">
        <w:rPr>
          <w:szCs w:val="22"/>
        </w:rPr>
        <w:t>e</w:t>
      </w:r>
      <w:r w:rsidRPr="00B15495">
        <w:rPr>
          <w:szCs w:val="22"/>
        </w:rPr>
        <w:t>s à l</w:t>
      </w:r>
      <w:r w:rsidR="00092D9C">
        <w:rPr>
          <w:szCs w:val="22"/>
        </w:rPr>
        <w:t>’</w:t>
      </w:r>
      <w:r w:rsidRPr="00B15495">
        <w:rPr>
          <w:szCs w:val="22"/>
        </w:rPr>
        <w:t>échange de données de propriété intellectuelle et l</w:t>
      </w:r>
      <w:r w:rsidR="00092D9C">
        <w:rPr>
          <w:szCs w:val="22"/>
        </w:rPr>
        <w:t>’</w:t>
      </w:r>
      <w:r w:rsidRPr="00B15495">
        <w:rPr>
          <w:szCs w:val="22"/>
        </w:rPr>
        <w:t>examen de la viabilité et de la concrétisation des solutions proposées décrites ci</w:t>
      </w:r>
      <w:r w:rsidR="00F3221F">
        <w:rPr>
          <w:szCs w:val="22"/>
        </w:rPr>
        <w:noBreakHyphen/>
      </w:r>
      <w:r w:rsidRPr="00B15495">
        <w:rPr>
          <w:szCs w:val="22"/>
        </w:rPr>
        <w:t>dess</w:t>
      </w:r>
      <w:r w:rsidR="00F3221F" w:rsidRPr="00B15495">
        <w:rPr>
          <w:szCs w:val="22"/>
        </w:rPr>
        <w:t>us</w:t>
      </w:r>
      <w:r w:rsidR="00F3221F">
        <w:rPr>
          <w:szCs w:val="22"/>
        </w:rPr>
        <w:t xml:space="preserve">.  </w:t>
      </w:r>
      <w:r w:rsidR="00F3221F" w:rsidRPr="00B15495">
        <w:rPr>
          <w:szCs w:val="22"/>
        </w:rPr>
        <w:t>Il</w:t>
      </w:r>
      <w:r w:rsidRPr="00B15495">
        <w:rPr>
          <w:szCs w:val="22"/>
        </w:rPr>
        <w:t xml:space="preserve"> est également proposé que ce projet soit considéré comme une priorité dans le programme de travail du CWS.</w:t>
      </w:r>
      <w:bookmarkEnd w:id="0"/>
      <w:bookmarkEnd w:id="1"/>
    </w:p>
    <w:p w14:paraId="207A394D" w14:textId="5AD88743" w:rsidR="007B7C87" w:rsidRPr="00B15495" w:rsidRDefault="007B7C87" w:rsidP="00B15495">
      <w:pPr>
        <w:pStyle w:val="Heading2"/>
        <w:spacing w:before="220" w:after="220"/>
        <w:rPr>
          <w:szCs w:val="22"/>
        </w:rPr>
      </w:pPr>
      <w:r w:rsidRPr="00B15495">
        <w:rPr>
          <w:szCs w:val="22"/>
          <w:u w:val="none"/>
        </w:rPr>
        <w:fldChar w:fldCharType="begin"/>
      </w:r>
      <w:r w:rsidRPr="00B15495">
        <w:rPr>
          <w:szCs w:val="22"/>
          <w:u w:val="none"/>
        </w:rPr>
        <w:instrText xml:space="preserve"> AUTONUM  </w:instrText>
      </w:r>
      <w:r w:rsidRPr="00B15495">
        <w:rPr>
          <w:szCs w:val="22"/>
          <w:u w:val="none"/>
        </w:rPr>
        <w:fldChar w:fldCharType="end"/>
      </w:r>
      <w:r w:rsidRPr="00B15495">
        <w:rPr>
          <w:szCs w:val="22"/>
          <w:u w:val="none"/>
        </w:rPr>
        <w:tab/>
      </w:r>
      <w:r w:rsidRPr="00B15495">
        <w:rPr>
          <w:szCs w:val="22"/>
        </w:rPr>
        <w:t>A</w:t>
      </w:r>
      <w:r w:rsidR="00B15495" w:rsidRPr="00B15495">
        <w:rPr>
          <w:caps w:val="0"/>
          <w:szCs w:val="22"/>
        </w:rPr>
        <w:t>vantages escomptés</w:t>
      </w:r>
    </w:p>
    <w:p w14:paraId="0BF5149F" w14:textId="68E65C19" w:rsidR="007B7C87" w:rsidRPr="00B15495" w:rsidRDefault="007B7C87" w:rsidP="007B7C87">
      <w:pPr>
        <w:rPr>
          <w:rFonts w:eastAsia="MS Mincho"/>
          <w:szCs w:val="22"/>
        </w:rPr>
      </w:pPr>
      <w:r w:rsidRPr="00B15495">
        <w:rPr>
          <w:szCs w:val="22"/>
        </w:rPr>
        <w:t>Les avantages escomptés de l</w:t>
      </w:r>
      <w:r w:rsidR="00092D9C">
        <w:rPr>
          <w:szCs w:val="22"/>
        </w:rPr>
        <w:t>’</w:t>
      </w:r>
      <w:r w:rsidRPr="00B15495">
        <w:rPr>
          <w:szCs w:val="22"/>
        </w:rPr>
        <w:t>exécution par l</w:t>
      </w:r>
      <w:r w:rsidR="00092D9C">
        <w:rPr>
          <w:szCs w:val="22"/>
        </w:rPr>
        <w:t>’</w:t>
      </w:r>
      <w:r w:rsidRPr="00B15495">
        <w:rPr>
          <w:szCs w:val="22"/>
        </w:rPr>
        <w:t>équipe d</w:t>
      </w:r>
      <w:r w:rsidR="00092D9C">
        <w:rPr>
          <w:szCs w:val="22"/>
        </w:rPr>
        <w:t>’</w:t>
      </w:r>
      <w:r w:rsidRPr="00B15495">
        <w:rPr>
          <w:szCs w:val="22"/>
        </w:rPr>
        <w:t>experts de la nouvelle tâche décrite ci</w:t>
      </w:r>
      <w:r w:rsidR="00F3221F">
        <w:rPr>
          <w:szCs w:val="22"/>
        </w:rPr>
        <w:noBreakHyphen/>
      </w:r>
      <w:r w:rsidRPr="00B15495">
        <w:rPr>
          <w:szCs w:val="22"/>
        </w:rPr>
        <w:t>dessus sont les suivants</w:t>
      </w:r>
      <w:r w:rsidR="00092D9C">
        <w:rPr>
          <w:szCs w:val="22"/>
        </w:rPr>
        <w:t> :</w:t>
      </w:r>
    </w:p>
    <w:p w14:paraId="5424BC7A" w14:textId="2C7F059F" w:rsidR="007B7C87" w:rsidRPr="00B15495" w:rsidRDefault="007B7C87" w:rsidP="00B15495">
      <w:pPr>
        <w:pStyle w:val="ListParagraph"/>
        <w:widowControl/>
        <w:numPr>
          <w:ilvl w:val="0"/>
          <w:numId w:val="10"/>
        </w:numPr>
        <w:ind w:leftChars="0" w:left="1134" w:hanging="567"/>
        <w:jc w:val="left"/>
        <w:rPr>
          <w:rFonts w:ascii="Arial" w:hAnsi="Arial" w:cs="Arial"/>
          <w:sz w:val="22"/>
        </w:rPr>
      </w:pPr>
      <w:r w:rsidRPr="00B15495">
        <w:rPr>
          <w:rFonts w:ascii="Arial" w:hAnsi="Arial" w:cs="Arial"/>
          <w:sz w:val="22"/>
        </w:rPr>
        <w:t>Avec la mondialisation croissante, les avantages que procure le système des droits de propriété intellectuelle seront optimisés en rendant les données aussi accessibles que possible aux personnes du monde enti</w:t>
      </w:r>
      <w:r w:rsidR="00F3221F" w:rsidRPr="00B15495">
        <w:rPr>
          <w:rFonts w:ascii="Arial" w:hAnsi="Arial" w:cs="Arial"/>
          <w:sz w:val="22"/>
        </w:rPr>
        <w:t>er</w:t>
      </w:r>
      <w:r w:rsidR="00F3221F">
        <w:rPr>
          <w:rFonts w:ascii="Arial" w:hAnsi="Arial" w:cs="Arial"/>
          <w:sz w:val="22"/>
        </w:rPr>
        <w:t xml:space="preserve">.  </w:t>
      </w:r>
      <w:r w:rsidR="00F3221F" w:rsidRPr="00B15495">
        <w:rPr>
          <w:rFonts w:ascii="Arial" w:hAnsi="Arial" w:cs="Arial"/>
          <w:sz w:val="22"/>
        </w:rPr>
        <w:t>Pa</w:t>
      </w:r>
      <w:r w:rsidRPr="00B15495">
        <w:rPr>
          <w:rFonts w:ascii="Arial" w:hAnsi="Arial" w:cs="Arial"/>
          <w:sz w:val="22"/>
        </w:rPr>
        <w:t>r conséquent, sécuriser l</w:t>
      </w:r>
      <w:r w:rsidR="00092D9C">
        <w:rPr>
          <w:rFonts w:ascii="Arial" w:hAnsi="Arial" w:cs="Arial"/>
          <w:sz w:val="22"/>
        </w:rPr>
        <w:t>’</w:t>
      </w:r>
      <w:r w:rsidRPr="00B15495">
        <w:rPr>
          <w:rFonts w:ascii="Arial" w:hAnsi="Arial" w:cs="Arial"/>
          <w:sz w:val="22"/>
        </w:rPr>
        <w:t>accès mondial aux données de propriété intellectuelle en améliorant l</w:t>
      </w:r>
      <w:r w:rsidR="00092D9C">
        <w:rPr>
          <w:rFonts w:ascii="Arial" w:hAnsi="Arial" w:cs="Arial"/>
          <w:sz w:val="22"/>
        </w:rPr>
        <w:t>’</w:t>
      </w:r>
      <w:r w:rsidRPr="00B15495">
        <w:rPr>
          <w:rFonts w:ascii="Arial" w:hAnsi="Arial" w:cs="Arial"/>
          <w:sz w:val="22"/>
        </w:rPr>
        <w:t>échange de données entre les offices de propriété intellectuelle stimulera l</w:t>
      </w:r>
      <w:r w:rsidR="00092D9C">
        <w:rPr>
          <w:rFonts w:ascii="Arial" w:hAnsi="Arial" w:cs="Arial"/>
          <w:sz w:val="22"/>
        </w:rPr>
        <w:t>’</w:t>
      </w:r>
      <w:r w:rsidRPr="00B15495">
        <w:rPr>
          <w:rFonts w:ascii="Arial" w:hAnsi="Arial" w:cs="Arial"/>
          <w:sz w:val="22"/>
        </w:rPr>
        <w:t>innovation mondiale et favorisera le développement futur non seulement de chaque pays et région, mais aussi du monde dans son ensemb</w:t>
      </w:r>
      <w:r w:rsidR="00F3221F" w:rsidRPr="00B15495">
        <w:rPr>
          <w:rFonts w:ascii="Arial" w:hAnsi="Arial" w:cs="Arial"/>
          <w:sz w:val="22"/>
        </w:rPr>
        <w:t>le</w:t>
      </w:r>
      <w:r w:rsidR="00F3221F">
        <w:rPr>
          <w:rFonts w:ascii="Arial" w:hAnsi="Arial" w:cs="Arial"/>
          <w:sz w:val="22"/>
        </w:rPr>
        <w:t xml:space="preserve">.  </w:t>
      </w:r>
      <w:r w:rsidR="00F3221F" w:rsidRPr="00B15495">
        <w:rPr>
          <w:rFonts w:ascii="Arial" w:hAnsi="Arial" w:cs="Arial"/>
          <w:sz w:val="22"/>
        </w:rPr>
        <w:t>La</w:t>
      </w:r>
      <w:r w:rsidRPr="00B15495">
        <w:rPr>
          <w:rFonts w:ascii="Arial" w:hAnsi="Arial" w:cs="Arial"/>
          <w:sz w:val="22"/>
        </w:rPr>
        <w:t xml:space="preserve"> fourniture de données de propriété intellectuelle par échange de données favorise également la rationalisation de l</w:t>
      </w:r>
      <w:r w:rsidR="00092D9C">
        <w:rPr>
          <w:rFonts w:ascii="Arial" w:hAnsi="Arial" w:cs="Arial"/>
          <w:sz w:val="22"/>
        </w:rPr>
        <w:t>’</w:t>
      </w:r>
      <w:r w:rsidRPr="00B15495">
        <w:rPr>
          <w:rFonts w:ascii="Arial" w:hAnsi="Arial" w:cs="Arial"/>
          <w:sz w:val="22"/>
        </w:rPr>
        <w:t>accès, étant donné que les offices de propriété intellectuelle qui reçoivent des données peuvent avoir besoin de proposer des fonctionnalités de traduction et d</w:t>
      </w:r>
      <w:r w:rsidR="00092D9C">
        <w:rPr>
          <w:rFonts w:ascii="Arial" w:hAnsi="Arial" w:cs="Arial"/>
          <w:sz w:val="22"/>
        </w:rPr>
        <w:t>’</w:t>
      </w:r>
      <w:r w:rsidRPr="00B15495">
        <w:rPr>
          <w:rFonts w:ascii="Arial" w:hAnsi="Arial" w:cs="Arial"/>
          <w:sz w:val="22"/>
        </w:rPr>
        <w:t>analyse similaires au secteur privé dans les pays ou régions dont relèvent les offices de propriété intellectuelle destinataires des donné</w:t>
      </w:r>
      <w:r w:rsidR="00F3221F" w:rsidRPr="00B15495">
        <w:rPr>
          <w:rFonts w:ascii="Arial" w:hAnsi="Arial" w:cs="Arial"/>
          <w:sz w:val="22"/>
        </w:rPr>
        <w:t>es</w:t>
      </w:r>
      <w:r w:rsidR="00F3221F">
        <w:rPr>
          <w:rFonts w:ascii="Arial" w:hAnsi="Arial" w:cs="Arial"/>
          <w:sz w:val="22"/>
        </w:rPr>
        <w:t xml:space="preserve">.  </w:t>
      </w:r>
      <w:r w:rsidR="00F3221F" w:rsidRPr="00B15495">
        <w:rPr>
          <w:rFonts w:ascii="Arial" w:hAnsi="Arial" w:cs="Arial"/>
          <w:sz w:val="22"/>
        </w:rPr>
        <w:t>En</w:t>
      </w:r>
      <w:r w:rsidRPr="00B15495">
        <w:rPr>
          <w:rFonts w:ascii="Arial" w:hAnsi="Arial" w:cs="Arial"/>
          <w:sz w:val="22"/>
        </w:rPr>
        <w:t xml:space="preserve"> outre, le processus de négociation sera plus efficace entre les offices de propriété intellectuelle qui se conforment aux normes proposées par l</w:t>
      </w:r>
      <w:r w:rsidR="00092D9C">
        <w:rPr>
          <w:rFonts w:ascii="Arial" w:hAnsi="Arial" w:cs="Arial"/>
          <w:sz w:val="22"/>
        </w:rPr>
        <w:t>’</w:t>
      </w:r>
      <w:r w:rsidRPr="00B15495">
        <w:rPr>
          <w:rFonts w:ascii="Arial" w:hAnsi="Arial" w:cs="Arial"/>
          <w:sz w:val="22"/>
        </w:rPr>
        <w:t>OMPI, puisqu</w:t>
      </w:r>
      <w:r w:rsidR="00092D9C">
        <w:rPr>
          <w:rFonts w:ascii="Arial" w:hAnsi="Arial" w:cs="Arial"/>
          <w:sz w:val="22"/>
        </w:rPr>
        <w:t>’</w:t>
      </w:r>
      <w:r w:rsidRPr="00B15495">
        <w:rPr>
          <w:rFonts w:ascii="Arial" w:hAnsi="Arial" w:cs="Arial"/>
          <w:sz w:val="22"/>
        </w:rPr>
        <w:t>il y a déjà eu un accord implicite sur les recommandations entre les États membres de l</w:t>
      </w:r>
      <w:r w:rsidR="00092D9C">
        <w:rPr>
          <w:rFonts w:ascii="Arial" w:hAnsi="Arial" w:cs="Arial"/>
          <w:sz w:val="22"/>
        </w:rPr>
        <w:t>’</w:t>
      </w:r>
      <w:r w:rsidRPr="00B15495">
        <w:rPr>
          <w:rFonts w:ascii="Arial" w:hAnsi="Arial" w:cs="Arial"/>
          <w:sz w:val="22"/>
        </w:rPr>
        <w:t>OMPI.</w:t>
      </w:r>
    </w:p>
    <w:p w14:paraId="205F6E50" w14:textId="6B1E1906" w:rsidR="007B7C87" w:rsidRPr="00B15495" w:rsidRDefault="007B7C87" w:rsidP="00B15495">
      <w:pPr>
        <w:pStyle w:val="ListParagraph"/>
        <w:widowControl/>
        <w:numPr>
          <w:ilvl w:val="0"/>
          <w:numId w:val="10"/>
        </w:numPr>
        <w:ind w:leftChars="0" w:left="1134" w:hanging="567"/>
        <w:jc w:val="left"/>
        <w:rPr>
          <w:rFonts w:ascii="Arial" w:hAnsi="Arial" w:cs="Arial"/>
          <w:sz w:val="22"/>
        </w:rPr>
      </w:pPr>
      <w:r w:rsidRPr="00B15495">
        <w:rPr>
          <w:rFonts w:ascii="Arial" w:hAnsi="Arial" w:cs="Arial"/>
          <w:sz w:val="22"/>
        </w:rPr>
        <w:t>La mise en place d</w:t>
      </w:r>
      <w:r w:rsidR="00092D9C">
        <w:rPr>
          <w:rFonts w:ascii="Arial" w:hAnsi="Arial" w:cs="Arial"/>
          <w:sz w:val="22"/>
        </w:rPr>
        <w:t>’</w:t>
      </w:r>
      <w:r w:rsidRPr="00B15495">
        <w:rPr>
          <w:rFonts w:ascii="Arial" w:hAnsi="Arial" w:cs="Arial"/>
          <w:sz w:val="22"/>
        </w:rPr>
        <w:t>un portail de communication entre les offices participants peut permettre aux offices de partager leurs expériences et ouvrir la voie à une réduction des chevauchements des travaux de liaison effectués par ces offices ainsi qu</w:t>
      </w:r>
      <w:r w:rsidR="00092D9C">
        <w:rPr>
          <w:rFonts w:ascii="Arial" w:hAnsi="Arial" w:cs="Arial"/>
          <w:sz w:val="22"/>
        </w:rPr>
        <w:t>’</w:t>
      </w:r>
      <w:r w:rsidRPr="00B15495">
        <w:rPr>
          <w:rFonts w:ascii="Arial" w:hAnsi="Arial" w:cs="Arial"/>
          <w:sz w:val="22"/>
        </w:rPr>
        <w:t>à des processus de nettoyage des données plus efficaces.</w:t>
      </w:r>
    </w:p>
    <w:p w14:paraId="70DCB12A" w14:textId="7F043753" w:rsidR="00092D9C" w:rsidRDefault="007B7C87" w:rsidP="00B15495">
      <w:pPr>
        <w:pStyle w:val="ListParagraph"/>
        <w:widowControl/>
        <w:numPr>
          <w:ilvl w:val="0"/>
          <w:numId w:val="10"/>
        </w:numPr>
        <w:ind w:leftChars="0" w:left="1134" w:hanging="567"/>
        <w:jc w:val="left"/>
        <w:rPr>
          <w:rFonts w:ascii="Arial" w:hAnsi="Arial" w:cs="Arial"/>
          <w:sz w:val="22"/>
        </w:rPr>
      </w:pPr>
      <w:r w:rsidRPr="00B15495">
        <w:rPr>
          <w:rFonts w:ascii="Arial" w:hAnsi="Arial" w:cs="Arial"/>
          <w:sz w:val="22"/>
        </w:rPr>
        <w:t>L</w:t>
      </w:r>
      <w:r w:rsidR="00092D9C">
        <w:rPr>
          <w:rFonts w:ascii="Arial" w:hAnsi="Arial" w:cs="Arial"/>
          <w:sz w:val="22"/>
        </w:rPr>
        <w:t>’</w:t>
      </w:r>
      <w:r w:rsidRPr="00B15495">
        <w:rPr>
          <w:rFonts w:ascii="Arial" w:hAnsi="Arial" w:cs="Arial"/>
          <w:sz w:val="22"/>
        </w:rPr>
        <w:t>utilisation de la plateforme mondiale d</w:t>
      </w:r>
      <w:r w:rsidR="00092D9C">
        <w:rPr>
          <w:rFonts w:ascii="Arial" w:hAnsi="Arial" w:cs="Arial"/>
          <w:sz w:val="22"/>
        </w:rPr>
        <w:t>’</w:t>
      </w:r>
      <w:r w:rsidRPr="00B15495">
        <w:rPr>
          <w:rFonts w:ascii="Arial" w:hAnsi="Arial" w:cs="Arial"/>
          <w:sz w:val="22"/>
        </w:rPr>
        <w:t>information comme centre d</w:t>
      </w:r>
      <w:r w:rsidR="00092D9C">
        <w:rPr>
          <w:rFonts w:ascii="Arial" w:hAnsi="Arial" w:cs="Arial"/>
          <w:sz w:val="22"/>
        </w:rPr>
        <w:t>’</w:t>
      </w:r>
      <w:r w:rsidRPr="00B15495">
        <w:rPr>
          <w:rFonts w:ascii="Arial" w:hAnsi="Arial" w:cs="Arial"/>
          <w:sz w:val="22"/>
        </w:rPr>
        <w:t>échange de données permettrait de simplifier l</w:t>
      </w:r>
      <w:r w:rsidR="00092D9C">
        <w:rPr>
          <w:rFonts w:ascii="Arial" w:hAnsi="Arial" w:cs="Arial"/>
          <w:sz w:val="22"/>
        </w:rPr>
        <w:t>’</w:t>
      </w:r>
      <w:r w:rsidRPr="00B15495">
        <w:rPr>
          <w:rFonts w:ascii="Arial" w:hAnsi="Arial" w:cs="Arial"/>
          <w:sz w:val="22"/>
        </w:rPr>
        <w:t>échange de données.</w:t>
      </w:r>
    </w:p>
    <w:p w14:paraId="659082B8" w14:textId="1B9A1FF2" w:rsidR="00092D9C" w:rsidRDefault="007B7C87" w:rsidP="00B15495">
      <w:pPr>
        <w:pStyle w:val="ListParagraph"/>
        <w:widowControl/>
        <w:numPr>
          <w:ilvl w:val="0"/>
          <w:numId w:val="10"/>
        </w:numPr>
        <w:ind w:leftChars="0" w:left="1134" w:hanging="567"/>
        <w:jc w:val="left"/>
        <w:rPr>
          <w:rFonts w:ascii="Arial" w:hAnsi="Arial" w:cs="Arial"/>
          <w:sz w:val="22"/>
        </w:rPr>
      </w:pPr>
      <w:r w:rsidRPr="00B15495">
        <w:rPr>
          <w:rFonts w:ascii="Arial" w:hAnsi="Arial" w:cs="Arial"/>
          <w:sz w:val="22"/>
        </w:rPr>
        <w:t xml:space="preserve">Grâce au recueil et au partage des pratiques recommandées, la numérisation et la </w:t>
      </w:r>
      <w:proofErr w:type="spellStart"/>
      <w:r w:rsidRPr="00B15495">
        <w:rPr>
          <w:rFonts w:ascii="Arial" w:hAnsi="Arial" w:cs="Arial"/>
          <w:sz w:val="22"/>
        </w:rPr>
        <w:t>textualisation</w:t>
      </w:r>
      <w:proofErr w:type="spellEnd"/>
      <w:r w:rsidRPr="00B15495">
        <w:rPr>
          <w:rFonts w:ascii="Arial" w:hAnsi="Arial" w:cs="Arial"/>
          <w:sz w:val="22"/>
        </w:rPr>
        <w:t xml:space="preserve"> des données de propriété intellectuelle deviendront plus efficaces et plus rapides, ce qui donnera aux pays souffrant de “fracture numérique” la possibilité de tirer plus rapidement parti des avantages que procure l</w:t>
      </w:r>
      <w:r w:rsidR="00092D9C">
        <w:rPr>
          <w:rFonts w:ascii="Arial" w:hAnsi="Arial" w:cs="Arial"/>
          <w:sz w:val="22"/>
        </w:rPr>
        <w:t>’</w:t>
      </w:r>
      <w:r w:rsidRPr="00B15495">
        <w:rPr>
          <w:rFonts w:ascii="Arial" w:hAnsi="Arial" w:cs="Arial"/>
          <w:sz w:val="22"/>
        </w:rPr>
        <w:t>échange de données.</w:t>
      </w:r>
    </w:p>
    <w:p w14:paraId="32716BE9" w14:textId="0CD63039" w:rsidR="007B7C87" w:rsidRPr="00B15495" w:rsidRDefault="007B7C87" w:rsidP="00B15495">
      <w:pPr>
        <w:pStyle w:val="ListParagraph"/>
        <w:widowControl/>
        <w:numPr>
          <w:ilvl w:val="0"/>
          <w:numId w:val="10"/>
        </w:numPr>
        <w:ind w:leftChars="0" w:left="1134" w:hanging="567"/>
        <w:jc w:val="left"/>
        <w:rPr>
          <w:rFonts w:ascii="Arial" w:eastAsia="MS Mincho" w:hAnsi="Arial" w:cs="Arial"/>
          <w:kern w:val="0"/>
          <w:sz w:val="22"/>
        </w:rPr>
      </w:pPr>
      <w:r w:rsidRPr="00B15495">
        <w:rPr>
          <w:rFonts w:ascii="Arial" w:hAnsi="Arial" w:cs="Arial"/>
          <w:sz w:val="22"/>
        </w:rPr>
        <w:lastRenderedPageBreak/>
        <w:t>Le développement et la promotion de l</w:t>
      </w:r>
      <w:r w:rsidR="00092D9C">
        <w:rPr>
          <w:rFonts w:ascii="Arial" w:hAnsi="Arial" w:cs="Arial"/>
          <w:sz w:val="22"/>
        </w:rPr>
        <w:t>’</w:t>
      </w:r>
      <w:r w:rsidRPr="00B15495">
        <w:rPr>
          <w:rFonts w:ascii="Arial" w:hAnsi="Arial" w:cs="Arial"/>
          <w:sz w:val="22"/>
        </w:rPr>
        <w:t>utilisation de données relatives à la propriété intellectuelle favoriser</w:t>
      </w:r>
      <w:r w:rsidR="00BB0050">
        <w:rPr>
          <w:rFonts w:ascii="Arial" w:hAnsi="Arial" w:cs="Arial"/>
          <w:sz w:val="22"/>
        </w:rPr>
        <w:t>ont</w:t>
      </w:r>
      <w:r w:rsidRPr="00B15495">
        <w:rPr>
          <w:rFonts w:ascii="Arial" w:hAnsi="Arial" w:cs="Arial"/>
          <w:sz w:val="22"/>
        </w:rPr>
        <w:t xml:space="preserve"> le transfert de technologie des pays recevant des données vers les pays qui les fournissent ainsi que l</w:t>
      </w:r>
      <w:r w:rsidR="00092D9C">
        <w:rPr>
          <w:rFonts w:ascii="Arial" w:hAnsi="Arial" w:cs="Arial"/>
          <w:sz w:val="22"/>
        </w:rPr>
        <w:t>’</w:t>
      </w:r>
      <w:r w:rsidRPr="00B15495">
        <w:rPr>
          <w:rFonts w:ascii="Arial" w:hAnsi="Arial" w:cs="Arial"/>
          <w:sz w:val="22"/>
        </w:rPr>
        <w:t>amélioration de la qualité de l</w:t>
      </w:r>
      <w:r w:rsidR="00092D9C">
        <w:rPr>
          <w:rFonts w:ascii="Arial" w:hAnsi="Arial" w:cs="Arial"/>
          <w:sz w:val="22"/>
        </w:rPr>
        <w:t>’</w:t>
      </w:r>
      <w:r w:rsidRPr="00B15495">
        <w:rPr>
          <w:rFonts w:ascii="Arial" w:hAnsi="Arial" w:cs="Arial"/>
          <w:sz w:val="22"/>
        </w:rPr>
        <w:t>examen et du traitement dans les deux</w:t>
      </w:r>
      <w:r w:rsidR="008C6C76">
        <w:rPr>
          <w:rFonts w:ascii="Arial" w:hAnsi="Arial" w:cs="Arial"/>
          <w:sz w:val="22"/>
        </w:rPr>
        <w:t> </w:t>
      </w:r>
      <w:r w:rsidRPr="00B15495">
        <w:rPr>
          <w:rFonts w:ascii="Arial" w:hAnsi="Arial" w:cs="Arial"/>
          <w:sz w:val="22"/>
        </w:rPr>
        <w:t>pays.</w:t>
      </w:r>
    </w:p>
    <w:p w14:paraId="444592C6" w14:textId="4367ACAC" w:rsidR="007B7C87" w:rsidRPr="00B15495" w:rsidRDefault="007B7C87" w:rsidP="00B15495">
      <w:pPr>
        <w:pStyle w:val="Heading2"/>
        <w:spacing w:before="220" w:after="220"/>
        <w:rPr>
          <w:szCs w:val="22"/>
        </w:rPr>
      </w:pPr>
      <w:r w:rsidRPr="00B15495">
        <w:rPr>
          <w:szCs w:val="22"/>
          <w:u w:val="none"/>
        </w:rPr>
        <w:fldChar w:fldCharType="begin"/>
      </w:r>
      <w:r w:rsidRPr="00B15495">
        <w:rPr>
          <w:szCs w:val="22"/>
          <w:u w:val="none"/>
        </w:rPr>
        <w:instrText xml:space="preserve"> AUTONUM  </w:instrText>
      </w:r>
      <w:r w:rsidRPr="00B15495">
        <w:rPr>
          <w:szCs w:val="22"/>
          <w:u w:val="none"/>
        </w:rPr>
        <w:fldChar w:fldCharType="end"/>
      </w:r>
      <w:r w:rsidRPr="00B15495">
        <w:rPr>
          <w:szCs w:val="22"/>
          <w:u w:val="none"/>
        </w:rPr>
        <w:tab/>
      </w:r>
      <w:r w:rsidRPr="00B15495">
        <w:rPr>
          <w:szCs w:val="22"/>
        </w:rPr>
        <w:t>E</w:t>
      </w:r>
      <w:r w:rsidR="00B15495" w:rsidRPr="00B15495">
        <w:rPr>
          <w:caps w:val="0"/>
          <w:szCs w:val="22"/>
        </w:rPr>
        <w:t>stimation des coûts</w:t>
      </w:r>
    </w:p>
    <w:p w14:paraId="3062379E" w14:textId="01984322" w:rsidR="007B7C87" w:rsidRPr="00B15495" w:rsidRDefault="007B7C87" w:rsidP="007B7C87">
      <w:pPr>
        <w:rPr>
          <w:szCs w:val="22"/>
        </w:rPr>
      </w:pPr>
      <w:r w:rsidRPr="00B15495">
        <w:rPr>
          <w:szCs w:val="22"/>
        </w:rPr>
        <w:t>Pas d</w:t>
      </w:r>
      <w:r w:rsidR="00092D9C">
        <w:rPr>
          <w:szCs w:val="22"/>
        </w:rPr>
        <w:t>’</w:t>
      </w:r>
      <w:r w:rsidRPr="00B15495">
        <w:rPr>
          <w:szCs w:val="22"/>
        </w:rPr>
        <w:t>estimation disponible à ce stade.</w:t>
      </w:r>
    </w:p>
    <w:p w14:paraId="42FC6FCE" w14:textId="7F126482" w:rsidR="007B7C87" w:rsidRPr="00B15495" w:rsidRDefault="007B7C87" w:rsidP="00B15495">
      <w:pPr>
        <w:pStyle w:val="Heading2"/>
        <w:spacing w:before="220" w:after="220"/>
        <w:rPr>
          <w:szCs w:val="22"/>
        </w:rPr>
      </w:pPr>
      <w:r w:rsidRPr="00B15495">
        <w:rPr>
          <w:szCs w:val="22"/>
          <w:u w:val="none"/>
        </w:rPr>
        <w:fldChar w:fldCharType="begin"/>
      </w:r>
      <w:r w:rsidRPr="00B15495">
        <w:rPr>
          <w:szCs w:val="22"/>
          <w:u w:val="none"/>
        </w:rPr>
        <w:instrText xml:space="preserve"> AUTONUM  </w:instrText>
      </w:r>
      <w:r w:rsidRPr="00B15495">
        <w:rPr>
          <w:szCs w:val="22"/>
          <w:u w:val="none"/>
        </w:rPr>
        <w:fldChar w:fldCharType="end"/>
      </w:r>
      <w:r w:rsidRPr="00B15495">
        <w:rPr>
          <w:szCs w:val="22"/>
          <w:u w:val="none"/>
        </w:rPr>
        <w:tab/>
      </w:r>
      <w:r w:rsidRPr="00B15495">
        <w:rPr>
          <w:szCs w:val="22"/>
        </w:rPr>
        <w:t>B</w:t>
      </w:r>
      <w:r w:rsidR="00B15495" w:rsidRPr="00B15495">
        <w:rPr>
          <w:caps w:val="0"/>
          <w:szCs w:val="22"/>
        </w:rPr>
        <w:t>esoins en ressources</w:t>
      </w:r>
    </w:p>
    <w:p w14:paraId="3F1716AA" w14:textId="539E0359" w:rsidR="007B7C87" w:rsidRPr="00B15495" w:rsidRDefault="007B7C87" w:rsidP="007B7C87">
      <w:pPr>
        <w:rPr>
          <w:szCs w:val="22"/>
        </w:rPr>
      </w:pPr>
      <w:r w:rsidRPr="00B15495">
        <w:rPr>
          <w:szCs w:val="22"/>
        </w:rPr>
        <w:t xml:space="preserve">Experts du domaine politique, juridique, informatique et des données de propriété </w:t>
      </w:r>
      <w:proofErr w:type="gramStart"/>
      <w:r w:rsidRPr="00B15495">
        <w:rPr>
          <w:szCs w:val="22"/>
        </w:rPr>
        <w:t>intellectuelle;  les</w:t>
      </w:r>
      <w:proofErr w:type="gramEnd"/>
      <w:r w:rsidRPr="00B15495">
        <w:rPr>
          <w:szCs w:val="22"/>
        </w:rPr>
        <w:t xml:space="preserve"> ressources financières nécessaires, en particulier pour la mise au point du portail et de la plateforme commune ou des outils communs mentionnés précédemment devront être évaluées en temps opportun.</w:t>
      </w:r>
    </w:p>
    <w:p w14:paraId="73CD5CE8" w14:textId="3EEBEFA3" w:rsidR="007B7C87" w:rsidRPr="00B15495" w:rsidRDefault="007B7C87" w:rsidP="00B15495">
      <w:pPr>
        <w:pStyle w:val="Heading2"/>
        <w:spacing w:before="220" w:after="220"/>
        <w:rPr>
          <w:szCs w:val="22"/>
        </w:rPr>
      </w:pPr>
      <w:r w:rsidRPr="00B15495">
        <w:rPr>
          <w:szCs w:val="22"/>
          <w:u w:val="none"/>
        </w:rPr>
        <w:fldChar w:fldCharType="begin"/>
      </w:r>
      <w:r w:rsidRPr="00B15495">
        <w:rPr>
          <w:szCs w:val="22"/>
          <w:u w:val="none"/>
        </w:rPr>
        <w:instrText xml:space="preserve"> AUTONUM  </w:instrText>
      </w:r>
      <w:r w:rsidRPr="00B15495">
        <w:rPr>
          <w:szCs w:val="22"/>
          <w:u w:val="none"/>
        </w:rPr>
        <w:fldChar w:fldCharType="end"/>
      </w:r>
      <w:r w:rsidRPr="00B15495">
        <w:rPr>
          <w:szCs w:val="22"/>
          <w:u w:val="none"/>
        </w:rPr>
        <w:tab/>
      </w:r>
      <w:r w:rsidRPr="00B15495">
        <w:rPr>
          <w:szCs w:val="22"/>
        </w:rPr>
        <w:t>R</w:t>
      </w:r>
      <w:r w:rsidR="00B15495" w:rsidRPr="00B15495">
        <w:rPr>
          <w:caps w:val="0"/>
          <w:szCs w:val="22"/>
        </w:rPr>
        <w:t>isques</w:t>
      </w:r>
    </w:p>
    <w:p w14:paraId="66D267C9" w14:textId="502240DB" w:rsidR="00092D9C" w:rsidRDefault="007B7C87" w:rsidP="00B15495">
      <w:pPr>
        <w:spacing w:after="220"/>
        <w:rPr>
          <w:szCs w:val="22"/>
        </w:rPr>
      </w:pPr>
      <w:r w:rsidRPr="00B15495">
        <w:rPr>
          <w:szCs w:val="22"/>
        </w:rPr>
        <w:t>La création de cette nouvelle équipe d</w:t>
      </w:r>
      <w:r w:rsidR="00092D9C">
        <w:rPr>
          <w:szCs w:val="22"/>
        </w:rPr>
        <w:t>’</w:t>
      </w:r>
      <w:r w:rsidRPr="00B15495">
        <w:rPr>
          <w:szCs w:val="22"/>
        </w:rPr>
        <w:t>experts comporte plusieurs risques, notamment le fait que de nombreuses équipes d</w:t>
      </w:r>
      <w:r w:rsidR="00092D9C">
        <w:rPr>
          <w:szCs w:val="22"/>
        </w:rPr>
        <w:t>’</w:t>
      </w:r>
      <w:r w:rsidRPr="00B15495">
        <w:rPr>
          <w:szCs w:val="22"/>
        </w:rPr>
        <w:t>experts peinent à obtenir des retours d</w:t>
      </w:r>
      <w:r w:rsidR="00092D9C">
        <w:rPr>
          <w:szCs w:val="22"/>
        </w:rPr>
        <w:t>’</w:t>
      </w:r>
      <w:r w:rsidRPr="00B15495">
        <w:rPr>
          <w:szCs w:val="22"/>
        </w:rPr>
        <w:t>information significatifs de leurs membres.</w:t>
      </w:r>
    </w:p>
    <w:p w14:paraId="758DEE37" w14:textId="1CC8DEE0" w:rsidR="007B7C87" w:rsidRPr="00B15495" w:rsidRDefault="007B7C87" w:rsidP="007B7C87">
      <w:pPr>
        <w:rPr>
          <w:szCs w:val="22"/>
        </w:rPr>
      </w:pPr>
      <w:r w:rsidRPr="00B15495">
        <w:rPr>
          <w:szCs w:val="22"/>
        </w:rPr>
        <w:t>En ce qui concerne les solutions proposées, il pourrait s</w:t>
      </w:r>
      <w:r w:rsidR="00092D9C">
        <w:rPr>
          <w:szCs w:val="22"/>
        </w:rPr>
        <w:t>’</w:t>
      </w:r>
      <w:r w:rsidRPr="00B15495">
        <w:rPr>
          <w:szCs w:val="22"/>
        </w:rPr>
        <w:t>avérer difficile de convenir des conditions d</w:t>
      </w:r>
      <w:r w:rsidR="00092D9C">
        <w:rPr>
          <w:szCs w:val="22"/>
        </w:rPr>
        <w:t>’</w:t>
      </w:r>
      <w:r w:rsidRPr="00B15495">
        <w:rPr>
          <w:szCs w:val="22"/>
        </w:rPr>
        <w:t>utilisation des données de propriété intellectuelle par des tiers, notamment de leur utilisation commerciale en dehors du pays qui les a fourni</w:t>
      </w:r>
      <w:r w:rsidR="00F3221F" w:rsidRPr="00B15495">
        <w:rPr>
          <w:szCs w:val="22"/>
        </w:rPr>
        <w:t>es</w:t>
      </w:r>
      <w:r w:rsidR="00F3221F">
        <w:rPr>
          <w:szCs w:val="22"/>
        </w:rPr>
        <w:t xml:space="preserve">.  </w:t>
      </w:r>
      <w:r w:rsidR="00F3221F" w:rsidRPr="00B15495">
        <w:rPr>
          <w:szCs w:val="22"/>
        </w:rPr>
        <w:t>La</w:t>
      </w:r>
      <w:r w:rsidRPr="00B15495">
        <w:rPr>
          <w:szCs w:val="22"/>
        </w:rPr>
        <w:t xml:space="preserve"> création du portail et de la plateforme commune d</w:t>
      </w:r>
      <w:r w:rsidR="00092D9C">
        <w:rPr>
          <w:szCs w:val="22"/>
        </w:rPr>
        <w:t>’</w:t>
      </w:r>
      <w:r w:rsidRPr="00B15495">
        <w:rPr>
          <w:szCs w:val="22"/>
        </w:rPr>
        <w:t>information est un projet de grande envergure et il faudra de nombreuses années avant qu</w:t>
      </w:r>
      <w:r w:rsidR="00092D9C">
        <w:rPr>
          <w:szCs w:val="22"/>
        </w:rPr>
        <w:t>’</w:t>
      </w:r>
      <w:r w:rsidRPr="00B15495">
        <w:rPr>
          <w:szCs w:val="22"/>
        </w:rPr>
        <w:t>il ne devienne effectif.</w:t>
      </w:r>
    </w:p>
    <w:p w14:paraId="43593825" w14:textId="010C9BCC" w:rsidR="000F5E56" w:rsidRPr="00F3221F" w:rsidRDefault="007B7C87" w:rsidP="00B15495">
      <w:pPr>
        <w:pStyle w:val="Endofdocument-Annex"/>
        <w:spacing w:before="720"/>
        <w:rPr>
          <w:lang w:val="fr-FR"/>
        </w:rPr>
      </w:pPr>
      <w:r w:rsidRPr="00F3221F">
        <w:rPr>
          <w:lang w:val="fr-FR"/>
        </w:rPr>
        <w:t>[Fin de l</w:t>
      </w:r>
      <w:r w:rsidR="00092D9C" w:rsidRPr="00F3221F">
        <w:rPr>
          <w:lang w:val="fr-FR"/>
        </w:rPr>
        <w:t>’</w:t>
      </w:r>
      <w:r w:rsidRPr="00F3221F">
        <w:rPr>
          <w:lang w:val="fr-FR"/>
        </w:rPr>
        <w:t>annexe et du document]</w:t>
      </w:r>
    </w:p>
    <w:sectPr w:rsidR="000F5E56" w:rsidRPr="00F3221F" w:rsidSect="007B7C87">
      <w:headerReference w:type="default" r:id="rId8"/>
      <w:headerReference w:type="firs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5EEC5" w14:textId="77777777" w:rsidR="007B7C87" w:rsidRDefault="007B7C87">
      <w:r>
        <w:separator/>
      </w:r>
    </w:p>
  </w:endnote>
  <w:endnote w:type="continuationSeparator" w:id="0">
    <w:p w14:paraId="4F8D6E54" w14:textId="77777777" w:rsidR="007B7C87" w:rsidRPr="009D30E6" w:rsidRDefault="007B7C87" w:rsidP="00D45252">
      <w:pPr>
        <w:rPr>
          <w:sz w:val="17"/>
          <w:szCs w:val="17"/>
        </w:rPr>
      </w:pPr>
      <w:r w:rsidRPr="009D30E6">
        <w:rPr>
          <w:sz w:val="17"/>
          <w:szCs w:val="17"/>
        </w:rPr>
        <w:separator/>
      </w:r>
    </w:p>
    <w:p w14:paraId="7FCE7171" w14:textId="77777777" w:rsidR="007B7C87" w:rsidRPr="009D30E6" w:rsidRDefault="007B7C87" w:rsidP="00D45252">
      <w:pPr>
        <w:spacing w:after="60"/>
        <w:rPr>
          <w:sz w:val="17"/>
          <w:szCs w:val="17"/>
        </w:rPr>
      </w:pPr>
      <w:r w:rsidRPr="009D30E6">
        <w:rPr>
          <w:sz w:val="17"/>
          <w:szCs w:val="17"/>
        </w:rPr>
        <w:t>[Suite de la note de la page précédente]</w:t>
      </w:r>
    </w:p>
  </w:endnote>
  <w:endnote w:type="continuationNotice" w:id="1">
    <w:p w14:paraId="760E514A" w14:textId="77777777" w:rsidR="007B7C87" w:rsidRPr="009D30E6" w:rsidRDefault="007B7C8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C55A6" w14:textId="77777777" w:rsidR="007B7C87" w:rsidRDefault="007B7C87">
      <w:r>
        <w:separator/>
      </w:r>
    </w:p>
  </w:footnote>
  <w:footnote w:type="continuationSeparator" w:id="0">
    <w:p w14:paraId="6128AC2B" w14:textId="77777777" w:rsidR="007B7C87" w:rsidRDefault="007B7C87" w:rsidP="007461F1">
      <w:r>
        <w:separator/>
      </w:r>
    </w:p>
    <w:p w14:paraId="7061D8EA" w14:textId="77777777" w:rsidR="007B7C87" w:rsidRPr="009D30E6" w:rsidRDefault="007B7C87" w:rsidP="007461F1">
      <w:pPr>
        <w:spacing w:after="60"/>
        <w:rPr>
          <w:sz w:val="17"/>
          <w:szCs w:val="17"/>
        </w:rPr>
      </w:pPr>
      <w:r w:rsidRPr="009D30E6">
        <w:rPr>
          <w:sz w:val="17"/>
          <w:szCs w:val="17"/>
        </w:rPr>
        <w:t>[Suite de la note de la page précédente]</w:t>
      </w:r>
    </w:p>
  </w:footnote>
  <w:footnote w:type="continuationNotice" w:id="1">
    <w:p w14:paraId="3FFCA71F" w14:textId="77777777" w:rsidR="007B7C87" w:rsidRPr="009D30E6" w:rsidRDefault="007B7C87"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F0A33" w14:textId="77777777" w:rsidR="007B7C87" w:rsidRDefault="007B7C87" w:rsidP="00477D6B">
    <w:pPr>
      <w:jc w:val="right"/>
    </w:pPr>
    <w:bookmarkStart w:id="2" w:name="Code2"/>
    <w:bookmarkEnd w:id="2"/>
    <w:r>
      <w:t>CWS/12/23</w:t>
    </w:r>
  </w:p>
  <w:p w14:paraId="5132998D" w14:textId="54BE9A79" w:rsidR="00F16975" w:rsidRDefault="007B7C87" w:rsidP="007B7C87">
    <w:pPr>
      <w:spacing w:after="480"/>
      <w:jc w:val="right"/>
    </w:pPr>
    <w:r>
      <w:t xml:space="preserve">Annexe II, </w:t>
    </w:r>
    <w:r w:rsidR="00F16975">
      <w:t>page</w:t>
    </w:r>
    <w:r>
      <w:t>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AF5F" w14:textId="4CABEF57" w:rsidR="007B7C87" w:rsidRDefault="007B7C87" w:rsidP="007B7C87">
    <w:pPr>
      <w:jc w:val="right"/>
    </w:pPr>
    <w:proofErr w:type="spellStart"/>
    <w:r>
      <w:t>CWS</w:t>
    </w:r>
    <w:proofErr w:type="spellEnd"/>
    <w:r>
      <w:t>/12/23</w:t>
    </w:r>
    <w:r w:rsidR="00C12BB3">
      <w:t> </w:t>
    </w:r>
    <w:proofErr w:type="spellStart"/>
    <w:r w:rsidR="00C12BB3">
      <w:t>Rev</w:t>
    </w:r>
    <w:proofErr w:type="spellEnd"/>
    <w:r w:rsidR="00C12BB3">
      <w:t>.</w:t>
    </w:r>
  </w:p>
  <w:p w14:paraId="2A48962C" w14:textId="415779CD" w:rsidR="007B7C87" w:rsidRPr="007B7C87" w:rsidRDefault="007B7C87" w:rsidP="007B7C87">
    <w:pPr>
      <w:spacing w:after="480"/>
      <w:jc w:val="right"/>
      <w:rPr>
        <w:caps/>
      </w:rPr>
    </w:pPr>
    <w:r w:rsidRPr="007B7C87">
      <w:rPr>
        <w:caps/>
      </w:rPr>
      <w:t>Annexe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58B4838"/>
    <w:multiLevelType w:val="hybridMultilevel"/>
    <w:tmpl w:val="2E106740"/>
    <w:lvl w:ilvl="0" w:tplc="DDA6CF12">
      <w:start w:val="1"/>
      <w:numFmt w:val="bullet"/>
      <w:lvlText w:val=""/>
      <w:lvlJc w:val="left"/>
      <w:pPr>
        <w:ind w:left="1280" w:hanging="440"/>
      </w:pPr>
      <w:rPr>
        <w:rFonts w:ascii="Symbol" w:hAnsi="Symbol"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62A33A6"/>
    <w:multiLevelType w:val="hybridMultilevel"/>
    <w:tmpl w:val="1ABE48D4"/>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8E6EA8"/>
    <w:multiLevelType w:val="hybridMultilevel"/>
    <w:tmpl w:val="1ABE48D4"/>
    <w:lvl w:ilvl="0" w:tplc="04090017">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AF7669B"/>
    <w:multiLevelType w:val="hybridMultilevel"/>
    <w:tmpl w:val="AF0E2EB4"/>
    <w:lvl w:ilvl="0" w:tplc="921CEA12">
      <w:start w:val="1"/>
      <w:numFmt w:val="lowerLetter"/>
      <w:lvlText w:val="(%1)"/>
      <w:lvlJc w:val="left"/>
      <w:pPr>
        <w:ind w:left="-7190" w:hanging="360"/>
      </w:pPr>
      <w:rPr>
        <w:rFonts w:hint="default"/>
      </w:rPr>
    </w:lvl>
    <w:lvl w:ilvl="1" w:tplc="04090017" w:tentative="1">
      <w:start w:val="1"/>
      <w:numFmt w:val="aiueoFullWidth"/>
      <w:lvlText w:val="(%2)"/>
      <w:lvlJc w:val="left"/>
      <w:pPr>
        <w:ind w:left="-6670" w:hanging="440"/>
      </w:pPr>
    </w:lvl>
    <w:lvl w:ilvl="2" w:tplc="04090011" w:tentative="1">
      <w:start w:val="1"/>
      <w:numFmt w:val="decimalEnclosedCircle"/>
      <w:lvlText w:val="%3"/>
      <w:lvlJc w:val="left"/>
      <w:pPr>
        <w:ind w:left="-6230" w:hanging="440"/>
      </w:pPr>
    </w:lvl>
    <w:lvl w:ilvl="3" w:tplc="0409000F" w:tentative="1">
      <w:start w:val="1"/>
      <w:numFmt w:val="decimal"/>
      <w:lvlText w:val="%4."/>
      <w:lvlJc w:val="left"/>
      <w:pPr>
        <w:ind w:left="-5790" w:hanging="440"/>
      </w:pPr>
    </w:lvl>
    <w:lvl w:ilvl="4" w:tplc="04090017" w:tentative="1">
      <w:start w:val="1"/>
      <w:numFmt w:val="aiueoFullWidth"/>
      <w:lvlText w:val="(%5)"/>
      <w:lvlJc w:val="left"/>
      <w:pPr>
        <w:ind w:left="-5350" w:hanging="440"/>
      </w:pPr>
    </w:lvl>
    <w:lvl w:ilvl="5" w:tplc="04090011" w:tentative="1">
      <w:start w:val="1"/>
      <w:numFmt w:val="decimalEnclosedCircle"/>
      <w:lvlText w:val="%6"/>
      <w:lvlJc w:val="left"/>
      <w:pPr>
        <w:ind w:left="-4910" w:hanging="440"/>
      </w:pPr>
    </w:lvl>
    <w:lvl w:ilvl="6" w:tplc="0409000F" w:tentative="1">
      <w:start w:val="1"/>
      <w:numFmt w:val="decimal"/>
      <w:lvlText w:val="%7."/>
      <w:lvlJc w:val="left"/>
      <w:pPr>
        <w:ind w:left="-4470" w:hanging="440"/>
      </w:pPr>
    </w:lvl>
    <w:lvl w:ilvl="7" w:tplc="04090017" w:tentative="1">
      <w:start w:val="1"/>
      <w:numFmt w:val="aiueoFullWidth"/>
      <w:lvlText w:val="(%8)"/>
      <w:lvlJc w:val="left"/>
      <w:pPr>
        <w:ind w:left="-4030" w:hanging="440"/>
      </w:pPr>
    </w:lvl>
    <w:lvl w:ilvl="8" w:tplc="04090011" w:tentative="1">
      <w:start w:val="1"/>
      <w:numFmt w:val="decimalEnclosedCircle"/>
      <w:lvlText w:val="%9"/>
      <w:lvlJc w:val="left"/>
      <w:pPr>
        <w:ind w:left="-3590" w:hanging="440"/>
      </w:pPr>
    </w:lvl>
  </w:abstractNum>
  <w:abstractNum w:abstractNumId="10" w15:restartNumberingAfterBreak="0">
    <w:nsid w:val="6D1A5B0F"/>
    <w:multiLevelType w:val="hybridMultilevel"/>
    <w:tmpl w:val="471C6A2E"/>
    <w:lvl w:ilvl="0" w:tplc="C0E22200">
      <w:start w:val="1"/>
      <w:numFmt w:val="bullet"/>
      <w:lvlText w:val=""/>
      <w:lvlJc w:val="left"/>
      <w:pPr>
        <w:ind w:left="1290" w:hanging="440"/>
      </w:pPr>
      <w:rPr>
        <w:rFonts w:ascii="Symbol" w:hAnsi="Symbol" w:hint="default"/>
      </w:rPr>
    </w:lvl>
    <w:lvl w:ilvl="1" w:tplc="FFFFFFFF" w:tentative="1">
      <w:start w:val="1"/>
      <w:numFmt w:val="bullet"/>
      <w:lvlText w:val=""/>
      <w:lvlJc w:val="left"/>
      <w:pPr>
        <w:ind w:left="1730" w:hanging="440"/>
      </w:pPr>
      <w:rPr>
        <w:rFonts w:ascii="Wingdings" w:hAnsi="Wingdings" w:hint="default"/>
      </w:rPr>
    </w:lvl>
    <w:lvl w:ilvl="2" w:tplc="FFFFFFFF" w:tentative="1">
      <w:start w:val="1"/>
      <w:numFmt w:val="bullet"/>
      <w:lvlText w:val=""/>
      <w:lvlJc w:val="left"/>
      <w:pPr>
        <w:ind w:left="2170" w:hanging="440"/>
      </w:pPr>
      <w:rPr>
        <w:rFonts w:ascii="Wingdings" w:hAnsi="Wingdings" w:hint="default"/>
      </w:rPr>
    </w:lvl>
    <w:lvl w:ilvl="3" w:tplc="FFFFFFFF" w:tentative="1">
      <w:start w:val="1"/>
      <w:numFmt w:val="bullet"/>
      <w:lvlText w:val=""/>
      <w:lvlJc w:val="left"/>
      <w:pPr>
        <w:ind w:left="2610" w:hanging="440"/>
      </w:pPr>
      <w:rPr>
        <w:rFonts w:ascii="Wingdings" w:hAnsi="Wingdings" w:hint="default"/>
      </w:rPr>
    </w:lvl>
    <w:lvl w:ilvl="4" w:tplc="FFFFFFFF" w:tentative="1">
      <w:start w:val="1"/>
      <w:numFmt w:val="bullet"/>
      <w:lvlText w:val=""/>
      <w:lvlJc w:val="left"/>
      <w:pPr>
        <w:ind w:left="3050" w:hanging="440"/>
      </w:pPr>
      <w:rPr>
        <w:rFonts w:ascii="Wingdings" w:hAnsi="Wingdings" w:hint="default"/>
      </w:rPr>
    </w:lvl>
    <w:lvl w:ilvl="5" w:tplc="FFFFFFFF" w:tentative="1">
      <w:start w:val="1"/>
      <w:numFmt w:val="bullet"/>
      <w:lvlText w:val=""/>
      <w:lvlJc w:val="left"/>
      <w:pPr>
        <w:ind w:left="3490" w:hanging="440"/>
      </w:pPr>
      <w:rPr>
        <w:rFonts w:ascii="Wingdings" w:hAnsi="Wingdings" w:hint="default"/>
      </w:rPr>
    </w:lvl>
    <w:lvl w:ilvl="6" w:tplc="FFFFFFFF" w:tentative="1">
      <w:start w:val="1"/>
      <w:numFmt w:val="bullet"/>
      <w:lvlText w:val=""/>
      <w:lvlJc w:val="left"/>
      <w:pPr>
        <w:ind w:left="3930" w:hanging="440"/>
      </w:pPr>
      <w:rPr>
        <w:rFonts w:ascii="Wingdings" w:hAnsi="Wingdings" w:hint="default"/>
      </w:rPr>
    </w:lvl>
    <w:lvl w:ilvl="7" w:tplc="FFFFFFFF" w:tentative="1">
      <w:start w:val="1"/>
      <w:numFmt w:val="bullet"/>
      <w:lvlText w:val=""/>
      <w:lvlJc w:val="left"/>
      <w:pPr>
        <w:ind w:left="4370" w:hanging="440"/>
      </w:pPr>
      <w:rPr>
        <w:rFonts w:ascii="Wingdings" w:hAnsi="Wingdings" w:hint="default"/>
      </w:rPr>
    </w:lvl>
    <w:lvl w:ilvl="8" w:tplc="FFFFFFFF" w:tentative="1">
      <w:start w:val="1"/>
      <w:numFmt w:val="bullet"/>
      <w:lvlText w:val=""/>
      <w:lvlJc w:val="left"/>
      <w:pPr>
        <w:ind w:left="4810" w:hanging="440"/>
      </w:pPr>
      <w:rPr>
        <w:rFonts w:ascii="Wingdings" w:hAnsi="Wingdings" w:hint="default"/>
      </w:rPr>
    </w:lvl>
  </w:abstractNum>
  <w:num w:numId="1" w16cid:durableId="1398548192">
    <w:abstractNumId w:val="3"/>
  </w:num>
  <w:num w:numId="2" w16cid:durableId="1870607316">
    <w:abstractNumId w:val="6"/>
  </w:num>
  <w:num w:numId="3" w16cid:durableId="844322595">
    <w:abstractNumId w:val="0"/>
  </w:num>
  <w:num w:numId="4" w16cid:durableId="1456631763">
    <w:abstractNumId w:val="7"/>
  </w:num>
  <w:num w:numId="5" w16cid:durableId="628778745">
    <w:abstractNumId w:val="2"/>
  </w:num>
  <w:num w:numId="6" w16cid:durableId="670451745">
    <w:abstractNumId w:val="4"/>
  </w:num>
  <w:num w:numId="7" w16cid:durableId="1326664997">
    <w:abstractNumId w:val="9"/>
  </w:num>
  <w:num w:numId="8" w16cid:durableId="1299382665">
    <w:abstractNumId w:val="1"/>
  </w:num>
  <w:num w:numId="9" w16cid:durableId="1780055510">
    <w:abstractNumId w:val="8"/>
  </w:num>
  <w:num w:numId="10" w16cid:durableId="392823167">
    <w:abstractNumId w:val="10"/>
  </w:num>
  <w:num w:numId="11" w16cid:durableId="496309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87"/>
    <w:rsid w:val="00011B7D"/>
    <w:rsid w:val="00046B35"/>
    <w:rsid w:val="00075432"/>
    <w:rsid w:val="00092D9C"/>
    <w:rsid w:val="000956A7"/>
    <w:rsid w:val="000F5E56"/>
    <w:rsid w:val="001352EC"/>
    <w:rsid w:val="001362EE"/>
    <w:rsid w:val="001832A6"/>
    <w:rsid w:val="00195C6E"/>
    <w:rsid w:val="00197881"/>
    <w:rsid w:val="001B266A"/>
    <w:rsid w:val="001B2991"/>
    <w:rsid w:val="001D3D56"/>
    <w:rsid w:val="00240654"/>
    <w:rsid w:val="002634C4"/>
    <w:rsid w:val="002D4918"/>
    <w:rsid w:val="002E4D1A"/>
    <w:rsid w:val="002F16BC"/>
    <w:rsid w:val="002F1E74"/>
    <w:rsid w:val="002F4E68"/>
    <w:rsid w:val="00314FC1"/>
    <w:rsid w:val="00315FCA"/>
    <w:rsid w:val="003845C1"/>
    <w:rsid w:val="003A1BCD"/>
    <w:rsid w:val="004008A2"/>
    <w:rsid w:val="004025DF"/>
    <w:rsid w:val="00423E3E"/>
    <w:rsid w:val="00427AF4"/>
    <w:rsid w:val="004647DA"/>
    <w:rsid w:val="00477D6B"/>
    <w:rsid w:val="004D6471"/>
    <w:rsid w:val="004F4E31"/>
    <w:rsid w:val="00525B63"/>
    <w:rsid w:val="00547476"/>
    <w:rsid w:val="00561DB8"/>
    <w:rsid w:val="00567A4C"/>
    <w:rsid w:val="005E6516"/>
    <w:rsid w:val="00605827"/>
    <w:rsid w:val="00676936"/>
    <w:rsid w:val="006B0DB5"/>
    <w:rsid w:val="006E1BAC"/>
    <w:rsid w:val="006E4243"/>
    <w:rsid w:val="007461F1"/>
    <w:rsid w:val="007669CB"/>
    <w:rsid w:val="007B7C87"/>
    <w:rsid w:val="007D6961"/>
    <w:rsid w:val="007F07CB"/>
    <w:rsid w:val="00810CEF"/>
    <w:rsid w:val="0081208D"/>
    <w:rsid w:val="008236DE"/>
    <w:rsid w:val="00842A13"/>
    <w:rsid w:val="008B2CC1"/>
    <w:rsid w:val="008C6C76"/>
    <w:rsid w:val="008E7930"/>
    <w:rsid w:val="0090731E"/>
    <w:rsid w:val="00966A22"/>
    <w:rsid w:val="00974CD6"/>
    <w:rsid w:val="009D30E6"/>
    <w:rsid w:val="009E3F6F"/>
    <w:rsid w:val="009F499F"/>
    <w:rsid w:val="00A02BD3"/>
    <w:rsid w:val="00AA1F20"/>
    <w:rsid w:val="00AC0AE4"/>
    <w:rsid w:val="00AD61DB"/>
    <w:rsid w:val="00B15495"/>
    <w:rsid w:val="00B87BCF"/>
    <w:rsid w:val="00BA62D4"/>
    <w:rsid w:val="00BB0050"/>
    <w:rsid w:val="00BB46CD"/>
    <w:rsid w:val="00C12BB3"/>
    <w:rsid w:val="00C153FD"/>
    <w:rsid w:val="00C40E15"/>
    <w:rsid w:val="00C664C8"/>
    <w:rsid w:val="00C76A79"/>
    <w:rsid w:val="00CA15F5"/>
    <w:rsid w:val="00CF0460"/>
    <w:rsid w:val="00D45252"/>
    <w:rsid w:val="00D71B4D"/>
    <w:rsid w:val="00D75C1E"/>
    <w:rsid w:val="00D93D55"/>
    <w:rsid w:val="00DB0349"/>
    <w:rsid w:val="00DD6A16"/>
    <w:rsid w:val="00E0091A"/>
    <w:rsid w:val="00E203AA"/>
    <w:rsid w:val="00E527A5"/>
    <w:rsid w:val="00E76456"/>
    <w:rsid w:val="00EE71CB"/>
    <w:rsid w:val="00EF3F87"/>
    <w:rsid w:val="00F16975"/>
    <w:rsid w:val="00F3221F"/>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0E7FA"/>
  <w15:docId w15:val="{028654C3-B613-45B7-BE08-F05F73C7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uiPriority w:val="9"/>
    <w:qFormat/>
    <w:rsid w:val="00B15495"/>
    <w:pPr>
      <w:keepNext/>
      <w:spacing w:before="240" w:after="60"/>
      <w:outlineLvl w:val="0"/>
    </w:pPr>
    <w:rPr>
      <w:caps/>
      <w:kern w:val="32"/>
      <w:szCs w:val="32"/>
    </w:rPr>
  </w:style>
  <w:style w:type="paragraph" w:styleId="Heading2">
    <w:name w:val="heading 2"/>
    <w:basedOn w:val="Normal"/>
    <w:next w:val="Normal"/>
    <w:link w:val="Heading2Char"/>
    <w:uiPriority w:val="9"/>
    <w:qFormat/>
    <w:rsid w:val="00B15495"/>
    <w:pPr>
      <w:keepNext/>
      <w:tabs>
        <w:tab w:val="left" w:pos="567"/>
      </w:tabs>
      <w:spacing w:before="240" w:after="60"/>
      <w:outlineLvl w:val="1"/>
    </w:pPr>
    <w:rPr>
      <w:bCs/>
      <w:iCs/>
      <w:caps/>
      <w:szCs w:val="28"/>
      <w:u w:val="single"/>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uiPriority w:val="99"/>
    <w:unhideWhenUsed/>
    <w:rsid w:val="007B7C87"/>
    <w:rPr>
      <w:color w:val="0000FF"/>
      <w:u w:val="single"/>
    </w:rPr>
  </w:style>
  <w:style w:type="paragraph" w:styleId="ListParagraph">
    <w:name w:val="List Paragraph"/>
    <w:basedOn w:val="Normal"/>
    <w:uiPriority w:val="34"/>
    <w:qFormat/>
    <w:rsid w:val="007B7C87"/>
    <w:pPr>
      <w:widowControl w:val="0"/>
      <w:ind w:leftChars="400" w:left="840"/>
      <w:jc w:val="both"/>
    </w:pPr>
    <w:rPr>
      <w:rFonts w:asciiTheme="minorHAnsi" w:eastAsiaTheme="minorEastAsia" w:hAnsiTheme="minorHAnsi" w:cstheme="minorBidi"/>
      <w:kern w:val="2"/>
      <w:sz w:val="21"/>
      <w:szCs w:val="22"/>
      <w:lang w:val="fr-FR" w:eastAsia="ja-JP"/>
    </w:rPr>
  </w:style>
  <w:style w:type="character" w:customStyle="1" w:styleId="Heading2Char">
    <w:name w:val="Heading 2 Char"/>
    <w:basedOn w:val="DefaultParagraphFont"/>
    <w:link w:val="Heading2"/>
    <w:uiPriority w:val="9"/>
    <w:rsid w:val="00B15495"/>
    <w:rPr>
      <w:rFonts w:ascii="Arial" w:eastAsia="SimSun" w:hAnsi="Arial" w:cs="Arial"/>
      <w:bCs/>
      <w:iCs/>
      <w:caps/>
      <w:sz w:val="22"/>
      <w:szCs w:val="28"/>
      <w:u w:val="single"/>
      <w:lang w:eastAsia="zh-CN"/>
    </w:rPr>
  </w:style>
  <w:style w:type="character" w:customStyle="1" w:styleId="Heading1Char">
    <w:name w:val="Heading 1 Char"/>
    <w:basedOn w:val="DefaultParagraphFont"/>
    <w:link w:val="Heading1"/>
    <w:uiPriority w:val="9"/>
    <w:rsid w:val="00B15495"/>
    <w:rPr>
      <w:rFonts w:ascii="Arial" w:eastAsia="SimSun" w:hAnsi="Arial" w:cs="Arial"/>
      <w:caps/>
      <w:kern w:val="32"/>
      <w:sz w:val="22"/>
      <w:szCs w:val="32"/>
      <w:lang w:eastAsia="zh-CN"/>
    </w:rPr>
  </w:style>
  <w:style w:type="character" w:styleId="FollowedHyperlink">
    <w:name w:val="FollowedHyperlink"/>
    <w:basedOn w:val="DefaultParagraphFont"/>
    <w:semiHidden/>
    <w:unhideWhenUsed/>
    <w:rsid w:val="00B154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nk.epo.org/ip5/IP5_patent_information_policy_june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27</TotalTime>
  <Pages>3</Pages>
  <Words>1197</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CWS/12/23 Annexe II</vt:lpstr>
    </vt:vector>
  </TitlesOfParts>
  <Company>WIPO</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CWS/12/23 Annexe II</dc:title>
  <dc:creator>LE GUEN Haude</dc:creator>
  <cp:keywords>FOR OFFICIAL USE ONLY</cp:keywords>
  <cp:lastModifiedBy>LE GUEN Haude</cp:lastModifiedBy>
  <cp:revision>5</cp:revision>
  <cp:lastPrinted>2011-05-19T12:37:00Z</cp:lastPrinted>
  <dcterms:created xsi:type="dcterms:W3CDTF">2024-08-23T08:03:00Z</dcterms:created>
  <dcterms:modified xsi:type="dcterms:W3CDTF">2024-09-11T14:02:00Z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2024-08-23T08:55:07Z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b6cef2b8-c02d-4236-8d3c-6badb711db06</vt:lpwstr>
  </property>
  <property fmtid="{D5CDD505-2E9C-101B-9397-08002B2CF9AE}" pid="14" name="MSIP_Label_20773ee6-353b-4fb9-a59d-0b94c8c67bea_ContentBits">
    <vt:lpwstr>0</vt:lpwstr>
  </property>
</Properties>
</file>