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D62FF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705766ED" wp14:editId="641482DD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01ED405D" wp14:editId="05CAEEB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A1BBC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DCBB126" w14:textId="0736F496" w:rsidR="008B2CC1" w:rsidRPr="00DB0349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379FF">
        <w:rPr>
          <w:rFonts w:ascii="Arial Black" w:hAnsi="Arial Black"/>
          <w:caps/>
          <w:sz w:val="15"/>
          <w:szCs w:val="15"/>
        </w:rPr>
        <w:t>24</w:t>
      </w:r>
    </w:p>
    <w:p w14:paraId="5A57B07B" w14:textId="6E5B772F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8037C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5379FF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11A48EE" w14:textId="5CE70EFE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8037C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5379FF">
        <w:rPr>
          <w:rFonts w:ascii="Arial Black" w:hAnsi="Arial Black"/>
          <w:caps/>
          <w:sz w:val="15"/>
          <w:szCs w:val="15"/>
        </w:rPr>
        <w:t>15 </w:t>
      </w:r>
      <w:r w:rsidR="00C43626">
        <w:rPr>
          <w:rFonts w:ascii="Arial Black" w:hAnsi="Arial Black"/>
          <w:caps/>
          <w:sz w:val="15"/>
          <w:szCs w:val="15"/>
        </w:rPr>
        <w:t>août 20</w:t>
      </w:r>
      <w:r w:rsidR="005379FF">
        <w:rPr>
          <w:rFonts w:ascii="Arial Black" w:hAnsi="Arial Black"/>
          <w:caps/>
          <w:sz w:val="15"/>
          <w:szCs w:val="15"/>
        </w:rPr>
        <w:t>24</w:t>
      </w:r>
    </w:p>
    <w:bookmarkEnd w:id="2"/>
    <w:p w14:paraId="186CC208" w14:textId="44E48978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8037C1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1F5C7238" w14:textId="70B22969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8037C1">
        <w:rPr>
          <w:b/>
          <w:sz w:val="24"/>
        </w:rPr>
        <w:t>ième session</w:t>
      </w:r>
    </w:p>
    <w:p w14:paraId="3896827F" w14:textId="3381190C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5379FF">
        <w:rPr>
          <w:b/>
          <w:sz w:val="24"/>
        </w:rPr>
        <w:t>1</w:t>
      </w:r>
      <w:r w:rsidR="00C43626">
        <w:rPr>
          <w:b/>
          <w:sz w:val="24"/>
        </w:rPr>
        <w:t>9 septembre </w:t>
      </w:r>
      <w:r w:rsidR="00C43626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011905CD" w14:textId="47B857E2" w:rsidR="008B2CC1" w:rsidRPr="00842A13" w:rsidRDefault="005379FF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Rapport</w:t>
      </w:r>
      <w:r w:rsidR="001E3C9C">
        <w:rPr>
          <w:caps/>
          <w:sz w:val="24"/>
        </w:rPr>
        <w:t> </w:t>
      </w:r>
      <w:r>
        <w:rPr>
          <w:caps/>
          <w:sz w:val="24"/>
        </w:rPr>
        <w:t>2023 sur les rapports techniques annuels</w:t>
      </w:r>
    </w:p>
    <w:p w14:paraId="38003DC6" w14:textId="77777777" w:rsidR="00525B63" w:rsidRPr="00C153FD" w:rsidRDefault="005379FF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109EE070" w14:textId="69BD6677" w:rsidR="005379FF" w:rsidRPr="007E198D" w:rsidRDefault="005379FF" w:rsidP="007E198D">
      <w:pPr>
        <w:pStyle w:val="Heading2"/>
      </w:pPr>
      <w:r w:rsidRPr="007E198D">
        <w:t>R</w:t>
      </w:r>
      <w:r w:rsidR="007E198D" w:rsidRPr="007E198D">
        <w:t>ésumé</w:t>
      </w:r>
    </w:p>
    <w:p w14:paraId="3A14DBDD" w14:textId="76428EAA" w:rsidR="005379FF" w:rsidRPr="007E198D" w:rsidRDefault="005379FF" w:rsidP="007E198D">
      <w:pPr>
        <w:pStyle w:val="ONUMFS"/>
      </w:pPr>
      <w:r w:rsidRPr="007E198D">
        <w:t xml:space="preserve">Le présent document contient des informations sur les rapports techniques annuels soumis </w:t>
      </w:r>
      <w:r w:rsidR="00C43626" w:rsidRPr="007E198D">
        <w:t>en</w:t>
      </w:r>
      <w:r w:rsidR="00C43626">
        <w:t> </w:t>
      </w:r>
      <w:r w:rsidR="00C43626" w:rsidRPr="007E198D">
        <w:t>2024</w:t>
      </w:r>
      <w:r w:rsidRPr="007E198D">
        <w:t xml:space="preserve"> par les offices de propriété intellectuel</w:t>
      </w:r>
      <w:r w:rsidR="005452B4" w:rsidRPr="007E198D">
        <w:t>le</w:t>
      </w:r>
      <w:r w:rsidR="005452B4">
        <w:t xml:space="preserve">.  </w:t>
      </w:r>
      <w:r w:rsidR="005452B4" w:rsidRPr="007E198D">
        <w:t>La</w:t>
      </w:r>
      <w:r w:rsidRPr="007E198D">
        <w:t xml:space="preserve"> période d</w:t>
      </w:r>
      <w:r w:rsidR="008037C1">
        <w:t>’</w:t>
      </w:r>
      <w:r w:rsidRPr="007E198D">
        <w:t>essai du format simplifié s</w:t>
      </w:r>
      <w:r w:rsidR="008037C1">
        <w:t>’</w:t>
      </w:r>
      <w:r w:rsidRPr="007E198D">
        <w:t>étant conclue par une augmentation du nombre de rapports techniques annuels reçus, le Bureau international propose d</w:t>
      </w:r>
      <w:r w:rsidR="008037C1">
        <w:t>’</w:t>
      </w:r>
      <w:r w:rsidRPr="007E198D">
        <w:t>en poursuivre la collecte.</w:t>
      </w:r>
    </w:p>
    <w:p w14:paraId="4D438972" w14:textId="7AD2A36F" w:rsidR="005379FF" w:rsidRPr="007E198D" w:rsidRDefault="005379FF" w:rsidP="007E198D">
      <w:pPr>
        <w:pStyle w:val="Heading2"/>
      </w:pPr>
      <w:r w:rsidRPr="007E198D">
        <w:t>R</w:t>
      </w:r>
      <w:r w:rsidR="007E198D" w:rsidRPr="007E198D">
        <w:t>appel</w:t>
      </w:r>
    </w:p>
    <w:p w14:paraId="32FCC44A" w14:textId="36D6C556" w:rsidR="005379FF" w:rsidRPr="007E198D" w:rsidRDefault="005379FF" w:rsidP="007E198D">
      <w:pPr>
        <w:pStyle w:val="ONUMFS"/>
      </w:pPr>
      <w:r w:rsidRPr="007E198D">
        <w:t xml:space="preserve">Le Bureau international recueille les rapports techniques annuels </w:t>
      </w:r>
      <w:r w:rsidR="00C43626" w:rsidRPr="007E198D">
        <w:t>depuis</w:t>
      </w:r>
      <w:r w:rsidR="00C43626">
        <w:t> </w:t>
      </w:r>
      <w:r w:rsidR="00C43626" w:rsidRPr="007E198D">
        <w:t>1978</w:t>
      </w:r>
      <w:r w:rsidRPr="007E198D">
        <w:t xml:space="preserve"> et les publie sur le site</w:t>
      </w:r>
      <w:r w:rsidR="004D23E1">
        <w:t> </w:t>
      </w:r>
      <w:r w:rsidRPr="007E198D">
        <w:t>Web de l</w:t>
      </w:r>
      <w:r w:rsidR="008037C1">
        <w:t>’</w:t>
      </w:r>
      <w:r w:rsidRPr="007E198D">
        <w:t xml:space="preserve">OMPI </w:t>
      </w:r>
      <w:r w:rsidR="00C43626" w:rsidRPr="007E198D">
        <w:t>depuis</w:t>
      </w:r>
      <w:r w:rsidR="00C43626">
        <w:t> </w:t>
      </w:r>
      <w:r w:rsidR="00C43626" w:rsidRPr="007E198D">
        <w:t>1998</w:t>
      </w:r>
      <w:r w:rsidRPr="007E198D">
        <w:t>.  Les offices de propriété intellectuelle continuent d</w:t>
      </w:r>
      <w:r w:rsidR="008037C1">
        <w:t>’</w:t>
      </w:r>
      <w:r w:rsidRPr="007E198D">
        <w:t>être invités à soumettre leurs rapports techniques annuels au titre de la tâche n°</w:t>
      </w:r>
      <w:r w:rsidR="004D23E1">
        <w:t> </w:t>
      </w:r>
      <w:r w:rsidRPr="007E198D">
        <w:t>24 dont la description est la suivante</w:t>
      </w:r>
      <w:r w:rsidR="008037C1">
        <w:t> :</w:t>
      </w:r>
    </w:p>
    <w:p w14:paraId="2603179C" w14:textId="5BA3AEAA" w:rsidR="005379FF" w:rsidRPr="00B80DE6" w:rsidRDefault="00C43626" w:rsidP="005379FF">
      <w:pPr>
        <w:pStyle w:val="ONUMFS"/>
        <w:numPr>
          <w:ilvl w:val="0"/>
          <w:numId w:val="0"/>
        </w:numPr>
        <w:ind w:left="567"/>
        <w:rPr>
          <w:i/>
          <w:iCs/>
        </w:rPr>
      </w:pPr>
      <w:r>
        <w:rPr>
          <w:i/>
        </w:rPr>
        <w:t>“R</w:t>
      </w:r>
      <w:r w:rsidR="005379FF">
        <w:rPr>
          <w:i/>
        </w:rPr>
        <w:t>ecueillir et publier les rapports techniques annuels (ATR/PI, ATR/TM, ATR/ID) sur les activités des membres</w:t>
      </w:r>
      <w:r>
        <w:rPr>
          <w:i/>
        </w:rPr>
        <w:t xml:space="preserve"> du CWS</w:t>
      </w:r>
      <w:r w:rsidR="005379FF">
        <w:rPr>
          <w:i/>
        </w:rPr>
        <w:t xml:space="preserve"> dans le domaine de l</w:t>
      </w:r>
      <w:r w:rsidR="008037C1">
        <w:rPr>
          <w:i/>
        </w:rPr>
        <w:t>’</w:t>
      </w:r>
      <w:r w:rsidR="005379FF">
        <w:rPr>
          <w:i/>
        </w:rPr>
        <w:t>information en matière de brevets, de marques et de dessins et modèles industriels</w:t>
      </w:r>
      <w:r>
        <w:rPr>
          <w:i/>
        </w:rPr>
        <w:t>.”</w:t>
      </w:r>
    </w:p>
    <w:p w14:paraId="214D9444" w14:textId="4BCEA4E3" w:rsidR="005379FF" w:rsidRPr="00B80DE6" w:rsidRDefault="005379FF" w:rsidP="005379FF">
      <w:pPr>
        <w:pStyle w:val="ONUMFS"/>
      </w:pPr>
      <w:r>
        <w:t>À sa neuv</w:t>
      </w:r>
      <w:r w:rsidR="008037C1">
        <w:t>ième session</w:t>
      </w:r>
      <w:r>
        <w:t xml:space="preserve">, tenue </w:t>
      </w:r>
      <w:r w:rsidR="00C43626">
        <w:t>en 2021</w:t>
      </w:r>
      <w:r>
        <w:t>, après avoir observé la baisse de la participation des offices et l</w:t>
      </w:r>
      <w:r w:rsidR="008037C1">
        <w:t>’</w:t>
      </w:r>
      <w:r>
        <w:t>utilité moindre des rapports,</w:t>
      </w:r>
      <w:r w:rsidR="00C43626">
        <w:t xml:space="preserve"> le CWS</w:t>
      </w:r>
      <w:r>
        <w:t xml:space="preserve"> a examiné deux</w:t>
      </w:r>
      <w:r w:rsidR="004D23E1">
        <w:t> </w:t>
      </w:r>
      <w:r>
        <w:t>solutions proposées par le Bureau international pour améliorer la collecte des rapports techniques annuels</w:t>
      </w:r>
      <w:r w:rsidR="008037C1">
        <w:t> :</w:t>
      </w:r>
      <w:r>
        <w:t xml:space="preserve"> 1) mettre fin à la collecte des rapports; </w:t>
      </w:r>
      <w:r w:rsidR="004D23E1">
        <w:t xml:space="preserve"> </w:t>
      </w:r>
      <w:r>
        <w:t>et 2) simplifier la collecte des rapports en recueillant des liens vers les informations concernées sur les sites</w:t>
      </w:r>
      <w:r w:rsidR="004D23E1">
        <w:t> </w:t>
      </w:r>
      <w:r>
        <w:t>Web des offices de propriété intellectuel</w:t>
      </w:r>
      <w:r w:rsidR="005452B4">
        <w:t>le.  Ce</w:t>
      </w:r>
      <w:r>
        <w:t>s solutions ont été définies par le Bureau international en tenant compte du fait que ce type d</w:t>
      </w:r>
      <w:r w:rsidR="008037C1">
        <w:t>’</w:t>
      </w:r>
      <w:r>
        <w:t>information est désormais largement disponible auprès d</w:t>
      </w:r>
      <w:r w:rsidR="008037C1">
        <w:t>’</w:t>
      </w:r>
      <w:r>
        <w:t>autres sources et que, par conséquent, les objectifs initiaux de ces rapports techniques annuels ont pu être atteints par des moyens différen</w:t>
      </w:r>
      <w:r w:rsidR="005452B4">
        <w:t>ts.  En</w:t>
      </w:r>
      <w:r>
        <w:t xml:space="preserve"> particulier, les données techniques pertinentes figurent dans les rapports annuels </w:t>
      </w:r>
      <w:r>
        <w:lastRenderedPageBreak/>
        <w:t>et sur les sites</w:t>
      </w:r>
      <w:r w:rsidR="004D23E1">
        <w:t> </w:t>
      </w:r>
      <w:r>
        <w:t xml:space="preserve">Web des offices de propriété intellectuelle, le nombre de rapports fournis est en baisse et les consultations des pages dédiées aux rapports sont peu nombreuses (voir le </w:t>
      </w:r>
      <w:r w:rsidR="008037C1">
        <w:t>document CW</w:t>
      </w:r>
      <w:r>
        <w:t>S/9/18).</w:t>
      </w:r>
    </w:p>
    <w:p w14:paraId="30587F29" w14:textId="29AF4555" w:rsidR="005379FF" w:rsidRPr="00B80DE6" w:rsidRDefault="005379FF" w:rsidP="007E198D">
      <w:pPr>
        <w:pStyle w:val="ONUMFS"/>
      </w:pPr>
      <w:r>
        <w:t>À la même session,</w:t>
      </w:r>
      <w:r w:rsidR="00C43626">
        <w:t xml:space="preserve"> le CWS</w:t>
      </w:r>
      <w:r>
        <w:t xml:space="preserve"> est convenu de mettre à l</w:t>
      </w:r>
      <w:r w:rsidR="008037C1">
        <w:t>’</w:t>
      </w:r>
      <w:r>
        <w:t>essai pour une période de 3</w:t>
      </w:r>
      <w:r w:rsidR="001E3C9C">
        <w:t> </w:t>
      </w:r>
      <w:r>
        <w:t>ans un format simplifié grâce auquel les offices de propriété intellectuelle peuvent fournir des liens vers leur rapport annuel ou leur site</w:t>
      </w:r>
      <w:r w:rsidR="004D23E1">
        <w:t> </w:t>
      </w:r>
      <w:r>
        <w:t xml:space="preserve">Web au lieu de soumettre un texte détaillé sur leurs activités et leurs systèmes (voir le </w:t>
      </w:r>
      <w:r w:rsidR="00C43626">
        <w:t>paragraphe 1</w:t>
      </w:r>
      <w:r>
        <w:t xml:space="preserve">04 du </w:t>
      </w:r>
      <w:r w:rsidR="008037C1">
        <w:t>document CW</w:t>
      </w:r>
      <w:r>
        <w:t xml:space="preserve">S/9/25).  </w:t>
      </w:r>
      <w:r w:rsidR="00C43626">
        <w:t>Le CWS</w:t>
      </w:r>
      <w:r>
        <w:t xml:space="preserve"> est également convenu que, passé ce délai, il réexaminerait la question de savoir s</w:t>
      </w:r>
      <w:r w:rsidR="008037C1">
        <w:t>’</w:t>
      </w:r>
      <w:r>
        <w:t>il y a lieu de poursuivre la collecte de rapports techniques annuels à sa douz</w:t>
      </w:r>
      <w:r w:rsidR="008037C1">
        <w:t>ième session</w:t>
      </w:r>
      <w:r>
        <w:t xml:space="preserve"> (voir le </w:t>
      </w:r>
      <w:r w:rsidR="00C43626">
        <w:t>paragraphe 1</w:t>
      </w:r>
      <w:r>
        <w:t xml:space="preserve">05 du </w:t>
      </w:r>
      <w:r w:rsidR="008037C1">
        <w:t>document CW</w:t>
      </w:r>
      <w:r>
        <w:t>S/9/25).</w:t>
      </w:r>
    </w:p>
    <w:p w14:paraId="4E1313A6" w14:textId="6C007034" w:rsidR="005379FF" w:rsidRPr="007E198D" w:rsidRDefault="005379FF" w:rsidP="007E198D">
      <w:pPr>
        <w:pStyle w:val="Heading2"/>
      </w:pPr>
      <w:r w:rsidRPr="007E198D">
        <w:t>R</w:t>
      </w:r>
      <w:r w:rsidR="007E198D" w:rsidRPr="007E198D">
        <w:t>apports d</w:t>
      </w:r>
      <w:r w:rsidR="008037C1">
        <w:t>’</w:t>
      </w:r>
      <w:r w:rsidR="007E198D" w:rsidRPr="007E198D">
        <w:t>activité</w:t>
      </w:r>
      <w:r w:rsidR="001E3C9C">
        <w:t> </w:t>
      </w:r>
      <w:r w:rsidR="007E198D" w:rsidRPr="007E198D">
        <w:t>2023</w:t>
      </w:r>
    </w:p>
    <w:p w14:paraId="4CE59348" w14:textId="512AA9A2" w:rsidR="005379FF" w:rsidRPr="00B80DE6" w:rsidRDefault="005379FF" w:rsidP="007E198D">
      <w:pPr>
        <w:pStyle w:val="ONUMFS"/>
      </w:pPr>
      <w:r>
        <w:t xml:space="preserve">En </w:t>
      </w:r>
      <w:r w:rsidR="00C43626">
        <w:t>avril 20</w:t>
      </w:r>
      <w:r>
        <w:t>24, le Secrétariat a diffusé les circulaires C.CWS.182, 183 et 184, dans lesquelles il priait les offices de propriété intellectuelle de présenter des rapports techniques annuels sur les activités qu</w:t>
      </w:r>
      <w:r w:rsidR="008037C1">
        <w:t>’</w:t>
      </w:r>
      <w:r>
        <w:t xml:space="preserve">ils avaient menées </w:t>
      </w:r>
      <w:r w:rsidR="00C43626">
        <w:t>en 2023</w:t>
      </w:r>
      <w:r>
        <w:t xml:space="preserve"> pour chacun des principaux droits de propriété industriel</w:t>
      </w:r>
      <w:r w:rsidR="005452B4">
        <w:t>le.  Vi</w:t>
      </w:r>
      <w:r>
        <w:t>ngt</w:t>
      </w:r>
      <w:r w:rsidR="005452B4">
        <w:noBreakHyphen/>
      </w:r>
      <w:r>
        <w:t>quatre offices ont soumis 65</w:t>
      </w:r>
      <w:r w:rsidR="001E3C9C">
        <w:t> </w:t>
      </w:r>
      <w:r>
        <w:t>rapports, ce qui représente une légère augmentation par rapport à l</w:t>
      </w:r>
      <w:r w:rsidR="008037C1">
        <w:t>’</w:t>
      </w:r>
      <w:r>
        <w:t>année dernière où 24</w:t>
      </w:r>
      <w:r w:rsidR="001E3C9C">
        <w:t> </w:t>
      </w:r>
      <w:r>
        <w:t>offices avaient fourni 53</w:t>
      </w:r>
      <w:r w:rsidR="001E3C9C">
        <w:t> </w:t>
      </w:r>
      <w:r>
        <w:t>rapports couvrant les activités qu</w:t>
      </w:r>
      <w:r w:rsidR="008037C1">
        <w:t>’</w:t>
      </w:r>
      <w:r>
        <w:t xml:space="preserve">ils avaient menées </w:t>
      </w:r>
      <w:r w:rsidR="00C43626">
        <w:t>en 2022</w:t>
      </w:r>
      <w:r>
        <w:t xml:space="preserve">.  Les rapports </w:t>
      </w:r>
      <w:r w:rsidR="00C43626">
        <w:t>de 2023</w:t>
      </w:r>
      <w:r>
        <w:t xml:space="preserve"> sont publiés sur le wiki dédié aux rapports, à l</w:t>
      </w:r>
      <w:r w:rsidR="008037C1">
        <w:t>’</w:t>
      </w:r>
      <w:r>
        <w:t>adresse suivante</w:t>
      </w:r>
      <w:r w:rsidR="008037C1">
        <w:t> :</w:t>
      </w:r>
      <w:r>
        <w:t xml:space="preserve"> </w:t>
      </w:r>
      <w:hyperlink r:id="rId8" w:history="1">
        <w:r>
          <w:rPr>
            <w:rStyle w:val="Hyperlink"/>
          </w:rPr>
          <w:t>https://www3.wipo.int/confluence/display/ATR/Browse+by+Year</w:t>
        </w:r>
      </w:hyperlink>
      <w:r>
        <w:t>.</w:t>
      </w:r>
    </w:p>
    <w:p w14:paraId="1E50120A" w14:textId="1EF98166" w:rsidR="005379FF" w:rsidRPr="007E198D" w:rsidRDefault="005379FF" w:rsidP="007E198D">
      <w:pPr>
        <w:pStyle w:val="Heading2"/>
      </w:pPr>
      <w:r w:rsidRPr="007E198D">
        <w:t>P</w:t>
      </w:r>
      <w:r w:rsidR="007E198D" w:rsidRPr="007E198D">
        <w:t>roposition de poursuite de la collecte</w:t>
      </w:r>
    </w:p>
    <w:p w14:paraId="00D0DE28" w14:textId="4C76F50C" w:rsidR="005379FF" w:rsidRPr="002C0B18" w:rsidRDefault="005379FF" w:rsidP="007E198D">
      <w:pPr>
        <w:pStyle w:val="ONUMFS"/>
      </w:pPr>
      <w:r>
        <w:t>Ces trois</w:t>
      </w:r>
      <w:r w:rsidR="004D23E1">
        <w:t> </w:t>
      </w:r>
      <w:r>
        <w:t>dernières années, des rapports techniques annuels ont été reçus de 17</w:t>
      </w:r>
      <w:r w:rsidR="001E3C9C">
        <w:t> </w:t>
      </w:r>
      <w:r>
        <w:t xml:space="preserve">offices de propriété intellectuelle </w:t>
      </w:r>
      <w:r w:rsidR="00C43626">
        <w:t>en 2022</w:t>
      </w:r>
      <w:r>
        <w:t>, de 24</w:t>
      </w:r>
      <w:r w:rsidR="001E3C9C">
        <w:t> </w:t>
      </w:r>
      <w:r>
        <w:t xml:space="preserve">offices </w:t>
      </w:r>
      <w:r w:rsidR="00C43626">
        <w:t>en 2023</w:t>
      </w:r>
      <w:r>
        <w:t xml:space="preserve"> et de 24</w:t>
      </w:r>
      <w:r w:rsidR="001E3C9C">
        <w:t> </w:t>
      </w:r>
      <w:r>
        <w:t xml:space="preserve">offices </w:t>
      </w:r>
      <w:r w:rsidR="00C43626">
        <w:t>en 2024</w:t>
      </w:r>
      <w:r>
        <w:t>.  Le Bureau international note que le nombre de rapports techniques annuels soumis a augmenté au cours de la période d</w:t>
      </w:r>
      <w:r w:rsidR="008037C1">
        <w:t>’</w:t>
      </w:r>
      <w:r>
        <w:t>essai et que le modèle simplifié semble utile pour rationaliser l</w:t>
      </w:r>
      <w:r w:rsidR="008037C1">
        <w:t>’</w:t>
      </w:r>
      <w:r>
        <w:t>élaboration des rapports par les offic</w:t>
      </w:r>
      <w:r w:rsidR="005452B4">
        <w:t>es.  Le</w:t>
      </w:r>
      <w:r>
        <w:t xml:space="preserve"> tableau ci</w:t>
      </w:r>
      <w:r w:rsidR="005452B4">
        <w:noBreakHyphen/>
      </w:r>
      <w:r>
        <w:t>dessous donne de plus amples informations concernant les chiffres propres à chaque type de droit de propriété intellectuelle</w:t>
      </w:r>
      <w:r w:rsidR="008037C1"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1886"/>
        <w:gridCol w:w="2374"/>
        <w:gridCol w:w="2391"/>
      </w:tblGrid>
      <w:tr w:rsidR="005379FF" w:rsidRPr="00B80DE6" w14:paraId="2EC222F1" w14:textId="77777777" w:rsidTr="007777BB">
        <w:tc>
          <w:tcPr>
            <w:tcW w:w="2695" w:type="dxa"/>
            <w:shd w:val="clear" w:color="auto" w:fill="D9D9D9" w:themeFill="background1" w:themeFillShade="D9"/>
          </w:tcPr>
          <w:p w14:paraId="67E753CF" w14:textId="77777777" w:rsidR="005379FF" w:rsidRPr="00B80DE6" w:rsidRDefault="005379FF" w:rsidP="007777BB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Type de rapport technique annuel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30871DA5" w14:textId="469D5985" w:rsidR="005379FF" w:rsidRPr="00B80DE6" w:rsidRDefault="005379FF" w:rsidP="007777BB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Activités</w:t>
            </w:r>
            <w:r w:rsidR="001E3C9C">
              <w:rPr>
                <w:b/>
              </w:rPr>
              <w:t> </w:t>
            </w:r>
            <w:r>
              <w:rPr>
                <w:b/>
              </w:rPr>
              <w:t>2021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4A890208" w14:textId="2121BD26" w:rsidR="005379FF" w:rsidRPr="00B80DE6" w:rsidRDefault="005379FF" w:rsidP="007777BB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Activités</w:t>
            </w:r>
            <w:r w:rsidR="001E3C9C">
              <w:rPr>
                <w:b/>
              </w:rPr>
              <w:t> </w:t>
            </w:r>
            <w:r>
              <w:rPr>
                <w:b/>
              </w:rPr>
              <w:t>2022</w:t>
            </w:r>
          </w:p>
        </w:tc>
        <w:tc>
          <w:tcPr>
            <w:tcW w:w="2392" w:type="dxa"/>
            <w:shd w:val="clear" w:color="auto" w:fill="D9D9D9" w:themeFill="background1" w:themeFillShade="D9"/>
          </w:tcPr>
          <w:p w14:paraId="051FC480" w14:textId="6D58E93D" w:rsidR="005379FF" w:rsidRPr="00B80DE6" w:rsidRDefault="005379FF" w:rsidP="007777BB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Activités</w:t>
            </w:r>
            <w:r w:rsidR="001E3C9C">
              <w:rPr>
                <w:b/>
              </w:rPr>
              <w:t> </w:t>
            </w:r>
            <w:r>
              <w:rPr>
                <w:b/>
              </w:rPr>
              <w:t>2023</w:t>
            </w:r>
          </w:p>
        </w:tc>
      </w:tr>
      <w:tr w:rsidR="005379FF" w:rsidRPr="00B80DE6" w14:paraId="06351C45" w14:textId="77777777" w:rsidTr="007777BB">
        <w:tc>
          <w:tcPr>
            <w:tcW w:w="2695" w:type="dxa"/>
          </w:tcPr>
          <w:p w14:paraId="68C3331E" w14:textId="77777777" w:rsidR="005379FF" w:rsidRPr="00B80DE6" w:rsidRDefault="005379FF" w:rsidP="007777BB">
            <w:pPr>
              <w:rPr>
                <w:noProof/>
                <w:szCs w:val="22"/>
              </w:rPr>
            </w:pPr>
            <w:r>
              <w:t>Information en matière de dessins et modèles industriels</w:t>
            </w:r>
          </w:p>
        </w:tc>
        <w:tc>
          <w:tcPr>
            <w:tcW w:w="1886" w:type="dxa"/>
          </w:tcPr>
          <w:p w14:paraId="238CEF40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  <w:tc>
          <w:tcPr>
            <w:tcW w:w="2375" w:type="dxa"/>
          </w:tcPr>
          <w:p w14:paraId="70C32C8F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2392" w:type="dxa"/>
          </w:tcPr>
          <w:p w14:paraId="0A9160A4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19</w:t>
            </w:r>
          </w:p>
        </w:tc>
      </w:tr>
      <w:tr w:rsidR="005379FF" w:rsidRPr="00B80DE6" w14:paraId="053DC284" w14:textId="77777777" w:rsidTr="007777BB">
        <w:tc>
          <w:tcPr>
            <w:tcW w:w="2695" w:type="dxa"/>
          </w:tcPr>
          <w:p w14:paraId="3E8A2862" w14:textId="77777777" w:rsidR="005379FF" w:rsidRPr="00B80DE6" w:rsidRDefault="005379FF" w:rsidP="007777BB">
            <w:pPr>
              <w:rPr>
                <w:noProof/>
                <w:szCs w:val="22"/>
              </w:rPr>
            </w:pPr>
            <w:r>
              <w:t>Information en matière de brevets</w:t>
            </w:r>
          </w:p>
        </w:tc>
        <w:tc>
          <w:tcPr>
            <w:tcW w:w="1886" w:type="dxa"/>
          </w:tcPr>
          <w:p w14:paraId="553BFC9C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  <w:tc>
          <w:tcPr>
            <w:tcW w:w="2375" w:type="dxa"/>
          </w:tcPr>
          <w:p w14:paraId="7956D1AC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17</w:t>
            </w:r>
          </w:p>
        </w:tc>
        <w:tc>
          <w:tcPr>
            <w:tcW w:w="2392" w:type="dxa"/>
          </w:tcPr>
          <w:p w14:paraId="12B6ADFF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22</w:t>
            </w:r>
          </w:p>
        </w:tc>
      </w:tr>
      <w:tr w:rsidR="005379FF" w:rsidRPr="00B80DE6" w14:paraId="4A56CB9A" w14:textId="77777777" w:rsidTr="007777BB">
        <w:tc>
          <w:tcPr>
            <w:tcW w:w="2695" w:type="dxa"/>
            <w:tcBorders>
              <w:bottom w:val="single" w:sz="4" w:space="0" w:color="auto"/>
            </w:tcBorders>
          </w:tcPr>
          <w:p w14:paraId="2D5C023E" w14:textId="77777777" w:rsidR="005379FF" w:rsidRPr="00B80DE6" w:rsidRDefault="005379FF" w:rsidP="007777BB">
            <w:pPr>
              <w:rPr>
                <w:noProof/>
                <w:szCs w:val="22"/>
              </w:rPr>
            </w:pPr>
            <w:r>
              <w:t>Informations en matière de marques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3DCED885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15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4355318B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18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14:paraId="365A896C" w14:textId="77777777" w:rsidR="005379FF" w:rsidRPr="00B80DE6" w:rsidRDefault="005379FF" w:rsidP="007777BB">
            <w:pPr>
              <w:jc w:val="center"/>
              <w:rPr>
                <w:noProof/>
                <w:szCs w:val="22"/>
              </w:rPr>
            </w:pPr>
            <w:r>
              <w:t>23</w:t>
            </w:r>
          </w:p>
        </w:tc>
      </w:tr>
      <w:tr w:rsidR="005379FF" w:rsidRPr="00CD6DE9" w14:paraId="7DCA10D4" w14:textId="77777777" w:rsidTr="007777BB">
        <w:tc>
          <w:tcPr>
            <w:tcW w:w="2695" w:type="dxa"/>
            <w:shd w:val="clear" w:color="auto" w:fill="FFFFFF" w:themeFill="background1"/>
          </w:tcPr>
          <w:p w14:paraId="7ECDA4D7" w14:textId="77777777" w:rsidR="005379FF" w:rsidRPr="005978F0" w:rsidRDefault="005379FF" w:rsidP="007777BB">
            <w:pPr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Nombre total de rapports techniques annuels</w:t>
            </w:r>
          </w:p>
        </w:tc>
        <w:tc>
          <w:tcPr>
            <w:tcW w:w="1886" w:type="dxa"/>
            <w:shd w:val="clear" w:color="auto" w:fill="FFFFFF" w:themeFill="background1"/>
          </w:tcPr>
          <w:p w14:paraId="3239BA67" w14:textId="77777777" w:rsidR="005379FF" w:rsidRPr="005978F0" w:rsidRDefault="005379FF" w:rsidP="007777BB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47</w:t>
            </w:r>
          </w:p>
        </w:tc>
        <w:tc>
          <w:tcPr>
            <w:tcW w:w="2375" w:type="dxa"/>
            <w:shd w:val="clear" w:color="auto" w:fill="FFFFFF" w:themeFill="background1"/>
          </w:tcPr>
          <w:p w14:paraId="6BB0C347" w14:textId="77777777" w:rsidR="005379FF" w:rsidRPr="005978F0" w:rsidRDefault="005379FF" w:rsidP="007777BB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53</w:t>
            </w:r>
          </w:p>
        </w:tc>
        <w:tc>
          <w:tcPr>
            <w:tcW w:w="2392" w:type="dxa"/>
            <w:shd w:val="clear" w:color="auto" w:fill="FFFFFF" w:themeFill="background1"/>
          </w:tcPr>
          <w:p w14:paraId="77406E08" w14:textId="77777777" w:rsidR="005379FF" w:rsidRPr="005978F0" w:rsidRDefault="005379FF" w:rsidP="007777BB">
            <w:pPr>
              <w:jc w:val="center"/>
              <w:rPr>
                <w:b/>
                <w:bCs/>
                <w:noProof/>
                <w:szCs w:val="22"/>
              </w:rPr>
            </w:pPr>
            <w:r>
              <w:rPr>
                <w:b/>
              </w:rPr>
              <w:t>65</w:t>
            </w:r>
          </w:p>
        </w:tc>
      </w:tr>
    </w:tbl>
    <w:p w14:paraId="4BF492D2" w14:textId="44B3B14B" w:rsidR="005379FF" w:rsidRPr="007E198D" w:rsidRDefault="005379FF" w:rsidP="00755389">
      <w:pPr>
        <w:pStyle w:val="ONUMFS"/>
        <w:keepNext/>
        <w:spacing w:before="220"/>
      </w:pPr>
      <w:r w:rsidRPr="007E198D">
        <w:t>En ce qui concerne le nombre de consultations des pages dédiées aux rapports techniques annuels ces trois</w:t>
      </w:r>
      <w:r w:rsidR="004D23E1">
        <w:t> </w:t>
      </w:r>
      <w:r w:rsidRPr="007E198D">
        <w:t>dernières années, ce nombre augmente depuis peu pour les rapports les plus récen</w:t>
      </w:r>
      <w:r w:rsidR="005452B4" w:rsidRPr="007E198D">
        <w:t>ts</w:t>
      </w:r>
      <w:r w:rsidR="005452B4">
        <w:t xml:space="preserve">.  </w:t>
      </w:r>
      <w:r w:rsidR="005452B4" w:rsidRPr="007E198D">
        <w:t>Bi</w:t>
      </w:r>
      <w:r w:rsidRPr="007E198D">
        <w:t>en que cela représente un faible nombre de consultations par rapport à d</w:t>
      </w:r>
      <w:r w:rsidR="008037C1">
        <w:t>’</w:t>
      </w:r>
      <w:r w:rsidRPr="007E198D">
        <w:t>autres sources d</w:t>
      </w:r>
      <w:r w:rsidR="008037C1">
        <w:t>’</w:t>
      </w:r>
      <w:r w:rsidRPr="007E198D">
        <w:t>information relatives aux normes de l</w:t>
      </w:r>
      <w:r w:rsidR="008037C1">
        <w:t>’</w:t>
      </w:r>
      <w:r w:rsidRPr="007E198D">
        <w:t xml:space="preserve">OMPI, la consolidation de ces </w:t>
      </w:r>
      <w:r w:rsidRPr="007E198D">
        <w:lastRenderedPageBreak/>
        <w:t>informations est toujours considérée comme uti</w:t>
      </w:r>
      <w:r w:rsidR="005452B4" w:rsidRPr="007E198D">
        <w:t>le</w:t>
      </w:r>
      <w:r w:rsidR="005452B4">
        <w:t xml:space="preserve">.  </w:t>
      </w:r>
      <w:r w:rsidR="005452B4" w:rsidRPr="007E198D">
        <w:t>Le</w:t>
      </w:r>
      <w:r w:rsidRPr="007E198D">
        <w:t xml:space="preserve"> tableau ci</w:t>
      </w:r>
      <w:r w:rsidR="005452B4">
        <w:noBreakHyphen/>
      </w:r>
      <w:r w:rsidRPr="007E198D">
        <w:t>dessous donne de plus amples informations concernant le nombre de visiteurs uniques et de pages consultées</w:t>
      </w:r>
      <w:r w:rsidR="008037C1">
        <w:t> :</w:t>
      </w:r>
      <w:r w:rsidRPr="007E198D"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15"/>
        <w:gridCol w:w="2400"/>
        <w:gridCol w:w="2520"/>
        <w:gridCol w:w="2520"/>
      </w:tblGrid>
      <w:tr w:rsidR="005379FF" w:rsidRPr="00B80DE6" w14:paraId="6C00F05B" w14:textId="77777777" w:rsidTr="007777BB">
        <w:tc>
          <w:tcPr>
            <w:tcW w:w="1915" w:type="dxa"/>
            <w:shd w:val="clear" w:color="auto" w:fill="D9D9D9" w:themeFill="background1" w:themeFillShade="D9"/>
          </w:tcPr>
          <w:p w14:paraId="00B15B3C" w14:textId="77777777" w:rsidR="005379FF" w:rsidRPr="002C0B18" w:rsidRDefault="005379FF" w:rsidP="0075538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Période </w:t>
            </w:r>
          </w:p>
        </w:tc>
        <w:tc>
          <w:tcPr>
            <w:tcW w:w="2400" w:type="dxa"/>
            <w:shd w:val="clear" w:color="auto" w:fill="D9D9D9" w:themeFill="background1" w:themeFillShade="D9"/>
          </w:tcPr>
          <w:p w14:paraId="2F05B137" w14:textId="3669F526" w:rsidR="005379FF" w:rsidRPr="002C0B18" w:rsidRDefault="005379FF" w:rsidP="0075538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Août 2021 – </w:t>
            </w:r>
            <w:r w:rsidR="00C43626">
              <w:rPr>
                <w:b/>
              </w:rPr>
              <w:t>juillet 20</w:t>
            </w:r>
            <w:r>
              <w:rPr>
                <w:b/>
              </w:rPr>
              <w:t xml:space="preserve">22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86C491A" w14:textId="04CB0726" w:rsidR="005379FF" w:rsidRPr="002C0B18" w:rsidRDefault="005379FF" w:rsidP="0075538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Août 2022 – </w:t>
            </w:r>
            <w:r w:rsidR="00C43626">
              <w:rPr>
                <w:b/>
              </w:rPr>
              <w:t>juillet 20</w:t>
            </w:r>
            <w:r>
              <w:rPr>
                <w:b/>
              </w:rPr>
              <w:t xml:space="preserve">23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D3D1950" w14:textId="28A1041F" w:rsidR="005379FF" w:rsidRPr="002C0B18" w:rsidRDefault="005379FF" w:rsidP="00755389">
            <w:pPr>
              <w:keepNext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Août 2023 – </w:t>
            </w:r>
            <w:r w:rsidR="00C43626">
              <w:rPr>
                <w:b/>
              </w:rPr>
              <w:t>juillet 20</w:t>
            </w:r>
            <w:r>
              <w:rPr>
                <w:b/>
              </w:rPr>
              <w:t>24</w:t>
            </w:r>
          </w:p>
        </w:tc>
      </w:tr>
      <w:tr w:rsidR="005379FF" w:rsidRPr="00B80DE6" w14:paraId="4AD4403D" w14:textId="77777777" w:rsidTr="007777BB">
        <w:tc>
          <w:tcPr>
            <w:tcW w:w="1915" w:type="dxa"/>
          </w:tcPr>
          <w:p w14:paraId="7B11D6EE" w14:textId="77777777" w:rsidR="005379FF" w:rsidRPr="00B80DE6" w:rsidRDefault="005379FF" w:rsidP="00755389">
            <w:r>
              <w:t xml:space="preserve">Nombre de consultations des pages des rapports techniques annuels </w:t>
            </w:r>
          </w:p>
        </w:tc>
        <w:tc>
          <w:tcPr>
            <w:tcW w:w="2400" w:type="dxa"/>
          </w:tcPr>
          <w:p w14:paraId="766F5CAC" w14:textId="4AD416BC" w:rsidR="005379FF" w:rsidRPr="00B80DE6" w:rsidRDefault="005379FF" w:rsidP="00755389">
            <w:r>
              <w:t>Visiteurs uniques</w:t>
            </w:r>
            <w:r w:rsidR="008037C1">
              <w:t> :</w:t>
            </w:r>
            <w:r>
              <w:t xml:space="preserve"> 701 (consultations de pages</w:t>
            </w:r>
            <w:r w:rsidR="008037C1">
              <w:t> :</w:t>
            </w:r>
            <w:r>
              <w:t xml:space="preserve"> 2817)</w:t>
            </w:r>
          </w:p>
        </w:tc>
        <w:tc>
          <w:tcPr>
            <w:tcW w:w="2520" w:type="dxa"/>
          </w:tcPr>
          <w:p w14:paraId="29432833" w14:textId="77777777" w:rsidR="005379FF" w:rsidRPr="00B80DE6" w:rsidRDefault="005379FF" w:rsidP="00755389">
            <w:r>
              <w:t>862 (3758)</w:t>
            </w:r>
          </w:p>
        </w:tc>
        <w:tc>
          <w:tcPr>
            <w:tcW w:w="2520" w:type="dxa"/>
          </w:tcPr>
          <w:p w14:paraId="1069EDCB" w14:textId="77777777" w:rsidR="005379FF" w:rsidRPr="00B80DE6" w:rsidRDefault="005379FF" w:rsidP="00755389">
            <w:r>
              <w:t>768 (3126)</w:t>
            </w:r>
          </w:p>
        </w:tc>
      </w:tr>
      <w:tr w:rsidR="005379FF" w:rsidRPr="00B80DE6" w14:paraId="6F9CB4B5" w14:textId="77777777" w:rsidTr="007777BB">
        <w:tc>
          <w:tcPr>
            <w:tcW w:w="1915" w:type="dxa"/>
          </w:tcPr>
          <w:p w14:paraId="4BB1468A" w14:textId="44D3C136" w:rsidR="005379FF" w:rsidRPr="00B80DE6" w:rsidRDefault="005379FF" w:rsidP="00755389">
            <w:r>
              <w:t>Page d</w:t>
            </w:r>
            <w:r w:rsidR="008037C1">
              <w:t>’</w:t>
            </w:r>
            <w:r>
              <w:t xml:space="preserve">accueil des rapports techniques annuels </w:t>
            </w:r>
          </w:p>
        </w:tc>
        <w:tc>
          <w:tcPr>
            <w:tcW w:w="2400" w:type="dxa"/>
          </w:tcPr>
          <w:p w14:paraId="6AEC08ED" w14:textId="77777777" w:rsidR="005379FF" w:rsidRPr="00B80DE6" w:rsidRDefault="005379FF" w:rsidP="00755389">
            <w:r>
              <w:t>351 (935)</w:t>
            </w:r>
          </w:p>
        </w:tc>
        <w:tc>
          <w:tcPr>
            <w:tcW w:w="2520" w:type="dxa"/>
          </w:tcPr>
          <w:p w14:paraId="7C1F6268" w14:textId="77777777" w:rsidR="005379FF" w:rsidRPr="00B80DE6" w:rsidRDefault="005379FF" w:rsidP="00755389">
            <w:r>
              <w:t>515 (1365)</w:t>
            </w:r>
          </w:p>
        </w:tc>
        <w:tc>
          <w:tcPr>
            <w:tcW w:w="2520" w:type="dxa"/>
          </w:tcPr>
          <w:p w14:paraId="5B0F28CA" w14:textId="77777777" w:rsidR="005379FF" w:rsidRPr="00B80DE6" w:rsidRDefault="005379FF" w:rsidP="00755389">
            <w:r>
              <w:t>300 (899)</w:t>
            </w:r>
          </w:p>
        </w:tc>
      </w:tr>
      <w:tr w:rsidR="005379FF" w:rsidRPr="00B80DE6" w14:paraId="4C6E4C57" w14:textId="77777777" w:rsidTr="007777BB">
        <w:tc>
          <w:tcPr>
            <w:tcW w:w="1915" w:type="dxa"/>
          </w:tcPr>
          <w:p w14:paraId="69CD7019" w14:textId="00BFEF04" w:rsidR="005379FF" w:rsidRPr="00B80DE6" w:rsidRDefault="005379FF" w:rsidP="00755389">
            <w:r>
              <w:t xml:space="preserve">Page des rapports techniques annuels </w:t>
            </w:r>
            <w:r w:rsidR="00C43626">
              <w:t>de 2020</w:t>
            </w:r>
          </w:p>
        </w:tc>
        <w:tc>
          <w:tcPr>
            <w:tcW w:w="2400" w:type="dxa"/>
          </w:tcPr>
          <w:p w14:paraId="0952621A" w14:textId="77777777" w:rsidR="005379FF" w:rsidRPr="002C0B18" w:rsidRDefault="005379FF" w:rsidP="00755389">
            <w:r>
              <w:t>113 (267)*</w:t>
            </w:r>
          </w:p>
        </w:tc>
        <w:tc>
          <w:tcPr>
            <w:tcW w:w="2520" w:type="dxa"/>
          </w:tcPr>
          <w:p w14:paraId="388A2BF4" w14:textId="77777777" w:rsidR="005379FF" w:rsidRPr="00B80DE6" w:rsidRDefault="005379FF" w:rsidP="00755389">
            <w:r>
              <w:t>83 (141)</w:t>
            </w:r>
          </w:p>
        </w:tc>
        <w:tc>
          <w:tcPr>
            <w:tcW w:w="2520" w:type="dxa"/>
          </w:tcPr>
          <w:p w14:paraId="27C5056F" w14:textId="77777777" w:rsidR="005379FF" w:rsidRPr="00B80DE6" w:rsidRDefault="005379FF" w:rsidP="00755389">
            <w:r>
              <w:t>27 (37)</w:t>
            </w:r>
          </w:p>
        </w:tc>
      </w:tr>
      <w:tr w:rsidR="005379FF" w:rsidRPr="00B80DE6" w14:paraId="204E3CDD" w14:textId="77777777" w:rsidTr="007777BB">
        <w:tc>
          <w:tcPr>
            <w:tcW w:w="1915" w:type="dxa"/>
          </w:tcPr>
          <w:p w14:paraId="3E73775A" w14:textId="36FCAC7F" w:rsidR="005379FF" w:rsidRPr="00B80DE6" w:rsidRDefault="005379FF" w:rsidP="00755389">
            <w:r>
              <w:t xml:space="preserve">Page des rapports techniques annuels </w:t>
            </w:r>
            <w:r w:rsidR="00C43626">
              <w:t>de 2021</w:t>
            </w:r>
          </w:p>
        </w:tc>
        <w:tc>
          <w:tcPr>
            <w:tcW w:w="2400" w:type="dxa"/>
          </w:tcPr>
          <w:p w14:paraId="6EB6980D" w14:textId="77777777" w:rsidR="005379FF" w:rsidRPr="00B80DE6" w:rsidRDefault="005379FF" w:rsidP="00755389">
            <w:r>
              <w:t>N.d.</w:t>
            </w:r>
          </w:p>
        </w:tc>
        <w:tc>
          <w:tcPr>
            <w:tcW w:w="2520" w:type="dxa"/>
          </w:tcPr>
          <w:p w14:paraId="6DF41B30" w14:textId="77777777" w:rsidR="005379FF" w:rsidRPr="002C0B18" w:rsidRDefault="005379FF" w:rsidP="00755389">
            <w:r>
              <w:t>95 (213)*</w:t>
            </w:r>
          </w:p>
        </w:tc>
        <w:tc>
          <w:tcPr>
            <w:tcW w:w="2520" w:type="dxa"/>
          </w:tcPr>
          <w:p w14:paraId="48C3F301" w14:textId="77777777" w:rsidR="005379FF" w:rsidRPr="00B80DE6" w:rsidRDefault="005379FF" w:rsidP="00755389">
            <w:r>
              <w:t>28 (52)</w:t>
            </w:r>
          </w:p>
        </w:tc>
      </w:tr>
      <w:tr w:rsidR="005379FF" w:rsidRPr="00B80DE6" w14:paraId="429C6919" w14:textId="77777777" w:rsidTr="007777BB">
        <w:tc>
          <w:tcPr>
            <w:tcW w:w="1915" w:type="dxa"/>
          </w:tcPr>
          <w:p w14:paraId="7481B968" w14:textId="12599CDC" w:rsidR="005379FF" w:rsidRPr="00B80DE6" w:rsidRDefault="005379FF" w:rsidP="00755389">
            <w:r>
              <w:t xml:space="preserve">Page des rapports techniques annuels </w:t>
            </w:r>
            <w:r w:rsidR="00C43626">
              <w:t>de 2022</w:t>
            </w:r>
          </w:p>
        </w:tc>
        <w:tc>
          <w:tcPr>
            <w:tcW w:w="2400" w:type="dxa"/>
          </w:tcPr>
          <w:p w14:paraId="2FB2C3CB" w14:textId="77777777" w:rsidR="005379FF" w:rsidRPr="00B80DE6" w:rsidRDefault="005379FF" w:rsidP="00755389">
            <w:r>
              <w:t>N.d.</w:t>
            </w:r>
          </w:p>
        </w:tc>
        <w:tc>
          <w:tcPr>
            <w:tcW w:w="2520" w:type="dxa"/>
          </w:tcPr>
          <w:p w14:paraId="780E03B5" w14:textId="77777777" w:rsidR="005379FF" w:rsidRPr="00B80DE6" w:rsidRDefault="005379FF" w:rsidP="00755389">
            <w:r>
              <w:t>N.d.</w:t>
            </w:r>
          </w:p>
        </w:tc>
        <w:tc>
          <w:tcPr>
            <w:tcW w:w="2520" w:type="dxa"/>
          </w:tcPr>
          <w:p w14:paraId="4CB1231A" w14:textId="77777777" w:rsidR="005379FF" w:rsidRPr="005978F0" w:rsidRDefault="005379FF" w:rsidP="00755389">
            <w:pPr>
              <w:rPr>
                <w:b/>
                <w:bCs/>
              </w:rPr>
            </w:pPr>
            <w:r>
              <w:rPr>
                <w:b/>
              </w:rPr>
              <w:t>230 (497)*</w:t>
            </w:r>
          </w:p>
        </w:tc>
      </w:tr>
    </w:tbl>
    <w:p w14:paraId="5250E683" w14:textId="4D10F65D" w:rsidR="005379FF" w:rsidRPr="00B80DE6" w:rsidRDefault="005379FF" w:rsidP="007E198D">
      <w:pPr>
        <w:pStyle w:val="ONUMFS"/>
        <w:numPr>
          <w:ilvl w:val="0"/>
          <w:numId w:val="0"/>
        </w:numPr>
      </w:pPr>
      <w:r>
        <w:t>(*</w:t>
      </w:r>
      <w:r w:rsidR="008037C1">
        <w:t> :</w:t>
      </w:r>
      <w:r>
        <w:t xml:space="preserve"> les rapports techniques annuels les plus récents au cours de la période considérée)</w:t>
      </w:r>
    </w:p>
    <w:p w14:paraId="73010F56" w14:textId="6F08501A" w:rsidR="00C43626" w:rsidRDefault="005379FF" w:rsidP="007E198D">
      <w:pPr>
        <w:pStyle w:val="ONUMFS"/>
      </w:pPr>
      <w:r w:rsidRPr="007E198D">
        <w:t>Compte tenu de l</w:t>
      </w:r>
      <w:r w:rsidR="008037C1">
        <w:t>’</w:t>
      </w:r>
      <w:r w:rsidRPr="007E198D">
        <w:t>augmentation du nombre de rapports techniques annuels fournis par les offices et du nombre de consultations des pages dédiées à ces rapports au cours des trois</w:t>
      </w:r>
      <w:r w:rsidR="004D23E1">
        <w:t> </w:t>
      </w:r>
      <w:r w:rsidRPr="007E198D">
        <w:t>dernières années, le Bureau international propose de poursuivre la collecte en utilisant le modèle simplifié.</w:t>
      </w:r>
    </w:p>
    <w:p w14:paraId="799A9055" w14:textId="1C24BDA6" w:rsidR="007E198D" w:rsidRDefault="005379FF" w:rsidP="007E198D">
      <w:pPr>
        <w:pStyle w:val="ONUMFS"/>
      </w:pPr>
      <w:r w:rsidRPr="007E198D">
        <w:t>En outre, il est possible d</w:t>
      </w:r>
      <w:r w:rsidR="008037C1">
        <w:t>’</w:t>
      </w:r>
      <w:r w:rsidRPr="007E198D">
        <w:t>utiliser les rapports techniques annuels pour recueillir des informations sur les activités des offices relatives aux normes de l</w:t>
      </w:r>
      <w:r w:rsidR="008037C1">
        <w:t>’</w:t>
      </w:r>
      <w:r w:rsidRPr="007E198D">
        <w:t>OMPI ou à d</w:t>
      </w:r>
      <w:r w:rsidR="008037C1">
        <w:t>’</w:t>
      </w:r>
      <w:r w:rsidRPr="007E198D">
        <w:t xml:space="preserve">autres questions connexes, </w:t>
      </w:r>
      <w:r w:rsidR="008037C1">
        <w:t>y compris</w:t>
      </w:r>
      <w:r w:rsidRPr="007E198D">
        <w:t xml:space="preserve"> les données de propriété intellectuelle, les services d</w:t>
      </w:r>
      <w:r w:rsidR="008037C1">
        <w:t>’</w:t>
      </w:r>
      <w:r w:rsidRPr="007E198D">
        <w:t>information et la diffusion de donné</w:t>
      </w:r>
      <w:r w:rsidR="005452B4" w:rsidRPr="007E198D">
        <w:t>es</w:t>
      </w:r>
      <w:r w:rsidR="005452B4">
        <w:t xml:space="preserve">.  </w:t>
      </w:r>
      <w:r w:rsidR="005452B4" w:rsidRPr="007E198D">
        <w:t>Si</w:t>
      </w:r>
      <w:r w:rsidRPr="007E198D">
        <w:t xml:space="preserve"> la collecte des rapports techniques annuels devait être interrompue,</w:t>
      </w:r>
      <w:r w:rsidR="00C43626" w:rsidRPr="007E198D">
        <w:t xml:space="preserve"> le</w:t>
      </w:r>
      <w:r w:rsidR="00C43626">
        <w:t> </w:t>
      </w:r>
      <w:r w:rsidR="00C43626" w:rsidRPr="007E198D">
        <w:t>CWS</w:t>
      </w:r>
      <w:r w:rsidRPr="007E198D">
        <w:t xml:space="preserve"> perdrait un moyen de recueillir des données auprès des offic</w:t>
      </w:r>
      <w:r w:rsidR="005452B4" w:rsidRPr="007E198D">
        <w:t>es</w:t>
      </w:r>
      <w:r w:rsidR="005452B4">
        <w:t xml:space="preserve">.  </w:t>
      </w:r>
      <w:r w:rsidR="005452B4" w:rsidRPr="007E198D">
        <w:t>Af</w:t>
      </w:r>
      <w:r w:rsidRPr="007E198D">
        <w:t>in de recueillir des informations sur les activités des offices relatives aux normes de l</w:t>
      </w:r>
      <w:r w:rsidR="008037C1">
        <w:t>’</w:t>
      </w:r>
      <w:r w:rsidRPr="007E198D">
        <w:t>OMPI, le Bureau international propose d</w:t>
      </w:r>
      <w:r w:rsidR="008037C1">
        <w:t>’</w:t>
      </w:r>
      <w:r w:rsidRPr="007E198D">
        <w:t>ajouter une nouvelle rubrique dans le modèle simplifié concernant les activités liées à l</w:t>
      </w:r>
      <w:r w:rsidR="008037C1">
        <w:t>’</w:t>
      </w:r>
      <w:r w:rsidRPr="007E198D">
        <w:t>utilisation ou à la mise en œuvre des normes de l</w:t>
      </w:r>
      <w:r w:rsidR="008037C1">
        <w:t>’</w:t>
      </w:r>
      <w:r w:rsidRPr="007E198D">
        <w:t>OMPI par les offic</w:t>
      </w:r>
      <w:r w:rsidR="005452B4" w:rsidRPr="007E198D">
        <w:t>es</w:t>
      </w:r>
      <w:r w:rsidR="005452B4">
        <w:t xml:space="preserve">.  </w:t>
      </w:r>
      <w:r w:rsidR="005452B4" w:rsidRPr="007E198D">
        <w:t>L</w:t>
      </w:r>
      <w:r w:rsidR="005452B4">
        <w:t>’</w:t>
      </w:r>
      <w:r w:rsidR="005452B4" w:rsidRPr="007E198D">
        <w:t>o</w:t>
      </w:r>
      <w:r w:rsidRPr="007E198D">
        <w:t>bjectif est de déterminer quelles normes de l</w:t>
      </w:r>
      <w:r w:rsidR="008037C1">
        <w:t>’</w:t>
      </w:r>
      <w:r w:rsidRPr="007E198D">
        <w:t>OMPI sont utilisées et comment elles le so</w:t>
      </w:r>
      <w:r w:rsidR="005452B4" w:rsidRPr="007E198D">
        <w:t>nt</w:t>
      </w:r>
      <w:r w:rsidR="005452B4">
        <w:t xml:space="preserve">.  </w:t>
      </w:r>
      <w:r w:rsidR="005452B4" w:rsidRPr="007E198D">
        <w:t>La</w:t>
      </w:r>
      <w:r w:rsidRPr="007E198D">
        <w:t xml:space="preserve"> rubrique proposée est la suivante</w:t>
      </w:r>
      <w:r w:rsidR="008037C1">
        <w:t> :</w:t>
      </w:r>
    </w:p>
    <w:p w14:paraId="0F3EEF40" w14:textId="2FFF668D" w:rsidR="00C43626" w:rsidRPr="00755389" w:rsidRDefault="00C43626" w:rsidP="007E198D">
      <w:pPr>
        <w:pStyle w:val="ONUMFS"/>
        <w:numPr>
          <w:ilvl w:val="0"/>
          <w:numId w:val="0"/>
        </w:numPr>
        <w:ind w:left="567"/>
        <w:rPr>
          <w:i/>
          <w:iCs/>
        </w:rPr>
      </w:pPr>
      <w:r w:rsidRPr="00755389">
        <w:rPr>
          <w:i/>
          <w:iCs/>
        </w:rPr>
        <w:t>“</w:t>
      </w:r>
      <w:r w:rsidR="005379FF" w:rsidRPr="00755389">
        <w:rPr>
          <w:i/>
          <w:iCs/>
        </w:rPr>
        <w:t>Activités liées à la mise en œuvre des normes de l</w:t>
      </w:r>
      <w:r w:rsidR="008037C1">
        <w:rPr>
          <w:i/>
          <w:iCs/>
        </w:rPr>
        <w:t>’</w:t>
      </w:r>
      <w:r w:rsidR="005379FF" w:rsidRPr="00755389">
        <w:rPr>
          <w:i/>
          <w:iCs/>
        </w:rPr>
        <w:t>OMPI relatives à l</w:t>
      </w:r>
      <w:r w:rsidR="008037C1">
        <w:rPr>
          <w:i/>
          <w:iCs/>
        </w:rPr>
        <w:t>’</w:t>
      </w:r>
      <w:r w:rsidR="005379FF" w:rsidRPr="00755389">
        <w:rPr>
          <w:i/>
          <w:iCs/>
        </w:rPr>
        <w:t>information en matière de brevets (marques ou dessins et modèles industriels)</w:t>
      </w:r>
      <w:r w:rsidRPr="00755389">
        <w:rPr>
          <w:i/>
          <w:iCs/>
        </w:rPr>
        <w:t>”</w:t>
      </w:r>
      <w:r w:rsidR="005379FF" w:rsidRPr="00755389">
        <w:rPr>
          <w:i/>
          <w:iCs/>
        </w:rPr>
        <w:t>.</w:t>
      </w:r>
    </w:p>
    <w:p w14:paraId="0441F5E8" w14:textId="77777777" w:rsidR="00C43626" w:rsidRDefault="005379FF" w:rsidP="007E198D">
      <w:pPr>
        <w:pStyle w:val="ONUMFS"/>
        <w:ind w:left="5533"/>
        <w:rPr>
          <w:i/>
        </w:rPr>
      </w:pPr>
      <w:r w:rsidRPr="007E198D">
        <w:rPr>
          <w:i/>
        </w:rPr>
        <w:t>Le CWS est invité</w:t>
      </w:r>
    </w:p>
    <w:p w14:paraId="5A9D0914" w14:textId="77777777" w:rsidR="00C43626" w:rsidRDefault="005379FF" w:rsidP="007E198D">
      <w:pPr>
        <w:pStyle w:val="ONUMFS"/>
        <w:numPr>
          <w:ilvl w:val="1"/>
          <w:numId w:val="6"/>
        </w:numPr>
        <w:ind w:left="6237"/>
        <w:rPr>
          <w:i/>
        </w:rPr>
      </w:pPr>
      <w:r w:rsidRPr="007E198D">
        <w:rPr>
          <w:i/>
        </w:rPr>
        <w:t>à prendre note du contenu du présent document,</w:t>
      </w:r>
    </w:p>
    <w:p w14:paraId="58F1F2D5" w14:textId="16951117" w:rsidR="007E198D" w:rsidRPr="007E198D" w:rsidRDefault="005379FF" w:rsidP="007E198D">
      <w:pPr>
        <w:pStyle w:val="ONUMFS"/>
        <w:numPr>
          <w:ilvl w:val="1"/>
          <w:numId w:val="6"/>
        </w:numPr>
        <w:ind w:left="6237"/>
        <w:rPr>
          <w:i/>
        </w:rPr>
      </w:pPr>
      <w:r w:rsidRPr="007E198D">
        <w:rPr>
          <w:i/>
        </w:rPr>
        <w:t xml:space="preserve">à approuver la poursuite de la collecte de rapports </w:t>
      </w:r>
      <w:r w:rsidRPr="007E198D">
        <w:rPr>
          <w:i/>
        </w:rPr>
        <w:lastRenderedPageBreak/>
        <w:t xml:space="preserve">techniques annuels, comme indiqué au </w:t>
      </w:r>
      <w:r w:rsidR="00C43626" w:rsidRPr="007E198D">
        <w:rPr>
          <w:i/>
        </w:rPr>
        <w:t>paragraphe</w:t>
      </w:r>
      <w:r w:rsidR="00C43626">
        <w:rPr>
          <w:i/>
        </w:rPr>
        <w:t> </w:t>
      </w:r>
      <w:r w:rsidR="00C43626" w:rsidRPr="007E198D">
        <w:rPr>
          <w:i/>
        </w:rPr>
        <w:t>8</w:t>
      </w:r>
      <w:r w:rsidRPr="007E198D">
        <w:rPr>
          <w:i/>
        </w:rPr>
        <w:t>, et</w:t>
      </w:r>
    </w:p>
    <w:p w14:paraId="6A24ABDC" w14:textId="057E8D1A" w:rsidR="005379FF" w:rsidRPr="007E198D" w:rsidRDefault="005379FF" w:rsidP="007E198D">
      <w:pPr>
        <w:pStyle w:val="ONUMFS"/>
        <w:numPr>
          <w:ilvl w:val="1"/>
          <w:numId w:val="6"/>
        </w:numPr>
        <w:ind w:left="6237"/>
        <w:rPr>
          <w:i/>
        </w:rPr>
      </w:pPr>
      <w:r w:rsidRPr="007E198D">
        <w:rPr>
          <w:i/>
        </w:rPr>
        <w:t xml:space="preserve">à examiner et approuver la nouvelle rubrique proposée, qui devrait être ajoutée dans le modèle simplifié, comme indiqué au </w:t>
      </w:r>
      <w:r w:rsidR="00C43626" w:rsidRPr="007E198D">
        <w:rPr>
          <w:i/>
        </w:rPr>
        <w:t>paragraphe</w:t>
      </w:r>
      <w:r w:rsidR="00C43626">
        <w:rPr>
          <w:i/>
        </w:rPr>
        <w:t> </w:t>
      </w:r>
      <w:r w:rsidR="00C43626" w:rsidRPr="007E198D">
        <w:rPr>
          <w:i/>
        </w:rPr>
        <w:t>9</w:t>
      </w:r>
      <w:r w:rsidRPr="007E198D">
        <w:rPr>
          <w:i/>
        </w:rPr>
        <w:t>.</w:t>
      </w:r>
    </w:p>
    <w:p w14:paraId="47F20296" w14:textId="77777777" w:rsidR="005379FF" w:rsidRPr="00B80DE6" w:rsidRDefault="005379FF" w:rsidP="007E198D">
      <w:pPr>
        <w:pStyle w:val="Endofdocument-Annex"/>
        <w:spacing w:before="720"/>
      </w:pPr>
      <w:r>
        <w:t>[Fin du document]</w:t>
      </w:r>
    </w:p>
    <w:sectPr w:rsidR="005379FF" w:rsidRPr="00B80DE6" w:rsidSect="005379F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C63EE" w14:textId="77777777" w:rsidR="005379FF" w:rsidRDefault="005379FF">
      <w:r>
        <w:separator/>
      </w:r>
    </w:p>
  </w:endnote>
  <w:endnote w:type="continuationSeparator" w:id="0">
    <w:p w14:paraId="47C61218" w14:textId="77777777" w:rsidR="005379FF" w:rsidRPr="009D30E6" w:rsidRDefault="005379F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4B0F632" w14:textId="77777777" w:rsidR="005379FF" w:rsidRPr="009D30E6" w:rsidRDefault="005379F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F02BBBD" w14:textId="77777777" w:rsidR="005379FF" w:rsidRPr="009D30E6" w:rsidRDefault="005379F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8C73C" w14:textId="77777777" w:rsidR="005379FF" w:rsidRDefault="005379FF">
      <w:r>
        <w:separator/>
      </w:r>
    </w:p>
  </w:footnote>
  <w:footnote w:type="continuationSeparator" w:id="0">
    <w:p w14:paraId="017B3B8D" w14:textId="77777777" w:rsidR="005379FF" w:rsidRDefault="005379FF" w:rsidP="007461F1">
      <w:r>
        <w:separator/>
      </w:r>
    </w:p>
    <w:p w14:paraId="6FA83B27" w14:textId="77777777" w:rsidR="005379FF" w:rsidRPr="009D30E6" w:rsidRDefault="005379F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11EBF6C" w14:textId="77777777" w:rsidR="005379FF" w:rsidRPr="009D30E6" w:rsidRDefault="005379F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CB454" w14:textId="77777777" w:rsidR="00F16975" w:rsidRDefault="005379FF" w:rsidP="00477D6B">
    <w:pPr>
      <w:jc w:val="right"/>
    </w:pPr>
    <w:bookmarkStart w:id="5" w:name="Code2"/>
    <w:bookmarkEnd w:id="5"/>
    <w:r>
      <w:t>CWS/12/24</w:t>
    </w:r>
  </w:p>
  <w:p w14:paraId="5FCED8A0" w14:textId="3024823C" w:rsidR="00F16975" w:rsidRDefault="00F16975" w:rsidP="007E198D">
    <w:pPr>
      <w:spacing w:after="480"/>
      <w:jc w:val="right"/>
    </w:pPr>
    <w:r>
      <w:t>page</w:t>
    </w:r>
    <w:r w:rsidR="007E198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06D58"/>
    <w:multiLevelType w:val="hybridMultilevel"/>
    <w:tmpl w:val="798C791A"/>
    <w:lvl w:ilvl="0" w:tplc="1B5ACAEC">
      <w:start w:val="1"/>
      <w:numFmt w:val="lowerLetter"/>
      <w:lvlText w:val="(%1)"/>
      <w:lvlJc w:val="left"/>
      <w:pPr>
        <w:ind w:left="60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4"/>
  </w:num>
  <w:num w:numId="3" w16cid:durableId="844322595">
    <w:abstractNumId w:val="0"/>
  </w:num>
  <w:num w:numId="4" w16cid:durableId="1456631763">
    <w:abstractNumId w:val="6"/>
  </w:num>
  <w:num w:numId="5" w16cid:durableId="628778745">
    <w:abstractNumId w:val="1"/>
  </w:num>
  <w:num w:numId="6" w16cid:durableId="670451745">
    <w:abstractNumId w:val="3"/>
  </w:num>
  <w:num w:numId="7" w16cid:durableId="976225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FF"/>
    <w:rsid w:val="00011B7D"/>
    <w:rsid w:val="00075432"/>
    <w:rsid w:val="000D19BF"/>
    <w:rsid w:val="000F5E56"/>
    <w:rsid w:val="001352EC"/>
    <w:rsid w:val="001362EE"/>
    <w:rsid w:val="001832A6"/>
    <w:rsid w:val="00195C6E"/>
    <w:rsid w:val="00197881"/>
    <w:rsid w:val="001B266A"/>
    <w:rsid w:val="001D3D56"/>
    <w:rsid w:val="001E3C9C"/>
    <w:rsid w:val="00240654"/>
    <w:rsid w:val="002634C4"/>
    <w:rsid w:val="002D4918"/>
    <w:rsid w:val="002E4D1A"/>
    <w:rsid w:val="002F16BC"/>
    <w:rsid w:val="002F4E68"/>
    <w:rsid w:val="00315FCA"/>
    <w:rsid w:val="003632DC"/>
    <w:rsid w:val="003845C1"/>
    <w:rsid w:val="003A1BCD"/>
    <w:rsid w:val="004008A2"/>
    <w:rsid w:val="004025DF"/>
    <w:rsid w:val="00423E3E"/>
    <w:rsid w:val="00427AF4"/>
    <w:rsid w:val="004647DA"/>
    <w:rsid w:val="00477D6B"/>
    <w:rsid w:val="004D23E1"/>
    <w:rsid w:val="004D6471"/>
    <w:rsid w:val="004F4E31"/>
    <w:rsid w:val="00525B63"/>
    <w:rsid w:val="005379FF"/>
    <w:rsid w:val="005452B4"/>
    <w:rsid w:val="00547476"/>
    <w:rsid w:val="00561DB8"/>
    <w:rsid w:val="00567A4C"/>
    <w:rsid w:val="00574586"/>
    <w:rsid w:val="005E6516"/>
    <w:rsid w:val="00605827"/>
    <w:rsid w:val="00676936"/>
    <w:rsid w:val="00692525"/>
    <w:rsid w:val="006B0DB5"/>
    <w:rsid w:val="006E4243"/>
    <w:rsid w:val="00721440"/>
    <w:rsid w:val="007461F1"/>
    <w:rsid w:val="00755389"/>
    <w:rsid w:val="007D6961"/>
    <w:rsid w:val="007E198D"/>
    <w:rsid w:val="007E4D6B"/>
    <w:rsid w:val="007F07CB"/>
    <w:rsid w:val="008037C1"/>
    <w:rsid w:val="00810CEF"/>
    <w:rsid w:val="0081208D"/>
    <w:rsid w:val="00814A61"/>
    <w:rsid w:val="008236DE"/>
    <w:rsid w:val="00842A13"/>
    <w:rsid w:val="008B2CC1"/>
    <w:rsid w:val="008E7930"/>
    <w:rsid w:val="0090731E"/>
    <w:rsid w:val="00966A22"/>
    <w:rsid w:val="00974CD6"/>
    <w:rsid w:val="009D30E6"/>
    <w:rsid w:val="009D60F9"/>
    <w:rsid w:val="009E3F6F"/>
    <w:rsid w:val="009F499F"/>
    <w:rsid w:val="00A02BD3"/>
    <w:rsid w:val="00A30D8F"/>
    <w:rsid w:val="00AA1F20"/>
    <w:rsid w:val="00AC0AE4"/>
    <w:rsid w:val="00AD61DB"/>
    <w:rsid w:val="00B31FB6"/>
    <w:rsid w:val="00B87BCF"/>
    <w:rsid w:val="00BA62D4"/>
    <w:rsid w:val="00BF6369"/>
    <w:rsid w:val="00C153FD"/>
    <w:rsid w:val="00C40E15"/>
    <w:rsid w:val="00C43626"/>
    <w:rsid w:val="00C6042E"/>
    <w:rsid w:val="00C664C8"/>
    <w:rsid w:val="00C76A79"/>
    <w:rsid w:val="00CA15F5"/>
    <w:rsid w:val="00CF0460"/>
    <w:rsid w:val="00D021CA"/>
    <w:rsid w:val="00D42EC6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35029"/>
  <w15:docId w15:val="{C71520B0-B00E-42F4-8B5E-9DEB5E1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5379FF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Endofdocument">
    <w:name w:val="End of document"/>
    <w:basedOn w:val="Normal"/>
    <w:rsid w:val="005379FF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unhideWhenUsed/>
    <w:rsid w:val="005379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379FF"/>
    <w:rPr>
      <w:rFonts w:eastAsia="MS Mincho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display/ATR/Browse+by+Ye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13</TotalTime>
  <Pages>4</Pages>
  <Words>1106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CWS/12/24</vt:lpstr>
    </vt:vector>
  </TitlesOfParts>
  <Company>WIPO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CWS/12/24</dc:title>
  <dc:creator>WIPO</dc:creator>
  <cp:keywords>Comité des normes de l’OMPI (CWS) Douzième session</cp:keywords>
  <cp:lastModifiedBy>BLANCHET Gaspard</cp:lastModifiedBy>
  <cp:revision>10</cp:revision>
  <cp:lastPrinted>2011-05-19T12:37:00Z</cp:lastPrinted>
  <dcterms:created xsi:type="dcterms:W3CDTF">2024-08-22T14:05:00Z</dcterms:created>
  <dcterms:modified xsi:type="dcterms:W3CDTF">2024-08-26T13:02:00Z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2024-08-22T14:07:28Z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1fb71655-fa3c-4127-b321-a62c178a533a</vt:lpwstr>
  </property>
  <property fmtid="{D5CDD505-2E9C-101B-9397-08002B2CF9AE}" pid="14" name="MSIP_Label_20773ee6-353b-4fb9-a59d-0b94c8c67bea_ContentBits">
    <vt:lpwstr>0</vt:lpwstr>
  </property>
</Properties>
</file>