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2CA6" w14:textId="77777777" w:rsidR="008B2CC1" w:rsidRPr="00394FD7" w:rsidRDefault="00DB0349" w:rsidP="00DB0349">
      <w:pPr>
        <w:spacing w:after="120"/>
        <w:jc w:val="right"/>
        <w:rPr>
          <w:lang w:val="fr-FR"/>
        </w:rPr>
      </w:pPr>
      <w:r w:rsidRPr="00394FD7">
        <w:rPr>
          <w:noProof/>
          <w:lang w:val="fr-FR" w:eastAsia="en-US"/>
        </w:rPr>
        <w:drawing>
          <wp:inline distT="0" distB="0" distL="0" distR="0" wp14:anchorId="460B86FD" wp14:editId="43466FA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394FD7">
        <w:rPr>
          <w:rFonts w:ascii="Arial Black" w:hAnsi="Arial Black"/>
          <w:caps/>
          <w:noProof/>
          <w:sz w:val="15"/>
          <w:szCs w:val="15"/>
          <w:lang w:val="fr-FR" w:eastAsia="en-US"/>
        </w:rPr>
        <mc:AlternateContent>
          <mc:Choice Requires="wps">
            <w:drawing>
              <wp:inline distT="0" distB="0" distL="0" distR="0" wp14:anchorId="0036280C" wp14:editId="38AB07B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D32FE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FD1B0D3" w14:textId="347E3239" w:rsidR="008B2CC1" w:rsidRPr="00394FD7" w:rsidRDefault="00197881" w:rsidP="00DB0349">
      <w:pPr>
        <w:jc w:val="right"/>
        <w:rPr>
          <w:rFonts w:ascii="Arial Black" w:hAnsi="Arial Black"/>
          <w:caps/>
          <w:sz w:val="15"/>
          <w:szCs w:val="15"/>
          <w:lang w:val="fr-FR"/>
        </w:rPr>
      </w:pPr>
      <w:r w:rsidRPr="00394FD7">
        <w:rPr>
          <w:rFonts w:ascii="Arial Black" w:hAnsi="Arial Black"/>
          <w:caps/>
          <w:sz w:val="15"/>
          <w:szCs w:val="15"/>
          <w:lang w:val="fr-FR"/>
        </w:rPr>
        <w:t>CWS/1</w:t>
      </w:r>
      <w:r w:rsidR="001352EC" w:rsidRPr="00394FD7">
        <w:rPr>
          <w:rFonts w:ascii="Arial Black" w:hAnsi="Arial Black"/>
          <w:caps/>
          <w:sz w:val="15"/>
          <w:szCs w:val="15"/>
          <w:lang w:val="fr-FR"/>
        </w:rPr>
        <w:t>2</w:t>
      </w:r>
      <w:r w:rsidRPr="00394FD7">
        <w:rPr>
          <w:rFonts w:ascii="Arial Black" w:hAnsi="Arial Black"/>
          <w:caps/>
          <w:sz w:val="15"/>
          <w:szCs w:val="15"/>
          <w:lang w:val="fr-FR"/>
        </w:rPr>
        <w:t>/</w:t>
      </w:r>
      <w:bookmarkStart w:id="0" w:name="Code"/>
      <w:bookmarkEnd w:id="0"/>
      <w:r w:rsidR="00BD3632" w:rsidRPr="00394FD7">
        <w:rPr>
          <w:rFonts w:ascii="Arial Black" w:hAnsi="Arial Black"/>
          <w:caps/>
          <w:sz w:val="15"/>
          <w:szCs w:val="15"/>
          <w:lang w:val="fr-FR"/>
        </w:rPr>
        <w:t>26</w:t>
      </w:r>
    </w:p>
    <w:p w14:paraId="1A79644C" w14:textId="053C0BC7" w:rsidR="008B2CC1" w:rsidRPr="00394FD7" w:rsidRDefault="00DB0349" w:rsidP="00DB0349">
      <w:pPr>
        <w:jc w:val="right"/>
        <w:rPr>
          <w:rFonts w:ascii="Arial Black" w:hAnsi="Arial Black"/>
          <w:caps/>
          <w:sz w:val="15"/>
          <w:szCs w:val="15"/>
          <w:lang w:val="fr-FR"/>
        </w:rPr>
      </w:pPr>
      <w:r w:rsidRPr="00394FD7">
        <w:rPr>
          <w:rFonts w:ascii="Arial Black" w:hAnsi="Arial Black"/>
          <w:caps/>
          <w:sz w:val="15"/>
          <w:szCs w:val="15"/>
          <w:lang w:val="fr-FR"/>
        </w:rPr>
        <w:t>Original</w:t>
      </w:r>
      <w:r w:rsidR="00AC3127" w:rsidRPr="00394FD7">
        <w:rPr>
          <w:rFonts w:ascii="Arial Black" w:hAnsi="Arial Black"/>
          <w:caps/>
          <w:sz w:val="15"/>
          <w:szCs w:val="15"/>
          <w:lang w:val="fr-FR"/>
        </w:rPr>
        <w:t> :</w:t>
      </w:r>
      <w:r w:rsidRPr="00394FD7">
        <w:rPr>
          <w:rFonts w:ascii="Arial Black" w:hAnsi="Arial Black"/>
          <w:caps/>
          <w:sz w:val="15"/>
          <w:szCs w:val="15"/>
          <w:lang w:val="fr-FR"/>
        </w:rPr>
        <w:t xml:space="preserve"> </w:t>
      </w:r>
      <w:bookmarkStart w:id="1" w:name="Original"/>
      <w:r w:rsidR="00BD3632" w:rsidRPr="00394FD7">
        <w:rPr>
          <w:rFonts w:ascii="Arial Black" w:hAnsi="Arial Black"/>
          <w:caps/>
          <w:sz w:val="15"/>
          <w:szCs w:val="15"/>
          <w:lang w:val="fr-FR"/>
        </w:rPr>
        <w:t>anglais</w:t>
      </w:r>
    </w:p>
    <w:bookmarkEnd w:id="1"/>
    <w:p w14:paraId="3E0982B0" w14:textId="703678DF" w:rsidR="008B2CC1" w:rsidRPr="00394FD7" w:rsidRDefault="00DB0349" w:rsidP="00DB0349">
      <w:pPr>
        <w:spacing w:after="1200"/>
        <w:jc w:val="right"/>
        <w:rPr>
          <w:rFonts w:ascii="Arial Black" w:hAnsi="Arial Black"/>
          <w:b/>
          <w:caps/>
          <w:sz w:val="15"/>
          <w:szCs w:val="15"/>
          <w:lang w:val="fr-FR"/>
        </w:rPr>
      </w:pPr>
      <w:r w:rsidRPr="00394FD7">
        <w:rPr>
          <w:rFonts w:ascii="Arial Black" w:hAnsi="Arial Black"/>
          <w:caps/>
          <w:sz w:val="15"/>
          <w:szCs w:val="15"/>
          <w:lang w:val="fr-FR"/>
        </w:rPr>
        <w:t>date</w:t>
      </w:r>
      <w:r w:rsidR="00AC3127" w:rsidRPr="00394FD7">
        <w:rPr>
          <w:rFonts w:ascii="Arial Black" w:hAnsi="Arial Black"/>
          <w:caps/>
          <w:sz w:val="15"/>
          <w:szCs w:val="15"/>
          <w:lang w:val="fr-FR"/>
        </w:rPr>
        <w:t> :</w:t>
      </w:r>
      <w:r w:rsidRPr="00394FD7">
        <w:rPr>
          <w:rFonts w:ascii="Arial Black" w:hAnsi="Arial Black"/>
          <w:caps/>
          <w:sz w:val="15"/>
          <w:szCs w:val="15"/>
          <w:lang w:val="fr-FR"/>
        </w:rPr>
        <w:t xml:space="preserve"> </w:t>
      </w:r>
      <w:bookmarkStart w:id="2" w:name="Date"/>
      <w:r w:rsidR="00BD3632" w:rsidRPr="00394FD7">
        <w:rPr>
          <w:rFonts w:ascii="Arial Black" w:hAnsi="Arial Black"/>
          <w:caps/>
          <w:sz w:val="15"/>
          <w:szCs w:val="15"/>
          <w:lang w:val="fr-FR"/>
        </w:rPr>
        <w:t>5 août 2024</w:t>
      </w:r>
    </w:p>
    <w:bookmarkEnd w:id="2"/>
    <w:p w14:paraId="0DE773EE" w14:textId="4258A461" w:rsidR="00C40E15" w:rsidRPr="00394FD7" w:rsidRDefault="00197881" w:rsidP="00DB0349">
      <w:pPr>
        <w:spacing w:after="600"/>
        <w:rPr>
          <w:b/>
          <w:sz w:val="28"/>
          <w:szCs w:val="28"/>
          <w:lang w:val="fr-FR"/>
        </w:rPr>
      </w:pPr>
      <w:r w:rsidRPr="00394FD7">
        <w:rPr>
          <w:b/>
          <w:sz w:val="28"/>
          <w:szCs w:val="28"/>
          <w:lang w:val="fr-FR"/>
        </w:rPr>
        <w:t>Comité des normes de l</w:t>
      </w:r>
      <w:r w:rsidR="00AC3127" w:rsidRPr="00394FD7">
        <w:rPr>
          <w:b/>
          <w:sz w:val="28"/>
          <w:szCs w:val="28"/>
          <w:lang w:val="fr-FR"/>
        </w:rPr>
        <w:t>’</w:t>
      </w:r>
      <w:r w:rsidRPr="00394FD7">
        <w:rPr>
          <w:b/>
          <w:sz w:val="28"/>
          <w:szCs w:val="28"/>
          <w:lang w:val="fr-FR"/>
        </w:rPr>
        <w:t>OMPI (CWS)</w:t>
      </w:r>
    </w:p>
    <w:p w14:paraId="03572AB6" w14:textId="16DEEF39" w:rsidR="008B2CC1" w:rsidRPr="00394FD7" w:rsidRDefault="001352EC" w:rsidP="008B2CC1">
      <w:pPr>
        <w:rPr>
          <w:b/>
          <w:sz w:val="28"/>
          <w:szCs w:val="24"/>
          <w:lang w:val="fr-FR"/>
        </w:rPr>
      </w:pPr>
      <w:r w:rsidRPr="00394FD7">
        <w:rPr>
          <w:b/>
          <w:sz w:val="24"/>
          <w:lang w:val="fr-FR"/>
        </w:rPr>
        <w:t>Douz</w:t>
      </w:r>
      <w:r w:rsidR="00AC3127" w:rsidRPr="00394FD7">
        <w:rPr>
          <w:b/>
          <w:sz w:val="24"/>
          <w:lang w:val="fr-FR"/>
        </w:rPr>
        <w:t>ième session</w:t>
      </w:r>
    </w:p>
    <w:p w14:paraId="420E32E7" w14:textId="49016061" w:rsidR="008B2CC1" w:rsidRPr="00394FD7" w:rsidRDefault="00197881" w:rsidP="00DB0349">
      <w:pPr>
        <w:spacing w:after="720"/>
        <w:rPr>
          <w:b/>
          <w:sz w:val="28"/>
          <w:szCs w:val="24"/>
          <w:lang w:val="fr-FR"/>
        </w:rPr>
      </w:pPr>
      <w:r w:rsidRPr="00394FD7">
        <w:rPr>
          <w:b/>
          <w:sz w:val="24"/>
          <w:lang w:val="fr-FR"/>
        </w:rPr>
        <w:t>Genève,</w:t>
      </w:r>
      <w:r w:rsidR="001352EC" w:rsidRPr="00394FD7">
        <w:rPr>
          <w:b/>
          <w:sz w:val="24"/>
          <w:lang w:val="fr-FR"/>
        </w:rPr>
        <w:t xml:space="preserve"> 16 – </w:t>
      </w:r>
      <w:r w:rsidR="00DA7CC3" w:rsidRPr="00394FD7">
        <w:rPr>
          <w:b/>
          <w:sz w:val="24"/>
          <w:lang w:val="fr-FR"/>
        </w:rPr>
        <w:t>19 </w:t>
      </w:r>
      <w:r w:rsidR="001352EC" w:rsidRPr="00394FD7">
        <w:rPr>
          <w:b/>
          <w:sz w:val="24"/>
          <w:lang w:val="fr-FR"/>
        </w:rPr>
        <w:t>septembre</w:t>
      </w:r>
      <w:r w:rsidR="00DA7CC3" w:rsidRPr="00394FD7">
        <w:rPr>
          <w:b/>
          <w:sz w:val="24"/>
          <w:lang w:val="fr-FR"/>
        </w:rPr>
        <w:t> </w:t>
      </w:r>
      <w:r w:rsidR="001352EC" w:rsidRPr="00394FD7">
        <w:rPr>
          <w:b/>
          <w:sz w:val="24"/>
          <w:lang w:val="fr-FR"/>
        </w:rPr>
        <w:t>2024</w:t>
      </w:r>
    </w:p>
    <w:p w14:paraId="35C396E5" w14:textId="6B4A35F3" w:rsidR="008B2CC1" w:rsidRPr="00394FD7" w:rsidRDefault="00DA7CC3" w:rsidP="00DB0349">
      <w:pPr>
        <w:spacing w:after="360"/>
        <w:rPr>
          <w:caps/>
          <w:sz w:val="24"/>
          <w:lang w:val="fr-FR"/>
        </w:rPr>
      </w:pPr>
      <w:bookmarkStart w:id="3" w:name="TitleOfDoc"/>
      <w:r w:rsidRPr="00394FD7">
        <w:rPr>
          <w:caps/>
          <w:sz w:val="24"/>
          <w:lang w:val="fr-FR"/>
        </w:rPr>
        <w:t>Analyse des résultats du questionnaire sur la mise en œuvre de la norme ST.91 de l</w:t>
      </w:r>
      <w:r w:rsidR="00AC3127" w:rsidRPr="00394FD7">
        <w:rPr>
          <w:caps/>
          <w:sz w:val="24"/>
          <w:lang w:val="fr-FR"/>
        </w:rPr>
        <w:t>’</w:t>
      </w:r>
      <w:r w:rsidRPr="00394FD7">
        <w:rPr>
          <w:caps/>
          <w:sz w:val="24"/>
          <w:lang w:val="fr-FR"/>
        </w:rPr>
        <w:t>OMPI</w:t>
      </w:r>
    </w:p>
    <w:p w14:paraId="2B8093E7" w14:textId="34283A82" w:rsidR="00525B63" w:rsidRPr="00394FD7" w:rsidRDefault="00DA7CC3" w:rsidP="00DB0349">
      <w:pPr>
        <w:spacing w:after="960"/>
        <w:rPr>
          <w:i/>
          <w:lang w:val="fr-FR"/>
        </w:rPr>
      </w:pPr>
      <w:bookmarkStart w:id="4" w:name="Prepared"/>
      <w:bookmarkEnd w:id="3"/>
      <w:r w:rsidRPr="00394FD7">
        <w:rPr>
          <w:i/>
          <w:lang w:val="fr-FR"/>
        </w:rPr>
        <w:t>Document établi par le responsable de l</w:t>
      </w:r>
      <w:r w:rsidR="00AC3127" w:rsidRPr="00394FD7">
        <w:rPr>
          <w:i/>
          <w:lang w:val="fr-FR"/>
        </w:rPr>
        <w:t>’</w:t>
      </w:r>
      <w:r w:rsidRPr="00394FD7">
        <w:rPr>
          <w:i/>
          <w:lang w:val="fr-FR"/>
        </w:rPr>
        <w:t>Équipe d</w:t>
      </w:r>
      <w:r w:rsidR="00AC3127" w:rsidRPr="00394FD7">
        <w:rPr>
          <w:i/>
          <w:lang w:val="fr-FR"/>
        </w:rPr>
        <w:t>’</w:t>
      </w:r>
      <w:r w:rsidRPr="00394FD7">
        <w:rPr>
          <w:i/>
          <w:lang w:val="fr-FR"/>
        </w:rPr>
        <w:t>experts 3D</w:t>
      </w:r>
    </w:p>
    <w:bookmarkEnd w:id="4"/>
    <w:p w14:paraId="54E5CACA" w14:textId="701E9DE2" w:rsidR="00DA7CC3" w:rsidRPr="00394FD7" w:rsidRDefault="00FD2CB1" w:rsidP="006436B2">
      <w:pPr>
        <w:pStyle w:val="Heading2"/>
        <w:rPr>
          <w:lang w:val="fr-FR"/>
        </w:rPr>
      </w:pPr>
      <w:r w:rsidRPr="00394FD7">
        <w:rPr>
          <w:lang w:val="fr-FR"/>
        </w:rPr>
        <w:t>Résumé</w:t>
      </w:r>
    </w:p>
    <w:p w14:paraId="469A6DBC" w14:textId="21A58089" w:rsidR="00AC3127" w:rsidRPr="00394FD7" w:rsidRDefault="00DA7CC3" w:rsidP="00FD2CB1">
      <w:pPr>
        <w:pStyle w:val="ONUMFS"/>
        <w:rPr>
          <w:lang w:val="fr-FR"/>
        </w:rPr>
      </w:pPr>
      <w:r w:rsidRPr="00394FD7">
        <w:rPr>
          <w:lang w:val="fr-FR"/>
        </w:rPr>
        <w:t>L</w:t>
      </w:r>
      <w:r w:rsidR="00AC3127" w:rsidRPr="00394FD7">
        <w:rPr>
          <w:lang w:val="fr-FR"/>
        </w:rPr>
        <w:t>’</w:t>
      </w:r>
      <w:r w:rsidRPr="00394FD7">
        <w:rPr>
          <w:lang w:val="fr-FR"/>
        </w:rPr>
        <w:t>Équipe d</w:t>
      </w:r>
      <w:r w:rsidR="00AC3127" w:rsidRPr="00394FD7">
        <w:rPr>
          <w:lang w:val="fr-FR"/>
        </w:rPr>
        <w:t>’</w:t>
      </w:r>
      <w:r w:rsidRPr="00394FD7">
        <w:rPr>
          <w:lang w:val="fr-FR"/>
        </w:rPr>
        <w:t>experts 3D a analysé les réponses des offices de propriété intellectuelle au questionnaire sur la mise en œuvre de la norme ST.91 de l</w:t>
      </w:r>
      <w:r w:rsidR="00AC3127" w:rsidRPr="00394FD7">
        <w:rPr>
          <w:lang w:val="fr-FR"/>
        </w:rPr>
        <w:t>’</w:t>
      </w:r>
      <w:r w:rsidRPr="00394FD7">
        <w:rPr>
          <w:lang w:val="fr-FR"/>
        </w:rPr>
        <w:t>OMPI et présente son analyse des résultats de l</w:t>
      </w:r>
      <w:r w:rsidR="00AC3127" w:rsidRPr="00394FD7">
        <w:rPr>
          <w:lang w:val="fr-FR"/>
        </w:rPr>
        <w:t>’</w:t>
      </w:r>
      <w:r w:rsidRPr="00394FD7">
        <w:rPr>
          <w:lang w:val="fr-FR"/>
        </w:rPr>
        <w:t>enquête.</w:t>
      </w:r>
    </w:p>
    <w:p w14:paraId="69148944" w14:textId="1C781A6C" w:rsidR="00DA7CC3" w:rsidRPr="00394FD7" w:rsidRDefault="00FD2CB1" w:rsidP="006436B2">
      <w:pPr>
        <w:pStyle w:val="Heading2"/>
        <w:rPr>
          <w:lang w:val="fr-FR"/>
        </w:rPr>
      </w:pPr>
      <w:r w:rsidRPr="00394FD7">
        <w:rPr>
          <w:lang w:val="fr-FR"/>
        </w:rPr>
        <w:t>Contexte</w:t>
      </w:r>
    </w:p>
    <w:p w14:paraId="53E2F6F4" w14:textId="4C697675" w:rsidR="00DA7CC3" w:rsidRPr="00394FD7" w:rsidRDefault="00DA7CC3" w:rsidP="00FD2CB1">
      <w:pPr>
        <w:pStyle w:val="ONUMFS"/>
        <w:rPr>
          <w:lang w:val="fr-FR"/>
        </w:rPr>
      </w:pPr>
      <w:r w:rsidRPr="00394FD7">
        <w:rPr>
          <w:lang w:val="fr-FR"/>
        </w:rPr>
        <w:t>À sa onz</w:t>
      </w:r>
      <w:r w:rsidR="00AC3127" w:rsidRPr="00394FD7">
        <w:rPr>
          <w:lang w:val="fr-FR"/>
        </w:rPr>
        <w:t>ième session</w:t>
      </w:r>
      <w:r w:rsidRPr="00394FD7">
        <w:rPr>
          <w:lang w:val="fr-FR"/>
        </w:rPr>
        <w:t xml:space="preserve"> tenue en décembre 2023, le Comité des normes de l</w:t>
      </w:r>
      <w:r w:rsidR="00AC3127" w:rsidRPr="00394FD7">
        <w:rPr>
          <w:lang w:val="fr-FR"/>
        </w:rPr>
        <w:t>’</w:t>
      </w:r>
      <w:r w:rsidRPr="00394FD7">
        <w:rPr>
          <w:lang w:val="fr-FR"/>
        </w:rPr>
        <w:t>OMPI (CWS) a approuvé le questionnaire sur la mise en œuvre de la norme ST.91 de l</w:t>
      </w:r>
      <w:r w:rsidR="00AC3127" w:rsidRPr="00394FD7">
        <w:rPr>
          <w:lang w:val="fr-FR"/>
        </w:rPr>
        <w:t>’</w:t>
      </w:r>
      <w:r w:rsidRPr="00394FD7">
        <w:rPr>
          <w:lang w:val="fr-FR"/>
        </w:rPr>
        <w:t>OMPI par les offices de propriété intellectuel</w:t>
      </w:r>
      <w:r w:rsidR="00394FD7" w:rsidRPr="00394FD7">
        <w:rPr>
          <w:lang w:val="fr-FR"/>
        </w:rPr>
        <w:t>le.  Le</w:t>
      </w:r>
      <w:r w:rsidRPr="00394FD7">
        <w:rPr>
          <w:lang w:val="fr-FR"/>
        </w:rPr>
        <w:t> CWS a prié le Secrétariat de diffuser une circulaire invitant les offices de propriété intellectuelle à répondre à cette enquête (voir le paragraphe 87 du document</w:t>
      </w:r>
      <w:r w:rsidR="00BF134B">
        <w:rPr>
          <w:lang w:val="fr-FR"/>
        </w:rPr>
        <w:t> </w:t>
      </w:r>
      <w:r w:rsidRPr="00394FD7">
        <w:rPr>
          <w:lang w:val="fr-FR"/>
        </w:rPr>
        <w:t>CWS/11/27).</w:t>
      </w:r>
    </w:p>
    <w:p w14:paraId="4528D524" w14:textId="0B4CB578" w:rsidR="00DA7CC3" w:rsidRPr="00394FD7" w:rsidRDefault="00FD2CB1" w:rsidP="006436B2">
      <w:pPr>
        <w:pStyle w:val="Heading2"/>
        <w:rPr>
          <w:lang w:val="fr-FR"/>
        </w:rPr>
      </w:pPr>
      <w:r w:rsidRPr="00394FD7">
        <w:rPr>
          <w:lang w:val="fr-FR"/>
        </w:rPr>
        <w:t>Résultats de l</w:t>
      </w:r>
      <w:r w:rsidR="00AC3127" w:rsidRPr="00394FD7">
        <w:rPr>
          <w:lang w:val="fr-FR"/>
        </w:rPr>
        <w:t>’</w:t>
      </w:r>
      <w:r w:rsidRPr="00394FD7">
        <w:rPr>
          <w:lang w:val="fr-FR"/>
        </w:rPr>
        <w:t>enquête</w:t>
      </w:r>
    </w:p>
    <w:p w14:paraId="4A85B280" w14:textId="0E6126BB" w:rsidR="00DA7CC3" w:rsidRPr="00394FD7" w:rsidRDefault="00DA7CC3" w:rsidP="00FD2CB1">
      <w:pPr>
        <w:pStyle w:val="ONUMFS"/>
        <w:rPr>
          <w:lang w:val="fr-FR"/>
        </w:rPr>
      </w:pPr>
      <w:r w:rsidRPr="00394FD7">
        <w:rPr>
          <w:lang w:val="fr-FR"/>
        </w:rPr>
        <w:t>En mars 2024, le Secrétariat a diffusé la circulaire C.CWS 179, dans laquelle il invitait les offices de propriété intellectuelle à participer à l</w:t>
      </w:r>
      <w:r w:rsidR="00AC3127" w:rsidRPr="00394FD7">
        <w:rPr>
          <w:lang w:val="fr-FR"/>
        </w:rPr>
        <w:t>’</w:t>
      </w:r>
      <w:r w:rsidRPr="00394FD7">
        <w:rPr>
          <w:lang w:val="fr-FR"/>
        </w:rPr>
        <w:t>enquête sur la mise en œuvre de la norme ST.91 de l</w:t>
      </w:r>
      <w:r w:rsidR="00AC3127" w:rsidRPr="00394FD7">
        <w:rPr>
          <w:lang w:val="fr-FR"/>
        </w:rPr>
        <w:t>’</w:t>
      </w:r>
      <w:r w:rsidRPr="00394FD7">
        <w:rPr>
          <w:lang w:val="fr-FR"/>
        </w:rPr>
        <w:t>OMPI.  L</w:t>
      </w:r>
      <w:r w:rsidR="00AC3127" w:rsidRPr="00394FD7">
        <w:rPr>
          <w:lang w:val="fr-FR"/>
        </w:rPr>
        <w:t>’</w:t>
      </w:r>
      <w:r w:rsidRPr="00394FD7">
        <w:rPr>
          <w:lang w:val="fr-FR"/>
        </w:rPr>
        <w:t>enquête s</w:t>
      </w:r>
      <w:r w:rsidR="00AC3127" w:rsidRPr="00394FD7">
        <w:rPr>
          <w:lang w:val="fr-FR"/>
        </w:rPr>
        <w:t>’</w:t>
      </w:r>
      <w:r w:rsidRPr="00394FD7">
        <w:rPr>
          <w:lang w:val="fr-FR"/>
        </w:rPr>
        <w:t>est déroulée de mars à avril 2024.</w:t>
      </w:r>
    </w:p>
    <w:p w14:paraId="061DABF9" w14:textId="009C0B0F" w:rsidR="00DA7CC3" w:rsidRPr="00394FD7" w:rsidRDefault="00DA7CC3" w:rsidP="00FD2CB1">
      <w:pPr>
        <w:pStyle w:val="ONUMFS"/>
        <w:rPr>
          <w:lang w:val="fr-FR"/>
        </w:rPr>
      </w:pPr>
      <w:r w:rsidRPr="00394FD7">
        <w:rPr>
          <w:lang w:val="fr-FR"/>
        </w:rPr>
        <w:t>Les 22 membres du CWS ont pris part à l</w:t>
      </w:r>
      <w:r w:rsidR="00AC3127" w:rsidRPr="00394FD7">
        <w:rPr>
          <w:lang w:val="fr-FR"/>
        </w:rPr>
        <w:t>’</w:t>
      </w:r>
      <w:r w:rsidRPr="00394FD7">
        <w:rPr>
          <w:lang w:val="fr-FR"/>
        </w:rPr>
        <w:t xml:space="preserve">enquête, </w:t>
      </w:r>
      <w:r w:rsidR="00AC3127" w:rsidRPr="00394FD7">
        <w:rPr>
          <w:lang w:val="fr-FR"/>
        </w:rPr>
        <w:t>à savoir</w:t>
      </w:r>
      <w:r w:rsidRPr="00394FD7">
        <w:rPr>
          <w:lang w:val="fr-FR"/>
        </w:rPr>
        <w:t xml:space="preserve"> les offices des États membres suivants</w:t>
      </w:r>
      <w:r w:rsidR="00AC3127" w:rsidRPr="00394FD7">
        <w:rPr>
          <w:lang w:val="fr-FR"/>
        </w:rPr>
        <w:t xml:space="preserve"> – </w:t>
      </w:r>
      <w:r w:rsidRPr="00394FD7">
        <w:rPr>
          <w:lang w:val="fr-FR"/>
        </w:rPr>
        <w:t>Allemagne (DE), Australie (AU), Bhoutan (BT), Bulgarie (BG), Canada (CA), Croatie (HR), Estonie (EE), Fédération de Russie (RU), Gambie (GM), Hongrie (HU), Italie (IT), Japon (JP), Lituanie (LT), Namibie (NA), République arabe syrienne (SY), République de Corée (KR), République tchèque (CZ), Royaume</w:t>
      </w:r>
      <w:r w:rsidR="00BF134B">
        <w:rPr>
          <w:lang w:val="fr-FR"/>
        </w:rPr>
        <w:noBreakHyphen/>
      </w:r>
      <w:r w:rsidRPr="00394FD7">
        <w:rPr>
          <w:lang w:val="fr-FR"/>
        </w:rPr>
        <w:t>Uni (GB) et Slovaquie (SK), ainsi que les offices régionaux suivants</w:t>
      </w:r>
      <w:r w:rsidR="00AC3127" w:rsidRPr="00394FD7">
        <w:rPr>
          <w:lang w:val="fr-FR"/>
        </w:rPr>
        <w:t xml:space="preserve"> – </w:t>
      </w:r>
      <w:r w:rsidRPr="00394FD7">
        <w:rPr>
          <w:lang w:val="fr-FR"/>
        </w:rPr>
        <w:t>Office eurasien des brevets (EA), Office européen des brevets (OEB) et l</w:t>
      </w:r>
      <w:r w:rsidR="00AC3127" w:rsidRPr="00394FD7">
        <w:rPr>
          <w:lang w:val="fr-FR"/>
        </w:rPr>
        <w:t>’</w:t>
      </w:r>
      <w:r w:rsidRPr="00394FD7">
        <w:rPr>
          <w:lang w:val="fr-FR"/>
        </w:rPr>
        <w:t xml:space="preserve">Union européenne pour la propriété intellectuelle (EM).  Le Secrétariat publiera les réponses </w:t>
      </w:r>
      <w:r w:rsidRPr="00394FD7">
        <w:rPr>
          <w:lang w:val="fr-FR"/>
        </w:rPr>
        <w:lastRenderedPageBreak/>
        <w:t xml:space="preserve">individuelles des offices de propriété intellectuelle et la synthèse des résultats dans la </w:t>
      </w:r>
      <w:hyperlink r:id="rId8" w:history="1">
        <w:r w:rsidRPr="00394FD7">
          <w:rPr>
            <w:rStyle w:val="Hyperlink"/>
            <w:lang w:val="fr-FR"/>
          </w:rPr>
          <w:t>partie 7 du Manuel de l</w:t>
        </w:r>
        <w:r w:rsidR="00AC3127" w:rsidRPr="00394FD7">
          <w:rPr>
            <w:rStyle w:val="Hyperlink"/>
            <w:lang w:val="fr-FR"/>
          </w:rPr>
          <w:t>’</w:t>
        </w:r>
        <w:r w:rsidRPr="00394FD7">
          <w:rPr>
            <w:rStyle w:val="Hyperlink"/>
            <w:lang w:val="fr-FR"/>
          </w:rPr>
          <w:t>OMPI</w:t>
        </w:r>
      </w:hyperlink>
      <w:r w:rsidRPr="00394FD7">
        <w:rPr>
          <w:lang w:val="fr-FR"/>
        </w:rPr>
        <w:t xml:space="preserve"> dès que toutes les réponses auront été traduites et mises en forme.</w:t>
      </w:r>
    </w:p>
    <w:p w14:paraId="3457A57A" w14:textId="1B6BC77C" w:rsidR="00DA7CC3" w:rsidRPr="00394FD7" w:rsidRDefault="00FD2CB1" w:rsidP="006436B2">
      <w:pPr>
        <w:pStyle w:val="Heading2"/>
        <w:rPr>
          <w:lang w:val="fr-FR"/>
        </w:rPr>
      </w:pPr>
      <w:r w:rsidRPr="00394FD7">
        <w:rPr>
          <w:lang w:val="fr-FR"/>
        </w:rPr>
        <w:t>Analyse des résultats de l</w:t>
      </w:r>
      <w:r w:rsidR="00AC3127" w:rsidRPr="00394FD7">
        <w:rPr>
          <w:lang w:val="fr-FR"/>
        </w:rPr>
        <w:t>’</w:t>
      </w:r>
      <w:r w:rsidRPr="00394FD7">
        <w:rPr>
          <w:lang w:val="fr-FR"/>
        </w:rPr>
        <w:t>enquête</w:t>
      </w:r>
    </w:p>
    <w:p w14:paraId="21740E11" w14:textId="2FD22553" w:rsidR="00DA7CC3" w:rsidRPr="00394FD7" w:rsidRDefault="00DA7CC3" w:rsidP="00FD2CB1">
      <w:pPr>
        <w:pStyle w:val="ONUMFS"/>
        <w:rPr>
          <w:lang w:val="fr-FR"/>
        </w:rPr>
      </w:pPr>
      <w:r w:rsidRPr="00394FD7">
        <w:rPr>
          <w:lang w:val="fr-FR"/>
        </w:rPr>
        <w:t>Le Secrétariat a transmis au responsable de l</w:t>
      </w:r>
      <w:r w:rsidR="00AC3127" w:rsidRPr="00394FD7">
        <w:rPr>
          <w:lang w:val="fr-FR"/>
        </w:rPr>
        <w:t>’</w:t>
      </w:r>
      <w:r w:rsidRPr="00394FD7">
        <w:rPr>
          <w:lang w:val="fr-FR"/>
        </w:rPr>
        <w:t>Équipe d</w:t>
      </w:r>
      <w:r w:rsidR="00AC3127" w:rsidRPr="00394FD7">
        <w:rPr>
          <w:lang w:val="fr-FR"/>
        </w:rPr>
        <w:t>’</w:t>
      </w:r>
      <w:r w:rsidRPr="00394FD7">
        <w:rPr>
          <w:lang w:val="fr-FR"/>
        </w:rPr>
        <w:t>experts 3D les réponses à l</w:t>
      </w:r>
      <w:r w:rsidR="00AC3127" w:rsidRPr="00394FD7">
        <w:rPr>
          <w:lang w:val="fr-FR"/>
        </w:rPr>
        <w:t>’</w:t>
      </w:r>
      <w:r w:rsidRPr="00394FD7">
        <w:rPr>
          <w:lang w:val="fr-FR"/>
        </w:rPr>
        <w:t>enquête pour analy</w:t>
      </w:r>
      <w:r w:rsidR="00394FD7" w:rsidRPr="00394FD7">
        <w:rPr>
          <w:lang w:val="fr-FR"/>
        </w:rPr>
        <w:t>se.  Le</w:t>
      </w:r>
      <w:r w:rsidRPr="00394FD7">
        <w:rPr>
          <w:lang w:val="fr-FR"/>
        </w:rPr>
        <w:t xml:space="preserve"> responsable de l</w:t>
      </w:r>
      <w:r w:rsidR="00AC3127" w:rsidRPr="00394FD7">
        <w:rPr>
          <w:lang w:val="fr-FR"/>
        </w:rPr>
        <w:t>’</w:t>
      </w:r>
      <w:r w:rsidRPr="00394FD7">
        <w:rPr>
          <w:lang w:val="fr-FR"/>
        </w:rPr>
        <w:t>équipe d</w:t>
      </w:r>
      <w:r w:rsidR="00AC3127" w:rsidRPr="00394FD7">
        <w:rPr>
          <w:lang w:val="fr-FR"/>
        </w:rPr>
        <w:t>’</w:t>
      </w:r>
      <w:r w:rsidRPr="00394FD7">
        <w:rPr>
          <w:lang w:val="fr-FR"/>
        </w:rPr>
        <w:t>experts présente l</w:t>
      </w:r>
      <w:r w:rsidR="00AC3127" w:rsidRPr="00394FD7">
        <w:rPr>
          <w:lang w:val="fr-FR"/>
        </w:rPr>
        <w:t>’</w:t>
      </w:r>
      <w:r w:rsidRPr="00394FD7">
        <w:rPr>
          <w:lang w:val="fr-FR"/>
        </w:rPr>
        <w:t>analyse ci</w:t>
      </w:r>
      <w:r w:rsidR="00BF134B">
        <w:rPr>
          <w:lang w:val="fr-FR"/>
        </w:rPr>
        <w:noBreakHyphen/>
      </w:r>
      <w:r w:rsidRPr="00394FD7">
        <w:rPr>
          <w:lang w:val="fr-FR"/>
        </w:rPr>
        <w:t>après pour examen par le CWS.</w:t>
      </w:r>
    </w:p>
    <w:p w14:paraId="57339541" w14:textId="081734ED" w:rsidR="00AC3127" w:rsidRPr="00394FD7" w:rsidRDefault="00DA7CC3" w:rsidP="00FD2CB1">
      <w:pPr>
        <w:pStyle w:val="ONUMFS"/>
        <w:rPr>
          <w:lang w:val="fr-FR"/>
        </w:rPr>
      </w:pPr>
      <w:r w:rsidRPr="00394FD7">
        <w:rPr>
          <w:lang w:val="fr-FR"/>
        </w:rPr>
        <w:t>Parmi les réponses, 12 participants (55%) ont indiqué qu</w:t>
      </w:r>
      <w:r w:rsidR="00AC3127" w:rsidRPr="00394FD7">
        <w:rPr>
          <w:lang w:val="fr-FR"/>
        </w:rPr>
        <w:t>’</w:t>
      </w:r>
      <w:r w:rsidRPr="00394FD7">
        <w:rPr>
          <w:lang w:val="fr-FR"/>
        </w:rPr>
        <w:t>ils n</w:t>
      </w:r>
      <w:r w:rsidR="00AC3127" w:rsidRPr="00394FD7">
        <w:rPr>
          <w:lang w:val="fr-FR"/>
        </w:rPr>
        <w:t>’</w:t>
      </w:r>
      <w:r w:rsidRPr="00394FD7">
        <w:rPr>
          <w:lang w:val="fr-FR"/>
        </w:rPr>
        <w:t>utilisaient toujours pas de modèles 3D, d</w:t>
      </w:r>
      <w:r w:rsidR="00AC3127" w:rsidRPr="00394FD7">
        <w:rPr>
          <w:lang w:val="fr-FR"/>
        </w:rPr>
        <w:t>’</w:t>
      </w:r>
      <w:r w:rsidRPr="00394FD7">
        <w:rPr>
          <w:lang w:val="fr-FR"/>
        </w:rPr>
        <w:t>images 3D ou de structures chimiques 3D;  neuf</w:t>
      </w:r>
      <w:r w:rsidR="00822F98" w:rsidRPr="00394FD7">
        <w:rPr>
          <w:lang w:val="fr-FR"/>
        </w:rPr>
        <w:t> </w:t>
      </w:r>
      <w:r w:rsidRPr="00394FD7">
        <w:rPr>
          <w:lang w:val="fr-FR"/>
        </w:rPr>
        <w:t>(41%) ont indiqué qu</w:t>
      </w:r>
      <w:r w:rsidR="00AC3127" w:rsidRPr="00394FD7">
        <w:rPr>
          <w:lang w:val="fr-FR"/>
        </w:rPr>
        <w:t>’</w:t>
      </w:r>
      <w:r w:rsidRPr="00394FD7">
        <w:rPr>
          <w:lang w:val="fr-FR"/>
        </w:rPr>
        <w:t>ils les utilisaient et un (5%) a fait part d</w:t>
      </w:r>
      <w:r w:rsidR="00AC3127" w:rsidRPr="00394FD7">
        <w:rPr>
          <w:lang w:val="fr-FR"/>
        </w:rPr>
        <w:t>’</w:t>
      </w:r>
      <w:r w:rsidRPr="00394FD7">
        <w:rPr>
          <w:lang w:val="fr-FR"/>
        </w:rPr>
        <w:t>un cas d</w:t>
      </w:r>
      <w:r w:rsidR="00AC3127" w:rsidRPr="00394FD7">
        <w:rPr>
          <w:lang w:val="fr-FR"/>
        </w:rPr>
        <w:t>’</w:t>
      </w:r>
      <w:r w:rsidRPr="00394FD7">
        <w:rPr>
          <w:lang w:val="fr-FR"/>
        </w:rPr>
        <w:t>utilisation particulier dans sa réponse.</w:t>
      </w:r>
    </w:p>
    <w:p w14:paraId="132C7F03" w14:textId="3C4C99D4" w:rsidR="00AC3127" w:rsidRPr="00394FD7" w:rsidRDefault="00DA7CC3" w:rsidP="00FD2CB1">
      <w:pPr>
        <w:pStyle w:val="ONUMFS"/>
        <w:rPr>
          <w:lang w:val="fr-FR"/>
        </w:rPr>
      </w:pPr>
      <w:r w:rsidRPr="00394FD7">
        <w:rPr>
          <w:lang w:val="fr-FR"/>
        </w:rPr>
        <w:t>Parmi les participants à l</w:t>
      </w:r>
      <w:r w:rsidR="00AC3127" w:rsidRPr="00394FD7">
        <w:rPr>
          <w:lang w:val="fr-FR"/>
        </w:rPr>
        <w:t>’</w:t>
      </w:r>
      <w:r w:rsidRPr="00394FD7">
        <w:rPr>
          <w:lang w:val="fr-FR"/>
        </w:rPr>
        <w:t>enquête ayant répondu qu</w:t>
      </w:r>
      <w:r w:rsidR="00AC3127" w:rsidRPr="00394FD7">
        <w:rPr>
          <w:lang w:val="fr-FR"/>
        </w:rPr>
        <w:t>’</w:t>
      </w:r>
      <w:r w:rsidRPr="00394FD7">
        <w:rPr>
          <w:lang w:val="fr-FR"/>
        </w:rPr>
        <w:t>ils utilisaient des modèles, des images ou des structures chimiques 3D dans leur pratique</w:t>
      </w:r>
      <w:r w:rsidR="00AC3127" w:rsidRPr="00394FD7">
        <w:rPr>
          <w:lang w:val="fr-FR"/>
        </w:rPr>
        <w:t> :</w:t>
      </w:r>
      <w:r w:rsidRPr="00394FD7">
        <w:rPr>
          <w:lang w:val="fr-FR"/>
        </w:rPr>
        <w:t xml:space="preserve"> 67% utilisent la 3D pour des dessins et modèles industriels, 56% l</w:t>
      </w:r>
      <w:r w:rsidR="00AC3127" w:rsidRPr="00394FD7">
        <w:rPr>
          <w:lang w:val="fr-FR"/>
        </w:rPr>
        <w:t>’</w:t>
      </w:r>
      <w:r w:rsidRPr="00394FD7">
        <w:rPr>
          <w:lang w:val="fr-FR"/>
        </w:rPr>
        <w:t>utilisent pour des marques, 44% l</w:t>
      </w:r>
      <w:r w:rsidR="00AC3127" w:rsidRPr="00394FD7">
        <w:rPr>
          <w:lang w:val="fr-FR"/>
        </w:rPr>
        <w:t>’</w:t>
      </w:r>
      <w:r w:rsidRPr="00394FD7">
        <w:rPr>
          <w:lang w:val="fr-FR"/>
        </w:rPr>
        <w:t>utilisent pour des brevets, 22% pour des modèles d</w:t>
      </w:r>
      <w:r w:rsidR="00AC3127" w:rsidRPr="00394FD7">
        <w:rPr>
          <w:lang w:val="fr-FR"/>
        </w:rPr>
        <w:t>’</w:t>
      </w:r>
      <w:r w:rsidRPr="00394FD7">
        <w:rPr>
          <w:lang w:val="fr-FR"/>
        </w:rPr>
        <w:t>utilité et 22% pour d</w:t>
      </w:r>
      <w:r w:rsidR="00AC3127" w:rsidRPr="00394FD7">
        <w:rPr>
          <w:lang w:val="fr-FR"/>
        </w:rPr>
        <w:t>’</w:t>
      </w:r>
      <w:r w:rsidRPr="00394FD7">
        <w:rPr>
          <w:lang w:val="fr-FR"/>
        </w:rPr>
        <w:t>autres droits de propriété intellectuelle.</w:t>
      </w:r>
    </w:p>
    <w:p w14:paraId="02EF55B1" w14:textId="08CE9D32" w:rsidR="00DA7CC3" w:rsidRPr="00394FD7" w:rsidRDefault="00DA7CC3" w:rsidP="00FD2CB1">
      <w:pPr>
        <w:pStyle w:val="ONUMFS"/>
        <w:rPr>
          <w:lang w:val="fr-FR"/>
        </w:rPr>
      </w:pPr>
      <w:r w:rsidRPr="00394FD7">
        <w:rPr>
          <w:lang w:val="fr-FR"/>
        </w:rPr>
        <w:t>Il est important de noter que parmi les offices ayant répondu, la majorité (64%) ne met pas en œuvre la norme S</w:t>
      </w:r>
      <w:r w:rsidR="00394FD7" w:rsidRPr="00394FD7">
        <w:rPr>
          <w:lang w:val="fr-FR"/>
        </w:rPr>
        <w:t>T</w:t>
      </w:r>
      <w:r w:rsidRPr="00394FD7">
        <w:rPr>
          <w:lang w:val="fr-FR"/>
        </w:rPr>
        <w:t>.91 de l</w:t>
      </w:r>
      <w:r w:rsidR="00AC3127" w:rsidRPr="00394FD7">
        <w:rPr>
          <w:lang w:val="fr-FR"/>
        </w:rPr>
        <w:t>’</w:t>
      </w:r>
      <w:r w:rsidRPr="00394FD7">
        <w:rPr>
          <w:lang w:val="fr-FR"/>
        </w:rPr>
        <w:t xml:space="preserve">OMPI alors que 27% la mettent en œuvre partiellement et </w:t>
      </w:r>
      <w:r w:rsidR="00394FD7" w:rsidRPr="00394FD7">
        <w:rPr>
          <w:lang w:val="fr-FR"/>
        </w:rPr>
        <w:t>9%</w:t>
      </w:r>
      <w:r w:rsidRPr="00394FD7">
        <w:rPr>
          <w:lang w:val="fr-FR"/>
        </w:rPr>
        <w:t xml:space="preserve"> la mettent en œuvre pleinement.</w:t>
      </w:r>
    </w:p>
    <w:p w14:paraId="32B71CF3" w14:textId="002CF669" w:rsidR="00DA7CC3" w:rsidRPr="00394FD7" w:rsidRDefault="00DA7CC3" w:rsidP="00FD2CB1">
      <w:pPr>
        <w:pStyle w:val="ONUMFS"/>
        <w:rPr>
          <w:lang w:val="fr-FR"/>
        </w:rPr>
      </w:pPr>
      <w:r w:rsidRPr="00394FD7">
        <w:rPr>
          <w:lang w:val="fr-FR"/>
        </w:rPr>
        <w:t>En ce qui concerne l</w:t>
      </w:r>
      <w:r w:rsidR="00AC3127" w:rsidRPr="00394FD7">
        <w:rPr>
          <w:lang w:val="fr-FR"/>
        </w:rPr>
        <w:t>’</w:t>
      </w:r>
      <w:r w:rsidRPr="00394FD7">
        <w:rPr>
          <w:lang w:val="fr-FR"/>
        </w:rPr>
        <w:t>utilisation des formats de fichier recommandés par la norme ST.91 de l</w:t>
      </w:r>
      <w:r w:rsidR="00AC3127" w:rsidRPr="00394FD7">
        <w:rPr>
          <w:lang w:val="fr-FR"/>
        </w:rPr>
        <w:t>’</w:t>
      </w:r>
      <w:r w:rsidRPr="00394FD7">
        <w:rPr>
          <w:lang w:val="fr-FR"/>
        </w:rPr>
        <w:t>OMPI, pour les fichiers que les offices de propriété intellectuelle reçoivent actuellement</w:t>
      </w:r>
      <w:r w:rsidR="00AC3127" w:rsidRPr="00394FD7">
        <w:rPr>
          <w:lang w:val="fr-FR"/>
        </w:rPr>
        <w:t> :</w:t>
      </w:r>
    </w:p>
    <w:tbl>
      <w:tblPr>
        <w:tblStyle w:val="TableGrid"/>
        <w:tblW w:w="0" w:type="auto"/>
        <w:tblLook w:val="04A0" w:firstRow="1" w:lastRow="0" w:firstColumn="1" w:lastColumn="0" w:noHBand="0" w:noVBand="1"/>
      </w:tblPr>
      <w:tblGrid>
        <w:gridCol w:w="4672"/>
        <w:gridCol w:w="4673"/>
      </w:tblGrid>
      <w:tr w:rsidR="00DA7CC3" w:rsidRPr="00394FD7" w14:paraId="29C8C7AA" w14:textId="77777777" w:rsidTr="00F11926">
        <w:tc>
          <w:tcPr>
            <w:tcW w:w="4672" w:type="dxa"/>
            <w:shd w:val="clear" w:color="auto" w:fill="D9D9D9" w:themeFill="background1" w:themeFillShade="D9"/>
          </w:tcPr>
          <w:p w14:paraId="35DE7238" w14:textId="77777777" w:rsidR="00DA7CC3" w:rsidRPr="00394FD7" w:rsidRDefault="00DA7CC3" w:rsidP="00F11926">
            <w:pPr>
              <w:pStyle w:val="ONUME"/>
              <w:numPr>
                <w:ilvl w:val="0"/>
                <w:numId w:val="0"/>
              </w:numPr>
            </w:pPr>
            <w:r w:rsidRPr="00394FD7">
              <w:t>Droits de propriété intellectuelle</w:t>
            </w:r>
          </w:p>
        </w:tc>
        <w:tc>
          <w:tcPr>
            <w:tcW w:w="4673" w:type="dxa"/>
            <w:shd w:val="clear" w:color="auto" w:fill="D9D9D9" w:themeFill="background1" w:themeFillShade="D9"/>
          </w:tcPr>
          <w:p w14:paraId="31D093F4" w14:textId="0CB2D4DE" w:rsidR="00DA7CC3" w:rsidRPr="00394FD7" w:rsidRDefault="00DA7CC3" w:rsidP="00F11926">
            <w:pPr>
              <w:pStyle w:val="ONUME"/>
              <w:numPr>
                <w:ilvl w:val="0"/>
                <w:numId w:val="0"/>
              </w:numPr>
            </w:pPr>
            <w:r w:rsidRPr="00394FD7">
              <w:t>Format de fichier le plus utilisé (dans l</w:t>
            </w:r>
            <w:r w:rsidR="00AC3127" w:rsidRPr="00394FD7">
              <w:t>’</w:t>
            </w:r>
            <w:r w:rsidRPr="00394FD7">
              <w:t>ordre décroissant)</w:t>
            </w:r>
          </w:p>
        </w:tc>
      </w:tr>
      <w:tr w:rsidR="00DA7CC3" w:rsidRPr="00394FD7" w14:paraId="47156071" w14:textId="77777777" w:rsidTr="00F11926">
        <w:tc>
          <w:tcPr>
            <w:tcW w:w="4672" w:type="dxa"/>
          </w:tcPr>
          <w:p w14:paraId="16A09E4D" w14:textId="77777777" w:rsidR="00DA7CC3" w:rsidRPr="00394FD7" w:rsidRDefault="00DA7CC3" w:rsidP="00F11926">
            <w:pPr>
              <w:pStyle w:val="ONUME"/>
              <w:numPr>
                <w:ilvl w:val="0"/>
                <w:numId w:val="0"/>
              </w:numPr>
            </w:pPr>
            <w:r w:rsidRPr="00394FD7">
              <w:t>Marques</w:t>
            </w:r>
          </w:p>
        </w:tc>
        <w:tc>
          <w:tcPr>
            <w:tcW w:w="4673" w:type="dxa"/>
          </w:tcPr>
          <w:p w14:paraId="2AE5A5C6" w14:textId="77777777" w:rsidR="00DA7CC3" w:rsidRPr="00394FD7" w:rsidRDefault="00DA7CC3" w:rsidP="00F11926">
            <w:pPr>
              <w:pStyle w:val="ONUME"/>
              <w:numPr>
                <w:ilvl w:val="0"/>
                <w:numId w:val="0"/>
              </w:numPr>
            </w:pPr>
            <w:r w:rsidRPr="00394FD7">
              <w:t>OBJ, STL, PDF 3D</w:t>
            </w:r>
          </w:p>
        </w:tc>
      </w:tr>
      <w:tr w:rsidR="00DA7CC3" w:rsidRPr="00394FD7" w14:paraId="47EC1906" w14:textId="77777777" w:rsidTr="00F11926">
        <w:tc>
          <w:tcPr>
            <w:tcW w:w="4672" w:type="dxa"/>
          </w:tcPr>
          <w:p w14:paraId="1A219BC8" w14:textId="77777777" w:rsidR="00DA7CC3" w:rsidRPr="00394FD7" w:rsidRDefault="00DA7CC3" w:rsidP="00F11926">
            <w:pPr>
              <w:pStyle w:val="ONUME"/>
              <w:numPr>
                <w:ilvl w:val="0"/>
                <w:numId w:val="0"/>
              </w:numPr>
            </w:pPr>
            <w:r w:rsidRPr="00394FD7">
              <w:t>Dessins et modèles industriels</w:t>
            </w:r>
          </w:p>
        </w:tc>
        <w:tc>
          <w:tcPr>
            <w:tcW w:w="4673" w:type="dxa"/>
          </w:tcPr>
          <w:p w14:paraId="1661FB23" w14:textId="77777777" w:rsidR="00DA7CC3" w:rsidRPr="00394FD7" w:rsidRDefault="00DA7CC3" w:rsidP="00F11926">
            <w:pPr>
              <w:pStyle w:val="ONUME"/>
              <w:numPr>
                <w:ilvl w:val="0"/>
                <w:numId w:val="0"/>
              </w:numPr>
            </w:pPr>
            <w:r w:rsidRPr="00394FD7">
              <w:t>PDF 3D, OBJ, STL, STEP</w:t>
            </w:r>
          </w:p>
        </w:tc>
      </w:tr>
      <w:tr w:rsidR="00DA7CC3" w:rsidRPr="00394FD7" w14:paraId="779D0374" w14:textId="77777777" w:rsidTr="00F11926">
        <w:tc>
          <w:tcPr>
            <w:tcW w:w="4672" w:type="dxa"/>
          </w:tcPr>
          <w:p w14:paraId="4788D492" w14:textId="25EAB8EE" w:rsidR="00DA7CC3" w:rsidRPr="00394FD7" w:rsidRDefault="00DA7CC3" w:rsidP="00F11926">
            <w:pPr>
              <w:pStyle w:val="ONUME"/>
              <w:numPr>
                <w:ilvl w:val="0"/>
                <w:numId w:val="0"/>
              </w:numPr>
            </w:pPr>
            <w:r w:rsidRPr="00394FD7">
              <w:t>Brevets (</w:t>
            </w:r>
            <w:r w:rsidR="00AC3127" w:rsidRPr="00394FD7">
              <w:t>y compris</w:t>
            </w:r>
            <w:r w:rsidRPr="00394FD7">
              <w:t xml:space="preserve"> structures chimiques)</w:t>
            </w:r>
          </w:p>
        </w:tc>
        <w:tc>
          <w:tcPr>
            <w:tcW w:w="4673" w:type="dxa"/>
          </w:tcPr>
          <w:p w14:paraId="674FB343" w14:textId="77777777" w:rsidR="00DA7CC3" w:rsidRPr="00394FD7" w:rsidRDefault="00DA7CC3" w:rsidP="00F11926">
            <w:pPr>
              <w:pStyle w:val="ONUME"/>
              <w:numPr>
                <w:ilvl w:val="0"/>
                <w:numId w:val="0"/>
              </w:numPr>
            </w:pPr>
            <w:r w:rsidRPr="00394FD7">
              <w:t>PDF 3D, STEP</w:t>
            </w:r>
          </w:p>
        </w:tc>
      </w:tr>
      <w:tr w:rsidR="00DA7CC3" w:rsidRPr="00394FD7" w14:paraId="6F7F04EF" w14:textId="77777777" w:rsidTr="00F11926">
        <w:tc>
          <w:tcPr>
            <w:tcW w:w="4672" w:type="dxa"/>
          </w:tcPr>
          <w:p w14:paraId="5D9A6B7B" w14:textId="7AE28DE0" w:rsidR="00DA7CC3" w:rsidRPr="00394FD7" w:rsidRDefault="00DA7CC3" w:rsidP="00F11926">
            <w:pPr>
              <w:pStyle w:val="ONUME"/>
              <w:numPr>
                <w:ilvl w:val="0"/>
                <w:numId w:val="0"/>
              </w:numPr>
            </w:pPr>
            <w:r w:rsidRPr="00394FD7">
              <w:t>Modèles d</w:t>
            </w:r>
            <w:r w:rsidR="00AC3127" w:rsidRPr="00394FD7">
              <w:t>’</w:t>
            </w:r>
            <w:r w:rsidRPr="00394FD7">
              <w:t>utilité</w:t>
            </w:r>
          </w:p>
        </w:tc>
        <w:tc>
          <w:tcPr>
            <w:tcW w:w="4673" w:type="dxa"/>
          </w:tcPr>
          <w:p w14:paraId="081A2EB8" w14:textId="77777777" w:rsidR="00DA7CC3" w:rsidRPr="00394FD7" w:rsidRDefault="00DA7CC3" w:rsidP="00F11926">
            <w:pPr>
              <w:pStyle w:val="ONUME"/>
              <w:numPr>
                <w:ilvl w:val="0"/>
                <w:numId w:val="0"/>
              </w:numPr>
            </w:pPr>
            <w:r w:rsidRPr="00394FD7">
              <w:t>PDF 3D</w:t>
            </w:r>
          </w:p>
        </w:tc>
      </w:tr>
    </w:tbl>
    <w:p w14:paraId="0401AE88" w14:textId="0205B45D" w:rsidR="00AC3127" w:rsidRPr="00394FD7" w:rsidRDefault="00DA7CC3" w:rsidP="00FD2CB1">
      <w:pPr>
        <w:pStyle w:val="ONUMFS"/>
        <w:spacing w:before="240"/>
        <w:rPr>
          <w:lang w:val="fr-FR"/>
        </w:rPr>
      </w:pPr>
      <w:r w:rsidRPr="00394FD7">
        <w:rPr>
          <w:lang w:val="fr-FR"/>
        </w:rPr>
        <w:t>En ce qui concerne la publication des modèles 3D, images 3D</w:t>
      </w:r>
      <w:r w:rsidR="00BF134B">
        <w:rPr>
          <w:lang w:val="fr-FR"/>
        </w:rPr>
        <w:t xml:space="preserve"> </w:t>
      </w:r>
      <w:r w:rsidRPr="00394FD7">
        <w:rPr>
          <w:lang w:val="fr-FR"/>
        </w:rPr>
        <w:t>ou structures chimiques 3D recommandée par la norme</w:t>
      </w:r>
      <w:r w:rsidR="00822F98" w:rsidRPr="00394FD7">
        <w:rPr>
          <w:lang w:val="fr-FR"/>
        </w:rPr>
        <w:t> </w:t>
      </w:r>
      <w:r w:rsidRPr="00394FD7">
        <w:rPr>
          <w:lang w:val="fr-FR"/>
        </w:rPr>
        <w:t>ST.91 de l</w:t>
      </w:r>
      <w:r w:rsidR="00AC3127" w:rsidRPr="00394FD7">
        <w:rPr>
          <w:lang w:val="fr-FR"/>
        </w:rPr>
        <w:t>’</w:t>
      </w:r>
      <w:r w:rsidRPr="00394FD7">
        <w:rPr>
          <w:lang w:val="fr-FR"/>
        </w:rPr>
        <w:t>OMPI, les offices qui ont répondu ont indiqué que pour la plupart, ils ne publiaient pas les informations 3D reçues, même si la 3D était accept</w:t>
      </w:r>
      <w:r w:rsidR="00394FD7" w:rsidRPr="00394FD7">
        <w:rPr>
          <w:lang w:val="fr-FR"/>
        </w:rPr>
        <w:t>ée.  Le</w:t>
      </w:r>
      <w:r w:rsidRPr="00394FD7">
        <w:rPr>
          <w:lang w:val="fr-FR"/>
        </w:rPr>
        <w:t>s formats les plus utilisés pour les marques sont OBJ et STL alors que le format le plus fréquemment utilisé pour la publication de dessins et modèles industriels, de brevets et de modèles d</w:t>
      </w:r>
      <w:r w:rsidR="00AC3127" w:rsidRPr="00394FD7">
        <w:rPr>
          <w:lang w:val="fr-FR"/>
        </w:rPr>
        <w:t>’</w:t>
      </w:r>
      <w:r w:rsidRPr="00394FD7">
        <w:rPr>
          <w:lang w:val="fr-FR"/>
        </w:rPr>
        <w:t>utilité est le format PDF 3D.  De même, pour ce qui est de la question concernant la publication sur papier de données 3D, la plupart des offices ayant répondu ont indiqué ne pas publier les informations relatives aux modèles 3D, aux images 3D ou aux structures chimiques 3D sur papier, même s</w:t>
      </w:r>
      <w:r w:rsidR="00AC3127" w:rsidRPr="00394FD7">
        <w:rPr>
          <w:lang w:val="fr-FR"/>
        </w:rPr>
        <w:t>’</w:t>
      </w:r>
      <w:r w:rsidRPr="00394FD7">
        <w:rPr>
          <w:lang w:val="fr-FR"/>
        </w:rPr>
        <w:t>ils les accepte</w:t>
      </w:r>
      <w:r w:rsidR="00394FD7" w:rsidRPr="00394FD7">
        <w:rPr>
          <w:lang w:val="fr-FR"/>
        </w:rPr>
        <w:t>nt.  Le</w:t>
      </w:r>
      <w:r w:rsidRPr="00394FD7">
        <w:rPr>
          <w:lang w:val="fr-FR"/>
        </w:rPr>
        <w:t>s offices de propriété intellectuelle qui publient des objets 3D sur papier publient des objets 3D déposés à l</w:t>
      </w:r>
      <w:r w:rsidR="00AC3127" w:rsidRPr="00394FD7">
        <w:rPr>
          <w:lang w:val="fr-FR"/>
        </w:rPr>
        <w:t>’</w:t>
      </w:r>
      <w:r w:rsidRPr="00394FD7">
        <w:rPr>
          <w:lang w:val="fr-FR"/>
        </w:rPr>
        <w:t>aide de représentations en 2D générées à partir de modèles 3D ou d</w:t>
      </w:r>
      <w:r w:rsidR="00AC3127" w:rsidRPr="00394FD7">
        <w:rPr>
          <w:lang w:val="fr-FR"/>
        </w:rPr>
        <w:t>’</w:t>
      </w:r>
      <w:r w:rsidRPr="00394FD7">
        <w:rPr>
          <w:lang w:val="fr-FR"/>
        </w:rPr>
        <w:t>images 3D sources pour tous les droits de propriété intellectuelle indiqués dans l</w:t>
      </w:r>
      <w:r w:rsidR="00AC3127" w:rsidRPr="00394FD7">
        <w:rPr>
          <w:lang w:val="fr-FR"/>
        </w:rPr>
        <w:t>’</w:t>
      </w:r>
      <w:r w:rsidRPr="00394FD7">
        <w:rPr>
          <w:lang w:val="fr-FR"/>
        </w:rPr>
        <w:t>enquête.</w:t>
      </w:r>
    </w:p>
    <w:p w14:paraId="155CC17B" w14:textId="344A3219" w:rsidR="00AC3127" w:rsidRPr="00394FD7" w:rsidRDefault="00DA7CC3" w:rsidP="00FD2CB1">
      <w:pPr>
        <w:pStyle w:val="ONUMFS"/>
        <w:rPr>
          <w:lang w:val="fr-FR"/>
        </w:rPr>
      </w:pPr>
      <w:r w:rsidRPr="00394FD7">
        <w:rPr>
          <w:lang w:val="fr-FR"/>
        </w:rPr>
        <w:t>Il est important de noter qu</w:t>
      </w:r>
      <w:r w:rsidR="00AC3127" w:rsidRPr="00394FD7">
        <w:rPr>
          <w:lang w:val="fr-FR"/>
        </w:rPr>
        <w:t>’</w:t>
      </w:r>
      <w:r w:rsidRPr="00394FD7">
        <w:rPr>
          <w:lang w:val="fr-FR"/>
        </w:rPr>
        <w:t>aucun office de propriété intellectuelle n</w:t>
      </w:r>
      <w:r w:rsidR="00AC3127" w:rsidRPr="00394FD7">
        <w:rPr>
          <w:lang w:val="fr-FR"/>
        </w:rPr>
        <w:t>’</w:t>
      </w:r>
      <w:r w:rsidRPr="00394FD7">
        <w:rPr>
          <w:lang w:val="fr-FR"/>
        </w:rPr>
        <w:t>utilise les formats 3D recommandés pour la topologie de circuit imprimé, que ce soit pour le dépôt ou pour la publication.</w:t>
      </w:r>
    </w:p>
    <w:p w14:paraId="0A0C7F30" w14:textId="01268CD6" w:rsidR="00AC3127" w:rsidRPr="00394FD7" w:rsidRDefault="00DA7CC3" w:rsidP="00FD2CB1">
      <w:pPr>
        <w:pStyle w:val="ONUMFS"/>
        <w:rPr>
          <w:lang w:val="fr-FR"/>
        </w:rPr>
      </w:pPr>
      <w:r w:rsidRPr="00394FD7">
        <w:rPr>
          <w:lang w:val="fr-FR"/>
        </w:rPr>
        <w:t>Au cours de l</w:t>
      </w:r>
      <w:r w:rsidR="00AC3127" w:rsidRPr="00394FD7">
        <w:rPr>
          <w:lang w:val="fr-FR"/>
        </w:rPr>
        <w:t>’</w:t>
      </w:r>
      <w:r w:rsidRPr="00394FD7">
        <w:rPr>
          <w:lang w:val="fr-FR"/>
        </w:rPr>
        <w:t>examen, la majorité des offices ayant répondu indiquent utiliser des représentations en 2D aux fins de la comparaison des modèles 3D et des images 3D plutôt que les images ou modèles 3D eux</w:t>
      </w:r>
      <w:r w:rsidR="00BF134B">
        <w:rPr>
          <w:lang w:val="fr-FR"/>
        </w:rPr>
        <w:noBreakHyphen/>
      </w:r>
      <w:r w:rsidRPr="00394FD7">
        <w:rPr>
          <w:lang w:val="fr-FR"/>
        </w:rPr>
        <w:t>mêmes.</w:t>
      </w:r>
    </w:p>
    <w:p w14:paraId="20768D41" w14:textId="2D11418D" w:rsidR="00DA7CC3" w:rsidRPr="00394FD7" w:rsidRDefault="00FD2CB1" w:rsidP="006436B2">
      <w:pPr>
        <w:pStyle w:val="Heading2"/>
        <w:rPr>
          <w:lang w:val="fr-FR"/>
        </w:rPr>
      </w:pPr>
      <w:r w:rsidRPr="00394FD7">
        <w:rPr>
          <w:lang w:val="fr-FR"/>
        </w:rPr>
        <w:lastRenderedPageBreak/>
        <w:t>Prochaines étapes</w:t>
      </w:r>
    </w:p>
    <w:p w14:paraId="7F15C596" w14:textId="0105C64D" w:rsidR="00DA7CC3" w:rsidRPr="00394FD7" w:rsidRDefault="00DA7CC3" w:rsidP="00FD2CB1">
      <w:pPr>
        <w:pStyle w:val="ONUMFS"/>
        <w:rPr>
          <w:szCs w:val="22"/>
          <w:lang w:val="fr-FR"/>
        </w:rPr>
      </w:pPr>
      <w:r w:rsidRPr="00394FD7">
        <w:rPr>
          <w:lang w:val="fr-FR"/>
        </w:rPr>
        <w:t>Compte tenu des résultats de l</w:t>
      </w:r>
      <w:r w:rsidR="00AC3127" w:rsidRPr="00394FD7">
        <w:rPr>
          <w:lang w:val="fr-FR"/>
        </w:rPr>
        <w:t>’</w:t>
      </w:r>
      <w:r w:rsidRPr="00394FD7">
        <w:rPr>
          <w:lang w:val="fr-FR"/>
        </w:rPr>
        <w:t>enquête ci</w:t>
      </w:r>
      <w:r w:rsidR="00BF134B">
        <w:rPr>
          <w:lang w:val="fr-FR"/>
        </w:rPr>
        <w:noBreakHyphen/>
      </w:r>
      <w:r w:rsidRPr="00394FD7">
        <w:rPr>
          <w:lang w:val="fr-FR"/>
        </w:rPr>
        <w:t>dessus qui révèlent que le nombre d</w:t>
      </w:r>
      <w:r w:rsidR="00AC3127" w:rsidRPr="00394FD7">
        <w:rPr>
          <w:lang w:val="fr-FR"/>
        </w:rPr>
        <w:t>’</w:t>
      </w:r>
      <w:r w:rsidRPr="00394FD7">
        <w:rPr>
          <w:lang w:val="fr-FR"/>
        </w:rPr>
        <w:t>offices qui prennent en charge le dépôt, l</w:t>
      </w:r>
      <w:r w:rsidR="00AC3127" w:rsidRPr="00394FD7">
        <w:rPr>
          <w:lang w:val="fr-FR"/>
        </w:rPr>
        <w:t>’</w:t>
      </w:r>
      <w:r w:rsidRPr="00394FD7">
        <w:rPr>
          <w:lang w:val="fr-FR"/>
        </w:rPr>
        <w:t>examen et la publication de modèles 3D dans des formats en 3D est relativement peu élevé, et que ceux qui prennent en charge l</w:t>
      </w:r>
      <w:r w:rsidR="00AC3127" w:rsidRPr="00394FD7">
        <w:rPr>
          <w:lang w:val="fr-FR"/>
        </w:rPr>
        <w:t>’</w:t>
      </w:r>
      <w:r w:rsidRPr="00394FD7">
        <w:rPr>
          <w:lang w:val="fr-FR"/>
        </w:rPr>
        <w:t>utilisation de formats en 3D ne se conforment pas à la norme ST.91 de l</w:t>
      </w:r>
      <w:r w:rsidR="00AC3127" w:rsidRPr="00394FD7">
        <w:rPr>
          <w:lang w:val="fr-FR"/>
        </w:rPr>
        <w:t>’</w:t>
      </w:r>
      <w:r w:rsidRPr="00394FD7">
        <w:rPr>
          <w:lang w:val="fr-FR"/>
        </w:rPr>
        <w:t>OMPI, pleinement ou partiellement, il n</w:t>
      </w:r>
      <w:r w:rsidR="00AC3127" w:rsidRPr="00394FD7">
        <w:rPr>
          <w:lang w:val="fr-FR"/>
        </w:rPr>
        <w:t>’</w:t>
      </w:r>
      <w:r w:rsidRPr="00394FD7">
        <w:rPr>
          <w:lang w:val="fr-FR"/>
        </w:rPr>
        <w:t>est pas nécessaire de procéder à une nouvelle révision de la norme ST.91 de l</w:t>
      </w:r>
      <w:r w:rsidR="00AC3127" w:rsidRPr="00394FD7">
        <w:rPr>
          <w:lang w:val="fr-FR"/>
        </w:rPr>
        <w:t>’</w:t>
      </w:r>
      <w:r w:rsidRPr="00394FD7">
        <w:rPr>
          <w:lang w:val="fr-FR"/>
        </w:rPr>
        <w:t>OMPI dans un proche aven</w:t>
      </w:r>
      <w:r w:rsidR="00394FD7" w:rsidRPr="00394FD7">
        <w:rPr>
          <w:lang w:val="fr-FR"/>
        </w:rPr>
        <w:t>ir.  Le</w:t>
      </w:r>
      <w:r w:rsidRPr="00394FD7">
        <w:rPr>
          <w:lang w:val="fr-FR"/>
        </w:rPr>
        <w:t xml:space="preserve"> responsable de l</w:t>
      </w:r>
      <w:r w:rsidR="00AC3127" w:rsidRPr="00394FD7">
        <w:rPr>
          <w:lang w:val="fr-FR"/>
        </w:rPr>
        <w:t>’</w:t>
      </w:r>
      <w:r w:rsidRPr="00394FD7">
        <w:rPr>
          <w:lang w:val="fr-FR"/>
        </w:rPr>
        <w:t>équipe d</w:t>
      </w:r>
      <w:r w:rsidR="00AC3127" w:rsidRPr="00394FD7">
        <w:rPr>
          <w:lang w:val="fr-FR"/>
        </w:rPr>
        <w:t>’</w:t>
      </w:r>
      <w:r w:rsidRPr="00394FD7">
        <w:rPr>
          <w:lang w:val="fr-FR"/>
        </w:rPr>
        <w:t>experts propose que les États membres participent aux activités de celle</w:t>
      </w:r>
      <w:r w:rsidR="00BF134B">
        <w:rPr>
          <w:lang w:val="fr-FR"/>
        </w:rPr>
        <w:noBreakHyphen/>
      </w:r>
      <w:r w:rsidRPr="00394FD7">
        <w:rPr>
          <w:lang w:val="fr-FR"/>
        </w:rPr>
        <w:t>ci et travaillent à la mise en œuvre de la norme.</w:t>
      </w:r>
    </w:p>
    <w:p w14:paraId="0149F692" w14:textId="73841DF4" w:rsidR="00DA7CC3" w:rsidRPr="00394FD7" w:rsidRDefault="00DA7CC3" w:rsidP="00FD2CB1">
      <w:pPr>
        <w:pStyle w:val="ONUMFS"/>
        <w:rPr>
          <w:szCs w:val="22"/>
          <w:lang w:val="fr-FR"/>
        </w:rPr>
      </w:pPr>
      <w:r w:rsidRPr="00394FD7">
        <w:rPr>
          <w:lang w:val="fr-FR"/>
        </w:rPr>
        <w:t>Afin de faciliter les discussions sur la recherche et la comparaison de représentations visuelles en 3D, le responsable de l</w:t>
      </w:r>
      <w:r w:rsidR="00AC3127" w:rsidRPr="00394FD7">
        <w:rPr>
          <w:lang w:val="fr-FR"/>
        </w:rPr>
        <w:t>’</w:t>
      </w:r>
      <w:r w:rsidRPr="00394FD7">
        <w:rPr>
          <w:lang w:val="fr-FR"/>
        </w:rPr>
        <w:t>équipe d</w:t>
      </w:r>
      <w:r w:rsidR="00AC3127" w:rsidRPr="00394FD7">
        <w:rPr>
          <w:lang w:val="fr-FR"/>
        </w:rPr>
        <w:t>’</w:t>
      </w:r>
      <w:r w:rsidRPr="00394FD7">
        <w:rPr>
          <w:lang w:val="fr-FR"/>
        </w:rPr>
        <w:t>experts prévoit de partager les méthodes et pratiques en matière de traitement de 3D à 3D avec les membres participant à l</w:t>
      </w:r>
      <w:r w:rsidR="00AC3127" w:rsidRPr="00394FD7">
        <w:rPr>
          <w:lang w:val="fr-FR"/>
        </w:rPr>
        <w:t>’</w:t>
      </w:r>
      <w:r w:rsidRPr="00394FD7">
        <w:rPr>
          <w:lang w:val="fr-FR"/>
        </w:rPr>
        <w:t>équipe d</w:t>
      </w:r>
      <w:r w:rsidR="00AC3127" w:rsidRPr="00394FD7">
        <w:rPr>
          <w:lang w:val="fr-FR"/>
        </w:rPr>
        <w:t>’</w:t>
      </w:r>
      <w:r w:rsidRPr="00394FD7">
        <w:rPr>
          <w:lang w:val="fr-FR"/>
        </w:rPr>
        <w:t>experts, de manière à effectuer un transfert de connaissances et à améliorer ainsi leurs capacités dans ce domai</w:t>
      </w:r>
      <w:r w:rsidR="00394FD7" w:rsidRPr="00394FD7">
        <w:rPr>
          <w:lang w:val="fr-FR"/>
        </w:rPr>
        <w:t>ne.  Po</w:t>
      </w:r>
      <w:r w:rsidRPr="00394FD7">
        <w:rPr>
          <w:lang w:val="fr-FR"/>
        </w:rPr>
        <w:t>ur atteindre cet objectif, le responsable de l</w:t>
      </w:r>
      <w:r w:rsidR="00AC3127" w:rsidRPr="00394FD7">
        <w:rPr>
          <w:lang w:val="fr-FR"/>
        </w:rPr>
        <w:t>’</w:t>
      </w:r>
      <w:r w:rsidRPr="00394FD7">
        <w:rPr>
          <w:lang w:val="fr-FR"/>
        </w:rPr>
        <w:t>équipe d</w:t>
      </w:r>
      <w:r w:rsidR="00AC3127" w:rsidRPr="00394FD7">
        <w:rPr>
          <w:lang w:val="fr-FR"/>
        </w:rPr>
        <w:t>’</w:t>
      </w:r>
      <w:r w:rsidRPr="00394FD7">
        <w:rPr>
          <w:lang w:val="fr-FR"/>
        </w:rPr>
        <w:t>experts propose que cette dernière organise une séance d</w:t>
      </w:r>
      <w:r w:rsidR="00AC3127" w:rsidRPr="00394FD7">
        <w:rPr>
          <w:lang w:val="fr-FR"/>
        </w:rPr>
        <w:t>’</w:t>
      </w:r>
      <w:r w:rsidRPr="00394FD7">
        <w:rPr>
          <w:lang w:val="fr-FR"/>
        </w:rPr>
        <w:t>information en 2025 afin de présenter ces pratiques et de recueillir les expériences des offices de propriété intellectuelle intéressés en matière d</w:t>
      </w:r>
      <w:r w:rsidR="00AC3127" w:rsidRPr="00394FD7">
        <w:rPr>
          <w:lang w:val="fr-FR"/>
        </w:rPr>
        <w:t>’</w:t>
      </w:r>
      <w:r w:rsidRPr="00394FD7">
        <w:rPr>
          <w:lang w:val="fr-FR"/>
        </w:rPr>
        <w:t>utilisation des formats 3D.</w:t>
      </w:r>
    </w:p>
    <w:p w14:paraId="0D84E1E2" w14:textId="547A65ED" w:rsidR="00DA7CC3" w:rsidRPr="00394FD7" w:rsidRDefault="00DA7CC3" w:rsidP="00FD2CB1">
      <w:pPr>
        <w:pStyle w:val="ONUMFS"/>
        <w:rPr>
          <w:lang w:val="fr-FR"/>
        </w:rPr>
      </w:pPr>
      <w:r w:rsidRPr="00394FD7">
        <w:rPr>
          <w:lang w:val="fr-FR"/>
        </w:rPr>
        <w:t>Si le CWS approuve le contenu de l</w:t>
      </w:r>
      <w:r w:rsidR="00AC3127" w:rsidRPr="00394FD7">
        <w:rPr>
          <w:lang w:val="fr-FR"/>
        </w:rPr>
        <w:t>’</w:t>
      </w:r>
      <w:r w:rsidRPr="00394FD7">
        <w:rPr>
          <w:lang w:val="fr-FR"/>
        </w:rPr>
        <w:t>analyse de l</w:t>
      </w:r>
      <w:r w:rsidR="00AC3127" w:rsidRPr="00394FD7">
        <w:rPr>
          <w:lang w:val="fr-FR"/>
        </w:rPr>
        <w:t>’</w:t>
      </w:r>
      <w:r w:rsidRPr="00394FD7">
        <w:rPr>
          <w:lang w:val="fr-FR"/>
        </w:rPr>
        <w:t>enquête présenté ci</w:t>
      </w:r>
      <w:r w:rsidR="00BF134B">
        <w:rPr>
          <w:lang w:val="fr-FR"/>
        </w:rPr>
        <w:noBreakHyphen/>
      </w:r>
      <w:r w:rsidRPr="00394FD7">
        <w:rPr>
          <w:lang w:val="fr-FR"/>
        </w:rPr>
        <w:t>dessus, il est proposé de publier l</w:t>
      </w:r>
      <w:r w:rsidR="00AC3127" w:rsidRPr="00394FD7">
        <w:rPr>
          <w:lang w:val="fr-FR"/>
        </w:rPr>
        <w:t>’</w:t>
      </w:r>
      <w:r w:rsidRPr="00394FD7">
        <w:rPr>
          <w:lang w:val="fr-FR"/>
        </w:rPr>
        <w:t>analyse conjointement avec les résultats de l</w:t>
      </w:r>
      <w:r w:rsidR="00AC3127" w:rsidRPr="00394FD7">
        <w:rPr>
          <w:lang w:val="fr-FR"/>
        </w:rPr>
        <w:t>’</w:t>
      </w:r>
      <w:r w:rsidRPr="00394FD7">
        <w:rPr>
          <w:lang w:val="fr-FR"/>
        </w:rPr>
        <w:t>enquête dans la partie 7 du Manuel de l</w:t>
      </w:r>
      <w:r w:rsidR="00AC3127" w:rsidRPr="00394FD7">
        <w:rPr>
          <w:lang w:val="fr-FR"/>
        </w:rPr>
        <w:t>’</w:t>
      </w:r>
      <w:r w:rsidRPr="00394FD7">
        <w:rPr>
          <w:lang w:val="fr-FR"/>
        </w:rPr>
        <w:t>OMPI.</w:t>
      </w:r>
    </w:p>
    <w:p w14:paraId="7DAEA249" w14:textId="78446A51" w:rsidR="00DA7CC3" w:rsidRPr="00394FD7" w:rsidRDefault="00DA7CC3" w:rsidP="00FD2CB1">
      <w:pPr>
        <w:pStyle w:val="ONUMFS"/>
        <w:ind w:left="5533"/>
        <w:rPr>
          <w:i/>
          <w:lang w:val="fr-FR"/>
        </w:rPr>
      </w:pPr>
      <w:r w:rsidRPr="00394FD7">
        <w:rPr>
          <w:i/>
          <w:lang w:val="fr-FR"/>
        </w:rPr>
        <w:t>Le CWS est invité</w:t>
      </w:r>
    </w:p>
    <w:p w14:paraId="5659BB90" w14:textId="77777777" w:rsidR="00AC3127" w:rsidRPr="00394FD7" w:rsidRDefault="00DA7CC3" w:rsidP="00FD2CB1">
      <w:pPr>
        <w:pStyle w:val="ONUMFS"/>
        <w:numPr>
          <w:ilvl w:val="1"/>
          <w:numId w:val="6"/>
        </w:numPr>
        <w:tabs>
          <w:tab w:val="left" w:pos="6804"/>
        </w:tabs>
        <w:ind w:left="5533" w:firstLine="704"/>
        <w:rPr>
          <w:i/>
          <w:lang w:val="fr-FR"/>
        </w:rPr>
      </w:pPr>
      <w:r w:rsidRPr="00394FD7">
        <w:rPr>
          <w:i/>
          <w:lang w:val="fr-FR"/>
        </w:rPr>
        <w:t>à prendre note du contenu du présent document,</w:t>
      </w:r>
    </w:p>
    <w:p w14:paraId="79B092D8" w14:textId="37D0011D" w:rsidR="00DA7CC3" w:rsidRPr="00394FD7" w:rsidRDefault="00DA7CC3" w:rsidP="00FD2CB1">
      <w:pPr>
        <w:pStyle w:val="ONUMFS"/>
        <w:numPr>
          <w:ilvl w:val="1"/>
          <w:numId w:val="6"/>
        </w:numPr>
        <w:tabs>
          <w:tab w:val="left" w:pos="6804"/>
        </w:tabs>
        <w:ind w:left="5533" w:firstLine="704"/>
        <w:rPr>
          <w:i/>
          <w:lang w:val="fr-FR"/>
        </w:rPr>
      </w:pPr>
      <w:r w:rsidRPr="00394FD7">
        <w:rPr>
          <w:i/>
          <w:lang w:val="fr-FR"/>
        </w:rPr>
        <w:t>à examiner et à approuver le contenu de l</w:t>
      </w:r>
      <w:r w:rsidR="00AC3127" w:rsidRPr="00394FD7">
        <w:rPr>
          <w:i/>
          <w:lang w:val="fr-FR"/>
        </w:rPr>
        <w:t>’</w:t>
      </w:r>
      <w:r w:rsidRPr="00394FD7">
        <w:rPr>
          <w:i/>
          <w:lang w:val="fr-FR"/>
        </w:rPr>
        <w:t>analyse de l</w:t>
      </w:r>
      <w:r w:rsidR="00AC3127" w:rsidRPr="00394FD7">
        <w:rPr>
          <w:i/>
          <w:lang w:val="fr-FR"/>
        </w:rPr>
        <w:t>’</w:t>
      </w:r>
      <w:r w:rsidRPr="00394FD7">
        <w:rPr>
          <w:i/>
          <w:lang w:val="fr-FR"/>
        </w:rPr>
        <w:t>enquête présenté aux paragraphes 5 à 12 ci</w:t>
      </w:r>
      <w:r w:rsidR="00BF134B">
        <w:rPr>
          <w:i/>
          <w:lang w:val="fr-FR"/>
        </w:rPr>
        <w:noBreakHyphen/>
      </w:r>
      <w:r w:rsidRPr="00394FD7">
        <w:rPr>
          <w:i/>
          <w:lang w:val="fr-FR"/>
        </w:rPr>
        <w:t>dessus et à approuver la publication de l</w:t>
      </w:r>
      <w:r w:rsidR="00AC3127" w:rsidRPr="00394FD7">
        <w:rPr>
          <w:i/>
          <w:lang w:val="fr-FR"/>
        </w:rPr>
        <w:t>’</w:t>
      </w:r>
      <w:r w:rsidRPr="00394FD7">
        <w:rPr>
          <w:i/>
          <w:lang w:val="fr-FR"/>
        </w:rPr>
        <w:t>analyse de l</w:t>
      </w:r>
      <w:r w:rsidR="00AC3127" w:rsidRPr="00394FD7">
        <w:rPr>
          <w:i/>
          <w:lang w:val="fr-FR"/>
        </w:rPr>
        <w:t>’</w:t>
      </w:r>
      <w:r w:rsidRPr="00394FD7">
        <w:rPr>
          <w:i/>
          <w:lang w:val="fr-FR"/>
        </w:rPr>
        <w:t>enquête conjointement avec les résultats de l</w:t>
      </w:r>
      <w:r w:rsidR="00AC3127" w:rsidRPr="00394FD7">
        <w:rPr>
          <w:i/>
          <w:lang w:val="fr-FR"/>
        </w:rPr>
        <w:t>’</w:t>
      </w:r>
      <w:r w:rsidRPr="00394FD7">
        <w:rPr>
          <w:i/>
          <w:lang w:val="fr-FR"/>
        </w:rPr>
        <w:t>enquête dans le Manuel de l</w:t>
      </w:r>
      <w:r w:rsidR="00AC3127" w:rsidRPr="00394FD7">
        <w:rPr>
          <w:i/>
          <w:lang w:val="fr-FR"/>
        </w:rPr>
        <w:t>’</w:t>
      </w:r>
      <w:r w:rsidRPr="00394FD7">
        <w:rPr>
          <w:i/>
          <w:lang w:val="fr-FR"/>
        </w:rPr>
        <w:t>OMPI et</w:t>
      </w:r>
    </w:p>
    <w:p w14:paraId="23CD2E72" w14:textId="217214ED" w:rsidR="00AC3127" w:rsidRPr="00394FD7" w:rsidRDefault="00DA7CC3" w:rsidP="00FD2CB1">
      <w:pPr>
        <w:pStyle w:val="ONUMFS"/>
        <w:numPr>
          <w:ilvl w:val="1"/>
          <w:numId w:val="6"/>
        </w:numPr>
        <w:tabs>
          <w:tab w:val="left" w:pos="6804"/>
        </w:tabs>
        <w:ind w:left="5533" w:firstLine="704"/>
        <w:rPr>
          <w:i/>
          <w:lang w:val="fr-FR"/>
        </w:rPr>
      </w:pPr>
      <w:r w:rsidRPr="00394FD7">
        <w:rPr>
          <w:i/>
          <w:lang w:val="fr-FR"/>
        </w:rPr>
        <w:t>à appuyer l</w:t>
      </w:r>
      <w:r w:rsidR="00AC3127" w:rsidRPr="00394FD7">
        <w:rPr>
          <w:i/>
          <w:lang w:val="fr-FR"/>
        </w:rPr>
        <w:t>’</w:t>
      </w:r>
      <w:r w:rsidRPr="00394FD7">
        <w:rPr>
          <w:i/>
          <w:lang w:val="fr-FR"/>
        </w:rPr>
        <w:t>organisation de la séance d</w:t>
      </w:r>
      <w:r w:rsidR="00AC3127" w:rsidRPr="00394FD7">
        <w:rPr>
          <w:i/>
          <w:lang w:val="fr-FR"/>
        </w:rPr>
        <w:t>’</w:t>
      </w:r>
      <w:r w:rsidRPr="00394FD7">
        <w:rPr>
          <w:i/>
          <w:lang w:val="fr-FR"/>
        </w:rPr>
        <w:t>information sur la 3D par l</w:t>
      </w:r>
      <w:r w:rsidR="00AC3127" w:rsidRPr="00394FD7">
        <w:rPr>
          <w:i/>
          <w:lang w:val="fr-FR"/>
        </w:rPr>
        <w:t>’</w:t>
      </w:r>
      <w:r w:rsidRPr="00394FD7">
        <w:rPr>
          <w:i/>
          <w:lang w:val="fr-FR"/>
        </w:rPr>
        <w:t>équipe d</w:t>
      </w:r>
      <w:r w:rsidR="00AC3127" w:rsidRPr="00394FD7">
        <w:rPr>
          <w:i/>
          <w:lang w:val="fr-FR"/>
        </w:rPr>
        <w:t>’</w:t>
      </w:r>
      <w:r w:rsidRPr="00394FD7">
        <w:rPr>
          <w:i/>
          <w:lang w:val="fr-FR"/>
        </w:rPr>
        <w:t>experts, comme indiqué au paragraphe 14 ci</w:t>
      </w:r>
      <w:r w:rsidR="00BF134B">
        <w:rPr>
          <w:i/>
          <w:lang w:val="fr-FR"/>
        </w:rPr>
        <w:noBreakHyphen/>
      </w:r>
      <w:r w:rsidRPr="00394FD7">
        <w:rPr>
          <w:i/>
          <w:lang w:val="fr-FR"/>
        </w:rPr>
        <w:t>dessus.</w:t>
      </w:r>
    </w:p>
    <w:p w14:paraId="7EB6CE0B" w14:textId="4B7D5FB3" w:rsidR="000F5E56" w:rsidRPr="00394FD7" w:rsidRDefault="00DA7CC3" w:rsidP="00FD2CB1">
      <w:pPr>
        <w:pStyle w:val="Endofdocument-Annex"/>
      </w:pPr>
      <w:r w:rsidRPr="00394FD7">
        <w:t>[Fin du document]</w:t>
      </w:r>
    </w:p>
    <w:sectPr w:rsidR="000F5E56" w:rsidRPr="00394FD7" w:rsidSect="00BD363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486EF" w14:textId="77777777" w:rsidR="00BD3632" w:rsidRDefault="00BD3632">
      <w:r>
        <w:separator/>
      </w:r>
    </w:p>
  </w:endnote>
  <w:endnote w:type="continuationSeparator" w:id="0">
    <w:p w14:paraId="640F38EA" w14:textId="77777777" w:rsidR="00BD3632" w:rsidRPr="009D30E6" w:rsidRDefault="00BD3632" w:rsidP="00D45252">
      <w:pPr>
        <w:rPr>
          <w:sz w:val="17"/>
          <w:szCs w:val="17"/>
        </w:rPr>
      </w:pPr>
      <w:r w:rsidRPr="009D30E6">
        <w:rPr>
          <w:sz w:val="17"/>
          <w:szCs w:val="17"/>
        </w:rPr>
        <w:separator/>
      </w:r>
    </w:p>
    <w:p w14:paraId="3707429F" w14:textId="77777777" w:rsidR="00BD3632" w:rsidRPr="009D30E6" w:rsidRDefault="00BD3632" w:rsidP="00D45252">
      <w:pPr>
        <w:spacing w:after="60"/>
        <w:rPr>
          <w:sz w:val="17"/>
          <w:szCs w:val="17"/>
        </w:rPr>
      </w:pPr>
      <w:r w:rsidRPr="009D30E6">
        <w:rPr>
          <w:sz w:val="17"/>
          <w:szCs w:val="17"/>
        </w:rPr>
        <w:t>[Suite de la note de la page précédente]</w:t>
      </w:r>
    </w:p>
  </w:endnote>
  <w:endnote w:type="continuationNotice" w:id="1">
    <w:p w14:paraId="38F60095" w14:textId="77777777" w:rsidR="00BD3632" w:rsidRPr="009D30E6" w:rsidRDefault="00BD363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8AA3" w14:textId="77777777" w:rsidR="00BD3632" w:rsidRDefault="00BD3632">
      <w:r>
        <w:separator/>
      </w:r>
    </w:p>
  </w:footnote>
  <w:footnote w:type="continuationSeparator" w:id="0">
    <w:p w14:paraId="2A842DC3" w14:textId="77777777" w:rsidR="00BD3632" w:rsidRDefault="00BD3632" w:rsidP="007461F1">
      <w:r>
        <w:separator/>
      </w:r>
    </w:p>
    <w:p w14:paraId="2BDC683C" w14:textId="77777777" w:rsidR="00BD3632" w:rsidRPr="009D30E6" w:rsidRDefault="00BD3632" w:rsidP="007461F1">
      <w:pPr>
        <w:spacing w:after="60"/>
        <w:rPr>
          <w:sz w:val="17"/>
          <w:szCs w:val="17"/>
        </w:rPr>
      </w:pPr>
      <w:r w:rsidRPr="009D30E6">
        <w:rPr>
          <w:sz w:val="17"/>
          <w:szCs w:val="17"/>
        </w:rPr>
        <w:t>[Suite de la note de la page précédente]</w:t>
      </w:r>
    </w:p>
  </w:footnote>
  <w:footnote w:type="continuationNotice" w:id="1">
    <w:p w14:paraId="6D8F8785" w14:textId="77777777" w:rsidR="00BD3632" w:rsidRPr="009D30E6" w:rsidRDefault="00BD363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AAC1" w14:textId="77777777" w:rsidR="00F16975" w:rsidRDefault="00BD3632" w:rsidP="00477D6B">
    <w:pPr>
      <w:jc w:val="right"/>
    </w:pPr>
    <w:bookmarkStart w:id="5" w:name="Code2"/>
    <w:bookmarkEnd w:id="5"/>
    <w:r>
      <w:t>CWS/12/26</w:t>
    </w:r>
  </w:p>
  <w:p w14:paraId="677A996F" w14:textId="68C4EA49" w:rsidR="004F4E31" w:rsidRDefault="00F16975" w:rsidP="00FD2CB1">
    <w:pPr>
      <w:spacing w:after="480"/>
      <w:jc w:val="right"/>
    </w:pPr>
    <w:r>
      <w:t>page</w:t>
    </w:r>
    <w:r w:rsidR="00FD2CB1">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3A62212"/>
    <w:multiLevelType w:val="hybridMultilevel"/>
    <w:tmpl w:val="BBA40D2A"/>
    <w:lvl w:ilvl="0" w:tplc="AD7ACAC6">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48192">
    <w:abstractNumId w:val="2"/>
  </w:num>
  <w:num w:numId="2" w16cid:durableId="1870607316">
    <w:abstractNumId w:val="5"/>
  </w:num>
  <w:num w:numId="3" w16cid:durableId="844322595">
    <w:abstractNumId w:val="0"/>
  </w:num>
  <w:num w:numId="4" w16cid:durableId="1456631763">
    <w:abstractNumId w:val="6"/>
  </w:num>
  <w:num w:numId="5" w16cid:durableId="628778745">
    <w:abstractNumId w:val="1"/>
  </w:num>
  <w:num w:numId="6" w16cid:durableId="670451745">
    <w:abstractNumId w:val="3"/>
  </w:num>
  <w:num w:numId="7" w16cid:durableId="185561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32"/>
    <w:rsid w:val="00011B7D"/>
    <w:rsid w:val="00075432"/>
    <w:rsid w:val="000F5E56"/>
    <w:rsid w:val="001352EC"/>
    <w:rsid w:val="001362EE"/>
    <w:rsid w:val="001832A6"/>
    <w:rsid w:val="00195C6E"/>
    <w:rsid w:val="00197881"/>
    <w:rsid w:val="001B266A"/>
    <w:rsid w:val="001D3D56"/>
    <w:rsid w:val="00240654"/>
    <w:rsid w:val="002634C4"/>
    <w:rsid w:val="002A386D"/>
    <w:rsid w:val="002B7559"/>
    <w:rsid w:val="002D4918"/>
    <w:rsid w:val="002E4D1A"/>
    <w:rsid w:val="002F16BC"/>
    <w:rsid w:val="002F4E68"/>
    <w:rsid w:val="00315FCA"/>
    <w:rsid w:val="003845C1"/>
    <w:rsid w:val="00394FD7"/>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436B2"/>
    <w:rsid w:val="00676936"/>
    <w:rsid w:val="006B0DB5"/>
    <w:rsid w:val="006E4243"/>
    <w:rsid w:val="007461F1"/>
    <w:rsid w:val="007D6961"/>
    <w:rsid w:val="007F07CB"/>
    <w:rsid w:val="00810CEF"/>
    <w:rsid w:val="0081208D"/>
    <w:rsid w:val="00822F98"/>
    <w:rsid w:val="008236DE"/>
    <w:rsid w:val="00842A13"/>
    <w:rsid w:val="008B2CC1"/>
    <w:rsid w:val="008E7930"/>
    <w:rsid w:val="0090731E"/>
    <w:rsid w:val="009221E5"/>
    <w:rsid w:val="00966A22"/>
    <w:rsid w:val="00974CD6"/>
    <w:rsid w:val="009D30E6"/>
    <w:rsid w:val="009D4B94"/>
    <w:rsid w:val="009E3F6F"/>
    <w:rsid w:val="009F499F"/>
    <w:rsid w:val="00A02BD3"/>
    <w:rsid w:val="00A16857"/>
    <w:rsid w:val="00AA1F20"/>
    <w:rsid w:val="00AB6AD2"/>
    <w:rsid w:val="00AC0AE4"/>
    <w:rsid w:val="00AC3127"/>
    <w:rsid w:val="00AD61DB"/>
    <w:rsid w:val="00B87BCF"/>
    <w:rsid w:val="00BA62D4"/>
    <w:rsid w:val="00BD3632"/>
    <w:rsid w:val="00BD7626"/>
    <w:rsid w:val="00BF134B"/>
    <w:rsid w:val="00C153FD"/>
    <w:rsid w:val="00C40E15"/>
    <w:rsid w:val="00C664C8"/>
    <w:rsid w:val="00C76A79"/>
    <w:rsid w:val="00CA15F5"/>
    <w:rsid w:val="00CF0460"/>
    <w:rsid w:val="00D45252"/>
    <w:rsid w:val="00D71B4D"/>
    <w:rsid w:val="00D75C1E"/>
    <w:rsid w:val="00D93D55"/>
    <w:rsid w:val="00DA7CC3"/>
    <w:rsid w:val="00DB0349"/>
    <w:rsid w:val="00DD6A16"/>
    <w:rsid w:val="00E0091A"/>
    <w:rsid w:val="00E203AA"/>
    <w:rsid w:val="00E527A5"/>
    <w:rsid w:val="00E76456"/>
    <w:rsid w:val="00ED6DB3"/>
    <w:rsid w:val="00EE71CB"/>
    <w:rsid w:val="00F16975"/>
    <w:rsid w:val="00F66152"/>
    <w:rsid w:val="00FD2CB1"/>
    <w:rsid w:val="00FF4371"/>
    <w:rsid w:val="00FF5FCF"/>
    <w:rsid w:val="00FF6F8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ABF47"/>
  <w15:docId w15:val="{9DD363D8-A3CE-4919-AEC2-94E90E57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D2CB1"/>
    <w:pPr>
      <w:spacing w:before="720"/>
      <w:ind w:left="5534" w:firstLine="46"/>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link w:val="BodyText"/>
    <w:rsid w:val="00DA7CC3"/>
    <w:rPr>
      <w:rFonts w:ascii="Arial" w:eastAsia="SimSun" w:hAnsi="Arial" w:cs="Arial"/>
      <w:sz w:val="22"/>
      <w:lang w:eastAsia="zh-CN"/>
    </w:rPr>
  </w:style>
  <w:style w:type="character" w:styleId="Hyperlink">
    <w:name w:val="Hyperlink"/>
    <w:uiPriority w:val="99"/>
    <w:unhideWhenUsed/>
    <w:rsid w:val="00DA7CC3"/>
    <w:rPr>
      <w:color w:val="0000FF"/>
      <w:u w:val="single"/>
    </w:rPr>
  </w:style>
  <w:style w:type="character" w:customStyle="1" w:styleId="Heading2Char">
    <w:name w:val="Heading 2 Char"/>
    <w:basedOn w:val="DefaultParagraphFont"/>
    <w:link w:val="Heading2"/>
    <w:rsid w:val="00DA7CC3"/>
    <w:rPr>
      <w:rFonts w:ascii="Arial" w:eastAsia="SimSun" w:hAnsi="Arial" w:cs="Arial"/>
      <w:bCs/>
      <w:iCs/>
      <w:caps/>
      <w:sz w:val="22"/>
      <w:szCs w:val="28"/>
      <w:lang w:eastAsia="zh-CN"/>
    </w:rPr>
  </w:style>
  <w:style w:type="table" w:styleId="TableGrid">
    <w:name w:val="Table Grid"/>
    <w:basedOn w:val="TableNormal"/>
    <w:rsid w:val="00DA7CC3"/>
    <w:rPr>
      <w:rFonts w:eastAsiaTheme="minorEastAsia"/>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7CC3"/>
    <w:pPr>
      <w:spacing w:before="100" w:beforeAutospacing="1" w:after="100" w:afterAutospacing="1"/>
    </w:pPr>
    <w:rPr>
      <w:rFonts w:ascii="Calibri" w:eastAsiaTheme="minorHAnsi" w:hAnsi="Calibri" w:cs="Calibri"/>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fr/part_07.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33</TotalTime>
  <Pages>3</Pages>
  <Words>1129</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CWS/12/26</vt:lpstr>
    </vt:vector>
  </TitlesOfParts>
  <Company>WIPO</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CWS/12/26</dc:title>
  <dc:creator>WIPO</dc:creator>
  <cp:keywords>Comité des normes de l’OMPI (CWS) Douzième session</cp:keywords>
  <cp:lastModifiedBy>BLANCHET Gaspard</cp:lastModifiedBy>
  <cp:revision>8</cp:revision>
  <cp:lastPrinted>2011-05-19T12:37:00Z</cp:lastPrinted>
  <dcterms:created xsi:type="dcterms:W3CDTF">2024-08-12T13:10:00Z</dcterms:created>
  <dcterms:modified xsi:type="dcterms:W3CDTF">2024-08-20T10:28:00Z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2024-08-12T13:34:37Z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79f98cbd-7f43-498e-82b9-2a945ccf6d40</vt:lpwstr>
  </property>
  <property fmtid="{D5CDD505-2E9C-101B-9397-08002B2CF9AE}" pid="14" name="MSIP_Label_20773ee6-353b-4fb9-a59d-0b94c8c67bea_ContentBits">
    <vt:lpwstr>0</vt:lpwstr>
  </property>
</Properties>
</file>