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0B29" w14:textId="77777777" w:rsidR="008B2CC1" w:rsidRPr="002719E1" w:rsidRDefault="00DB0349" w:rsidP="00874DD5">
      <w:pPr>
        <w:spacing w:after="120"/>
        <w:jc w:val="right"/>
        <w:rPr>
          <w:lang w:val="fr-FR"/>
        </w:rPr>
      </w:pPr>
      <w:r w:rsidRPr="002719E1">
        <w:rPr>
          <w:noProof/>
          <w:lang w:val="fr-FR" w:eastAsia="en-US"/>
        </w:rPr>
        <w:drawing>
          <wp:inline distT="0" distB="0" distL="0" distR="0" wp14:anchorId="1A7E45D3" wp14:editId="79496200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2719E1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0F419C9A" wp14:editId="63218A7F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CB12C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D8D2586" w14:textId="3EA5BDE3" w:rsidR="008B2CC1" w:rsidRPr="002719E1" w:rsidRDefault="00197881" w:rsidP="00874DD5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719E1">
        <w:rPr>
          <w:rFonts w:ascii="Arial Black" w:hAnsi="Arial Black"/>
          <w:caps/>
          <w:sz w:val="15"/>
          <w:szCs w:val="15"/>
          <w:lang w:val="fr-FR"/>
        </w:rPr>
        <w:t>CWS/1</w:t>
      </w:r>
      <w:r w:rsidR="001352EC" w:rsidRPr="002719E1">
        <w:rPr>
          <w:rFonts w:ascii="Arial Black" w:hAnsi="Arial Black"/>
          <w:caps/>
          <w:sz w:val="15"/>
          <w:szCs w:val="15"/>
          <w:lang w:val="fr-FR"/>
        </w:rPr>
        <w:t>2</w:t>
      </w:r>
      <w:r w:rsidRPr="002719E1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CF145F" w:rsidRPr="002719E1">
        <w:rPr>
          <w:rFonts w:ascii="Arial Black" w:hAnsi="Arial Black"/>
          <w:caps/>
          <w:sz w:val="15"/>
          <w:szCs w:val="15"/>
          <w:lang w:val="fr-FR"/>
        </w:rPr>
        <w:t>27</w:t>
      </w:r>
    </w:p>
    <w:p w14:paraId="7AE54271" w14:textId="563B4E76" w:rsidR="008B2CC1" w:rsidRPr="002719E1" w:rsidRDefault="00DB0349" w:rsidP="00874DD5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2719E1">
        <w:rPr>
          <w:rFonts w:ascii="Arial Black" w:hAnsi="Arial Black"/>
          <w:caps/>
          <w:sz w:val="15"/>
          <w:szCs w:val="15"/>
          <w:lang w:val="fr-FR"/>
        </w:rPr>
        <w:t>Original</w:t>
      </w:r>
      <w:r w:rsidR="004B64A6" w:rsidRPr="002719E1">
        <w:rPr>
          <w:rFonts w:ascii="Arial Black" w:hAnsi="Arial Black"/>
          <w:caps/>
          <w:sz w:val="15"/>
          <w:szCs w:val="15"/>
          <w:lang w:val="fr-FR"/>
        </w:rPr>
        <w:t> :</w:t>
      </w:r>
      <w:r w:rsidRPr="002719E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CF145F" w:rsidRPr="002719E1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4832F52B" w14:textId="2C565A46" w:rsidR="008B2CC1" w:rsidRPr="002719E1" w:rsidRDefault="00DB0349" w:rsidP="00874DD5">
      <w:pPr>
        <w:spacing w:after="1200"/>
        <w:jc w:val="right"/>
        <w:rPr>
          <w:rFonts w:ascii="Arial Black" w:hAnsi="Arial Black"/>
          <w:b/>
          <w:caps/>
          <w:sz w:val="15"/>
          <w:szCs w:val="15"/>
          <w:lang w:val="fr-FR"/>
        </w:rPr>
      </w:pPr>
      <w:r w:rsidRPr="002719E1">
        <w:rPr>
          <w:rFonts w:ascii="Arial Black" w:hAnsi="Arial Black"/>
          <w:caps/>
          <w:sz w:val="15"/>
          <w:szCs w:val="15"/>
          <w:lang w:val="fr-FR"/>
        </w:rPr>
        <w:t>date</w:t>
      </w:r>
      <w:r w:rsidR="004B64A6" w:rsidRPr="002719E1">
        <w:rPr>
          <w:rFonts w:ascii="Arial Black" w:hAnsi="Arial Black"/>
          <w:caps/>
          <w:sz w:val="15"/>
          <w:szCs w:val="15"/>
          <w:lang w:val="fr-FR"/>
        </w:rPr>
        <w:t> :</w:t>
      </w:r>
      <w:r w:rsidRPr="002719E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CF145F" w:rsidRPr="002719E1">
        <w:rPr>
          <w:rFonts w:ascii="Arial Black" w:hAnsi="Arial Black"/>
          <w:caps/>
          <w:sz w:val="15"/>
          <w:szCs w:val="15"/>
          <w:lang w:val="fr-FR"/>
        </w:rPr>
        <w:t>13 août 2024</w:t>
      </w:r>
    </w:p>
    <w:bookmarkEnd w:id="2"/>
    <w:p w14:paraId="65F43FDF" w14:textId="081B3C2D" w:rsidR="00C40E15" w:rsidRPr="002719E1" w:rsidRDefault="00197881" w:rsidP="00874DD5">
      <w:pPr>
        <w:spacing w:after="600"/>
        <w:rPr>
          <w:b/>
          <w:sz w:val="28"/>
          <w:szCs w:val="28"/>
          <w:lang w:val="fr-FR"/>
        </w:rPr>
      </w:pPr>
      <w:r w:rsidRPr="002719E1">
        <w:rPr>
          <w:b/>
          <w:sz w:val="28"/>
          <w:szCs w:val="28"/>
          <w:lang w:val="fr-FR"/>
        </w:rPr>
        <w:t>Comité des normes de l</w:t>
      </w:r>
      <w:r w:rsidR="004B64A6" w:rsidRPr="002719E1">
        <w:rPr>
          <w:b/>
          <w:sz w:val="28"/>
          <w:szCs w:val="28"/>
          <w:lang w:val="fr-FR"/>
        </w:rPr>
        <w:t>’</w:t>
      </w:r>
      <w:r w:rsidRPr="002719E1">
        <w:rPr>
          <w:b/>
          <w:sz w:val="28"/>
          <w:szCs w:val="28"/>
          <w:lang w:val="fr-FR"/>
        </w:rPr>
        <w:t>OMPI (CWS)</w:t>
      </w:r>
    </w:p>
    <w:p w14:paraId="66433244" w14:textId="2632F899" w:rsidR="008B2CC1" w:rsidRPr="002719E1" w:rsidRDefault="001352EC" w:rsidP="00874DD5">
      <w:pPr>
        <w:rPr>
          <w:b/>
          <w:sz w:val="28"/>
          <w:szCs w:val="24"/>
          <w:lang w:val="fr-FR"/>
        </w:rPr>
      </w:pPr>
      <w:r w:rsidRPr="002719E1">
        <w:rPr>
          <w:b/>
          <w:sz w:val="24"/>
          <w:lang w:val="fr-FR"/>
        </w:rPr>
        <w:t>Douz</w:t>
      </w:r>
      <w:r w:rsidR="004B64A6" w:rsidRPr="002719E1">
        <w:rPr>
          <w:b/>
          <w:sz w:val="24"/>
          <w:lang w:val="fr-FR"/>
        </w:rPr>
        <w:t>ième session</w:t>
      </w:r>
    </w:p>
    <w:p w14:paraId="3AEC35E4" w14:textId="409DAF1C" w:rsidR="008B2CC1" w:rsidRPr="002719E1" w:rsidRDefault="00197881" w:rsidP="00874DD5">
      <w:pPr>
        <w:spacing w:after="720"/>
        <w:rPr>
          <w:b/>
          <w:sz w:val="28"/>
          <w:szCs w:val="24"/>
          <w:lang w:val="fr-FR"/>
        </w:rPr>
      </w:pPr>
      <w:r w:rsidRPr="002719E1">
        <w:rPr>
          <w:b/>
          <w:sz w:val="24"/>
          <w:lang w:val="fr-FR"/>
        </w:rPr>
        <w:t>Genève,</w:t>
      </w:r>
      <w:r w:rsidR="001352EC" w:rsidRPr="002719E1">
        <w:rPr>
          <w:b/>
          <w:sz w:val="24"/>
          <w:lang w:val="fr-FR"/>
        </w:rPr>
        <w:t xml:space="preserve"> 16 – </w:t>
      </w:r>
      <w:r w:rsidR="00CF145F" w:rsidRPr="002719E1">
        <w:rPr>
          <w:b/>
          <w:sz w:val="24"/>
          <w:lang w:val="fr-FR"/>
        </w:rPr>
        <w:t>19 </w:t>
      </w:r>
      <w:r w:rsidR="001352EC" w:rsidRPr="002719E1">
        <w:rPr>
          <w:b/>
          <w:sz w:val="24"/>
          <w:lang w:val="fr-FR"/>
        </w:rPr>
        <w:t>septembre</w:t>
      </w:r>
      <w:r w:rsidR="00CF145F" w:rsidRPr="002719E1">
        <w:rPr>
          <w:b/>
          <w:sz w:val="24"/>
          <w:lang w:val="fr-FR"/>
        </w:rPr>
        <w:t> </w:t>
      </w:r>
      <w:r w:rsidR="001352EC" w:rsidRPr="002719E1">
        <w:rPr>
          <w:b/>
          <w:sz w:val="24"/>
          <w:lang w:val="fr-FR"/>
        </w:rPr>
        <w:t>2024</w:t>
      </w:r>
    </w:p>
    <w:p w14:paraId="59F45F49" w14:textId="0F29AAEA" w:rsidR="00CF145F" w:rsidRPr="002719E1" w:rsidRDefault="00CF145F" w:rsidP="00874DD5">
      <w:pPr>
        <w:spacing w:after="360"/>
        <w:rPr>
          <w:caps/>
          <w:sz w:val="24"/>
          <w:lang w:val="fr-FR"/>
        </w:rPr>
      </w:pPr>
      <w:bookmarkStart w:id="3" w:name="TitleOfDoc"/>
      <w:bookmarkStart w:id="4" w:name="Prepared"/>
      <w:r w:rsidRPr="002719E1">
        <w:rPr>
          <w:caps/>
          <w:sz w:val="24"/>
          <w:lang w:val="fr-FR"/>
        </w:rPr>
        <w:t>Recommandations du Corps commun d</w:t>
      </w:r>
      <w:r w:rsidR="004B64A6" w:rsidRPr="002719E1">
        <w:rPr>
          <w:caps/>
          <w:sz w:val="24"/>
          <w:lang w:val="fr-FR"/>
        </w:rPr>
        <w:t>’</w:t>
      </w:r>
      <w:r w:rsidRPr="002719E1">
        <w:rPr>
          <w:caps/>
          <w:sz w:val="24"/>
          <w:lang w:val="fr-FR"/>
        </w:rPr>
        <w:t xml:space="preserve">inspection concernant les applications de la chaîne de blocs dans le système des </w:t>
      </w:r>
      <w:r w:rsidR="004B64A6" w:rsidRPr="002719E1">
        <w:rPr>
          <w:caps/>
          <w:sz w:val="24"/>
          <w:lang w:val="fr-FR"/>
        </w:rPr>
        <w:t>Nations Unies</w:t>
      </w:r>
    </w:p>
    <w:bookmarkEnd w:id="3"/>
    <w:p w14:paraId="27BCDF0B" w14:textId="3E29515D" w:rsidR="00525B63" w:rsidRPr="002719E1" w:rsidRDefault="00CF145F" w:rsidP="00874DD5">
      <w:pPr>
        <w:spacing w:after="960"/>
        <w:rPr>
          <w:i/>
          <w:lang w:val="fr-FR"/>
        </w:rPr>
      </w:pPr>
      <w:r w:rsidRPr="002719E1">
        <w:rPr>
          <w:i/>
          <w:lang w:val="fr-FR"/>
        </w:rPr>
        <w:t>Document établi par le Bureau international</w:t>
      </w:r>
    </w:p>
    <w:bookmarkEnd w:id="4"/>
    <w:p w14:paraId="041A99FA" w14:textId="0A6ECBA5" w:rsidR="00CF145F" w:rsidRPr="002719E1" w:rsidRDefault="00BB4FBC" w:rsidP="00874DD5">
      <w:pPr>
        <w:pStyle w:val="Heading2"/>
        <w:rPr>
          <w:lang w:val="fr-FR"/>
        </w:rPr>
      </w:pPr>
      <w:r w:rsidRPr="002719E1">
        <w:rPr>
          <w:lang w:val="fr-FR"/>
        </w:rPr>
        <w:t>Résumé</w:t>
      </w:r>
    </w:p>
    <w:p w14:paraId="20097445" w14:textId="0CD7F6BD" w:rsidR="004B64A6" w:rsidRPr="002719E1" w:rsidRDefault="00CF145F" w:rsidP="00874DD5">
      <w:pPr>
        <w:pStyle w:val="ONUMFS"/>
        <w:rPr>
          <w:lang w:val="fr-FR"/>
        </w:rPr>
      </w:pPr>
      <w:r w:rsidRPr="002719E1">
        <w:rPr>
          <w:lang w:val="fr-FR"/>
        </w:rPr>
        <w:t>Le présent document décrit les recommandations du Corps commun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 xml:space="preserve">inspection (CCI) concernant les applications de la chaîne de blocs dans le système des </w:t>
      </w:r>
      <w:r w:rsidR="004B64A6" w:rsidRPr="002719E1">
        <w:rPr>
          <w:lang w:val="fr-FR"/>
        </w:rPr>
        <w:t>Nations Uni</w:t>
      </w:r>
      <w:r w:rsidR="002719E1" w:rsidRPr="002719E1">
        <w:rPr>
          <w:lang w:val="fr-FR"/>
        </w:rPr>
        <w:t>es.  Le</w:t>
      </w:r>
      <w:r w:rsidRPr="002719E1">
        <w:rPr>
          <w:lang w:val="fr-FR"/>
        </w:rPr>
        <w:t xml:space="preserve"> Bureau international fait part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état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avancement de la mise en œuvre de ces recommandations et invite le Comité des normes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OMPI (CWS) à encourager les offices de propriété intellectuelle à prendre en considération la “recommandation n° 6” et à la mettre en œuvre, le cas échéant.</w:t>
      </w:r>
    </w:p>
    <w:p w14:paraId="6E7939E7" w14:textId="596558B8" w:rsidR="00CF145F" w:rsidRPr="002719E1" w:rsidRDefault="00CF145F" w:rsidP="00874DD5">
      <w:pPr>
        <w:pStyle w:val="Heading2"/>
        <w:rPr>
          <w:lang w:val="fr-FR"/>
        </w:rPr>
      </w:pPr>
      <w:r w:rsidRPr="002719E1">
        <w:rPr>
          <w:lang w:val="fr-FR"/>
        </w:rPr>
        <w:t>Rappel</w:t>
      </w:r>
    </w:p>
    <w:p w14:paraId="0F50D68A" w14:textId="0274B251" w:rsidR="004B64A6" w:rsidRPr="002719E1" w:rsidRDefault="004B64A6" w:rsidP="00874DD5">
      <w:pPr>
        <w:pStyle w:val="ONUMFS"/>
        <w:rPr>
          <w:lang w:val="fr-FR"/>
        </w:rPr>
      </w:pPr>
      <w:r w:rsidRPr="002719E1">
        <w:rPr>
          <w:lang w:val="fr-FR"/>
        </w:rPr>
        <w:t>En 2020</w:t>
      </w:r>
      <w:r w:rsidR="00CF145F" w:rsidRPr="002719E1">
        <w:rPr>
          <w:lang w:val="fr-FR"/>
        </w:rPr>
        <w:t>,</w:t>
      </w:r>
      <w:r w:rsidRPr="002719E1">
        <w:rPr>
          <w:lang w:val="fr-FR"/>
        </w:rPr>
        <w:t xml:space="preserve"> le CCI</w:t>
      </w:r>
      <w:r w:rsidR="00CF145F" w:rsidRPr="002719E1">
        <w:rPr>
          <w:lang w:val="fr-FR"/>
        </w:rPr>
        <w:t xml:space="preserve"> a publié son rapport intitulé “</w:t>
      </w:r>
      <w:hyperlink r:id="rId8" w:tgtFrame="_blank" w:history="1">
        <w:r w:rsidR="00CF145F" w:rsidRPr="002719E1">
          <w:rPr>
            <w:rStyle w:val="Hyperlink"/>
            <w:lang w:val="fr-FR"/>
          </w:rPr>
          <w:t xml:space="preserve">Les applications de la chaîne de blocs dans le système des </w:t>
        </w:r>
        <w:r w:rsidRPr="002719E1">
          <w:rPr>
            <w:rStyle w:val="Hyperlink"/>
            <w:lang w:val="fr-FR"/>
          </w:rPr>
          <w:t>Nations Unies</w:t>
        </w:r>
        <w:r w:rsidR="00CE453B">
          <w:rPr>
            <w:rStyle w:val="Hyperlink"/>
            <w:lang w:val="fr-FR"/>
          </w:rPr>
          <w:t> </w:t>
        </w:r>
        <w:r w:rsidR="002719E1" w:rsidRPr="002719E1">
          <w:rPr>
            <w:rStyle w:val="Hyperlink"/>
            <w:lang w:val="fr-FR"/>
          </w:rPr>
          <w:t>:</w:t>
        </w:r>
        <w:r w:rsidR="00CF145F" w:rsidRPr="002719E1">
          <w:rPr>
            <w:rStyle w:val="Hyperlink"/>
            <w:lang w:val="fr-FR"/>
          </w:rPr>
          <w:t xml:space="preserve"> préparer leur arrivée</w:t>
        </w:r>
      </w:hyperlink>
      <w:r w:rsidR="00CF145F" w:rsidRPr="002719E1">
        <w:rPr>
          <w:lang w:val="fr-FR"/>
        </w:rPr>
        <w:t xml:space="preserve">”. </w:t>
      </w:r>
      <w:r w:rsidRPr="002719E1">
        <w:rPr>
          <w:lang w:val="fr-FR"/>
        </w:rPr>
        <w:t xml:space="preserve"> Le CCI</w:t>
      </w:r>
      <w:r w:rsidR="00CF145F" w:rsidRPr="002719E1">
        <w:rPr>
          <w:lang w:val="fr-FR"/>
        </w:rPr>
        <w:t xml:space="preserve"> indique que “[l</w:t>
      </w:r>
      <w:r w:rsidR="00CF145F" w:rsidRPr="00CE453B">
        <w:rPr>
          <w:iCs/>
          <w:lang w:val="fr-FR"/>
        </w:rPr>
        <w:t>]</w:t>
      </w:r>
      <w:r w:rsidR="00CF145F" w:rsidRPr="002719E1">
        <w:rPr>
          <w:i/>
          <w:lang w:val="fr-FR"/>
        </w:rPr>
        <w:t>e rapport a également pour objet de contribuer aux efforts collectifs engagés dans le cadre des récentes stratégies globales sur les nouvelles technologies et l</w:t>
      </w:r>
      <w:r w:rsidRPr="002719E1">
        <w:rPr>
          <w:i/>
          <w:lang w:val="fr-FR"/>
        </w:rPr>
        <w:t>’</w:t>
      </w:r>
      <w:r w:rsidR="00CF145F" w:rsidRPr="002719E1">
        <w:rPr>
          <w:i/>
          <w:lang w:val="fr-FR"/>
        </w:rPr>
        <w:t>avenir du travail, qui abordent la question de l</w:t>
      </w:r>
      <w:r w:rsidRPr="002719E1">
        <w:rPr>
          <w:i/>
          <w:lang w:val="fr-FR"/>
        </w:rPr>
        <w:t>’</w:t>
      </w:r>
      <w:r w:rsidR="00CF145F" w:rsidRPr="002719E1">
        <w:rPr>
          <w:i/>
          <w:lang w:val="fr-FR"/>
        </w:rPr>
        <w:t>innovation et de l</w:t>
      </w:r>
      <w:r w:rsidRPr="002719E1">
        <w:rPr>
          <w:i/>
          <w:lang w:val="fr-FR"/>
        </w:rPr>
        <w:t>’</w:t>
      </w:r>
      <w:r w:rsidR="00CF145F" w:rsidRPr="002719E1">
        <w:rPr>
          <w:i/>
          <w:lang w:val="fr-FR"/>
        </w:rPr>
        <w:t xml:space="preserve">utilisation des technologies numériques par les entités des </w:t>
      </w:r>
      <w:r w:rsidRPr="002719E1">
        <w:rPr>
          <w:i/>
          <w:lang w:val="fr-FR"/>
        </w:rPr>
        <w:t>Nations Unies</w:t>
      </w:r>
      <w:r w:rsidR="00CF145F" w:rsidRPr="002719E1">
        <w:rPr>
          <w:i/>
          <w:lang w:val="fr-FR"/>
        </w:rPr>
        <w:t xml:space="preserve"> dans une approche orientée vers l</w:t>
      </w:r>
      <w:r w:rsidRPr="002719E1">
        <w:rPr>
          <w:i/>
          <w:lang w:val="fr-FR"/>
        </w:rPr>
        <w:t>’</w:t>
      </w:r>
      <w:r w:rsidR="00CF145F" w:rsidRPr="002719E1">
        <w:rPr>
          <w:i/>
          <w:lang w:val="fr-FR"/>
        </w:rPr>
        <w:t>action</w:t>
      </w:r>
      <w:r w:rsidR="00CF145F" w:rsidRPr="002719E1">
        <w:rPr>
          <w:lang w:val="fr-FR"/>
        </w:rPr>
        <w:t>”</w:t>
      </w:r>
      <w:r w:rsidR="002719E1" w:rsidRPr="002719E1">
        <w:rPr>
          <w:lang w:val="fr-FR"/>
        </w:rPr>
        <w:t>.</w:t>
      </w:r>
      <w:r w:rsidR="00730501" w:rsidRPr="002719E1">
        <w:rPr>
          <w:lang w:val="fr-FR"/>
        </w:rPr>
        <w:t xml:space="preserve"> </w:t>
      </w:r>
      <w:r w:rsidR="00CF145F" w:rsidRPr="002719E1">
        <w:rPr>
          <w:lang w:val="fr-FR"/>
        </w:rPr>
        <w:t xml:space="preserve"> Le rapport comprend huit</w:t>
      </w:r>
      <w:r w:rsidR="00730501" w:rsidRPr="002719E1">
        <w:rPr>
          <w:lang w:val="fr-FR"/>
        </w:rPr>
        <w:t> </w:t>
      </w:r>
      <w:r w:rsidR="00CF145F" w:rsidRPr="002719E1">
        <w:rPr>
          <w:lang w:val="fr-FR"/>
        </w:rPr>
        <w:t>recommandations formelles adressées aux organismes participants du système des Nations</w:t>
      </w:r>
      <w:r w:rsidR="00730501" w:rsidRPr="002719E1">
        <w:rPr>
          <w:lang w:val="fr-FR"/>
        </w:rPr>
        <w:t> Unies</w:t>
      </w:r>
      <w:r w:rsidR="00CF145F" w:rsidRPr="002719E1">
        <w:rPr>
          <w:lang w:val="fr-FR"/>
        </w:rPr>
        <w:t>, dans lesquelles</w:t>
      </w:r>
      <w:r w:rsidRPr="002719E1">
        <w:rPr>
          <w:lang w:val="fr-FR"/>
        </w:rPr>
        <w:t xml:space="preserve"> le CCI</w:t>
      </w:r>
      <w:r w:rsidR="00CF145F" w:rsidRPr="002719E1">
        <w:rPr>
          <w:lang w:val="fr-FR"/>
        </w:rPr>
        <w:t xml:space="preserve"> propose des orientations sur la manière d</w:t>
      </w:r>
      <w:r w:rsidRPr="002719E1">
        <w:rPr>
          <w:lang w:val="fr-FR"/>
        </w:rPr>
        <w:t>’</w:t>
      </w:r>
      <w:r w:rsidR="00CF145F" w:rsidRPr="002719E1">
        <w:rPr>
          <w:lang w:val="fr-FR"/>
        </w:rPr>
        <w:t>intégrer l</w:t>
      </w:r>
      <w:r w:rsidRPr="002719E1">
        <w:rPr>
          <w:lang w:val="fr-FR"/>
        </w:rPr>
        <w:t>’</w:t>
      </w:r>
      <w:r w:rsidR="00CF145F" w:rsidRPr="002719E1">
        <w:rPr>
          <w:lang w:val="fr-FR"/>
        </w:rPr>
        <w:t>utilisation de la chaîne de blocs dans les stratégies et politiques globales d</w:t>
      </w:r>
      <w:r w:rsidRPr="002719E1">
        <w:rPr>
          <w:lang w:val="fr-FR"/>
        </w:rPr>
        <w:t>’</w:t>
      </w:r>
      <w:r w:rsidR="00CF145F" w:rsidRPr="002719E1">
        <w:rPr>
          <w:lang w:val="fr-FR"/>
        </w:rPr>
        <w:t>innovation, sur la manière d</w:t>
      </w:r>
      <w:r w:rsidRPr="002719E1">
        <w:rPr>
          <w:lang w:val="fr-FR"/>
        </w:rPr>
        <w:t>’</w:t>
      </w:r>
      <w:r w:rsidR="00CF145F" w:rsidRPr="002719E1">
        <w:rPr>
          <w:lang w:val="fr-FR"/>
        </w:rPr>
        <w:t>appuyer le partage des connaissances et le renforcement des capacités, et sur la gestion des risques.</w:t>
      </w:r>
    </w:p>
    <w:p w14:paraId="4F9BE371" w14:textId="79A095F5" w:rsidR="00CF145F" w:rsidRPr="002719E1" w:rsidRDefault="00CF145F" w:rsidP="00874DD5">
      <w:pPr>
        <w:pStyle w:val="Heading2"/>
        <w:rPr>
          <w:lang w:val="fr-FR"/>
        </w:rPr>
      </w:pPr>
      <w:r w:rsidRPr="002719E1">
        <w:rPr>
          <w:lang w:val="fr-FR"/>
        </w:rPr>
        <w:lastRenderedPageBreak/>
        <w:t>Pertinence des recommandations pour les activités menées par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OMPI</w:t>
      </w:r>
    </w:p>
    <w:p w14:paraId="2A7133AE" w14:textId="57975762" w:rsidR="00CF145F" w:rsidRPr="002719E1" w:rsidRDefault="00CF145F" w:rsidP="00CE453B">
      <w:pPr>
        <w:pStyle w:val="ONUMFS"/>
        <w:keepLines/>
        <w:rPr>
          <w:lang w:val="fr-FR"/>
        </w:rPr>
      </w:pPr>
      <w:r w:rsidRPr="002719E1">
        <w:rPr>
          <w:lang w:val="fr-FR"/>
        </w:rPr>
        <w:t>Le Bureau international a considéré que les cinq</w:t>
      </w:r>
      <w:r w:rsidR="00730501" w:rsidRPr="002719E1">
        <w:rPr>
          <w:lang w:val="fr-FR"/>
        </w:rPr>
        <w:t> </w:t>
      </w:r>
      <w:r w:rsidRPr="002719E1">
        <w:rPr>
          <w:lang w:val="fr-FR"/>
        </w:rPr>
        <w:t>recommandations suivantes (n</w:t>
      </w:r>
      <w:r w:rsidR="00BB4FBC" w:rsidRPr="002719E1">
        <w:rPr>
          <w:vertAlign w:val="superscript"/>
          <w:lang w:val="fr-FR"/>
        </w:rPr>
        <w:t>os</w:t>
      </w:r>
      <w:r w:rsidR="00BB4FBC" w:rsidRPr="002719E1">
        <w:rPr>
          <w:lang w:val="fr-FR"/>
        </w:rPr>
        <w:t> </w:t>
      </w:r>
      <w:r w:rsidRPr="002719E1">
        <w:rPr>
          <w:lang w:val="fr-FR"/>
        </w:rPr>
        <w:t>1, 2, 3, 4 et</w:t>
      </w:r>
      <w:r w:rsidR="00BB4FBC" w:rsidRPr="002719E1">
        <w:rPr>
          <w:lang w:val="fr-FR"/>
        </w:rPr>
        <w:t> </w:t>
      </w:r>
      <w:r w:rsidRPr="002719E1">
        <w:rPr>
          <w:lang w:val="fr-FR"/>
        </w:rPr>
        <w:t>6) étaient pertinentes dans le cadre de son action et a pris certaines mesures pour les mettre en œuv</w:t>
      </w:r>
      <w:r w:rsidR="002719E1" w:rsidRPr="002719E1">
        <w:rPr>
          <w:lang w:val="fr-FR"/>
        </w:rPr>
        <w:t>re.  Le</w:t>
      </w:r>
      <w:r w:rsidRPr="002719E1">
        <w:rPr>
          <w:lang w:val="fr-FR"/>
        </w:rPr>
        <w:t xml:space="preserve"> Bureau international a communiqué</w:t>
      </w:r>
      <w:r w:rsidR="004B64A6" w:rsidRPr="002719E1">
        <w:rPr>
          <w:lang w:val="fr-FR"/>
        </w:rPr>
        <w:t xml:space="preserve"> au CCI</w:t>
      </w:r>
      <w:r w:rsidRPr="002719E1">
        <w:rPr>
          <w:lang w:val="fr-FR"/>
        </w:rPr>
        <w:t xml:space="preserve">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état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avancement de la mise en œuvre de ces recommandations.</w:t>
      </w:r>
    </w:p>
    <w:p w14:paraId="32532D77" w14:textId="76B9CBAB" w:rsidR="004B64A6" w:rsidRPr="002719E1" w:rsidRDefault="00CF145F" w:rsidP="00874DD5">
      <w:pPr>
        <w:pStyle w:val="ONUMFS"/>
        <w:rPr>
          <w:lang w:val="fr-FR"/>
        </w:rPr>
      </w:pPr>
      <w:r w:rsidRPr="002719E1">
        <w:rPr>
          <w:lang w:val="fr-FR"/>
        </w:rPr>
        <w:t>À sa six</w:t>
      </w:r>
      <w:r w:rsidR="004B64A6" w:rsidRPr="002719E1">
        <w:rPr>
          <w:lang w:val="fr-FR"/>
        </w:rPr>
        <w:t>ième session</w:t>
      </w:r>
      <w:r w:rsidRPr="002719E1">
        <w:rPr>
          <w:lang w:val="fr-FR"/>
        </w:rPr>
        <w:t xml:space="preserve"> </w:t>
      </w:r>
      <w:r w:rsidR="004B64A6" w:rsidRPr="002719E1">
        <w:rPr>
          <w:lang w:val="fr-FR"/>
        </w:rPr>
        <w:t>en 2019</w:t>
      </w:r>
      <w:r w:rsidRPr="002719E1">
        <w:rPr>
          <w:lang w:val="fr-FR"/>
        </w:rPr>
        <w:t>,</w:t>
      </w:r>
      <w:r w:rsidR="004B64A6" w:rsidRPr="002719E1">
        <w:rPr>
          <w:lang w:val="fr-FR"/>
        </w:rPr>
        <w:t xml:space="preserve"> le CWS</w:t>
      </w:r>
      <w:r w:rsidRPr="002719E1">
        <w:rPr>
          <w:lang w:val="fr-FR"/>
        </w:rPr>
        <w:t xml:space="preserve"> a créé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Équipe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experts chargée de la chaîne de blocs afin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examiner la possibilité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utiliser les chaînes de bloc dans les procédures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octroi de la protection des droits de propriété intellectuelle et de traitement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information concernant les objets de propriété intellectuelle et leur utilisati</w:t>
      </w:r>
      <w:r w:rsidR="002719E1" w:rsidRPr="002719E1">
        <w:rPr>
          <w:lang w:val="fr-FR"/>
        </w:rPr>
        <w:t>on.  Le</w:t>
      </w:r>
      <w:r w:rsidRPr="002719E1">
        <w:rPr>
          <w:lang w:val="fr-FR"/>
        </w:rPr>
        <w:t xml:space="preserve"> Bureau international a communiqué à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Équipe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experts les recommandations</w:t>
      </w:r>
      <w:r w:rsidR="004B64A6" w:rsidRPr="002719E1">
        <w:rPr>
          <w:lang w:val="fr-FR"/>
        </w:rPr>
        <w:t xml:space="preserve"> du CCI</w:t>
      </w:r>
      <w:r w:rsidRPr="002719E1">
        <w:rPr>
          <w:lang w:val="fr-FR"/>
        </w:rPr>
        <w:t>, en particulier la recommandation n° 6</w:t>
      </w:r>
      <w:r w:rsidR="004B64A6" w:rsidRPr="002719E1">
        <w:rPr>
          <w:lang w:val="fr-FR"/>
        </w:rPr>
        <w:t> :</w:t>
      </w:r>
    </w:p>
    <w:p w14:paraId="63A28A00" w14:textId="64003C44" w:rsidR="00CF145F" w:rsidRPr="002719E1" w:rsidRDefault="00CF145F" w:rsidP="00874DD5">
      <w:pPr>
        <w:pStyle w:val="ONUMFS"/>
        <w:numPr>
          <w:ilvl w:val="0"/>
          <w:numId w:val="0"/>
        </w:numPr>
        <w:ind w:left="567"/>
        <w:rPr>
          <w:i/>
          <w:iCs/>
          <w:u w:val="single"/>
          <w:lang w:val="fr-FR"/>
        </w:rPr>
      </w:pPr>
      <w:r w:rsidRPr="002719E1">
        <w:rPr>
          <w:i/>
          <w:u w:val="single"/>
          <w:lang w:val="fr-FR"/>
        </w:rPr>
        <w:t>Recommandation n°</w:t>
      </w:r>
      <w:r w:rsidR="00730501" w:rsidRPr="002719E1">
        <w:rPr>
          <w:i/>
          <w:u w:val="single"/>
          <w:lang w:val="fr-FR"/>
        </w:rPr>
        <w:t> </w:t>
      </w:r>
      <w:r w:rsidRPr="002719E1">
        <w:rPr>
          <w:i/>
          <w:u w:val="single"/>
          <w:lang w:val="fr-FR"/>
        </w:rPr>
        <w:t>6</w:t>
      </w:r>
    </w:p>
    <w:p w14:paraId="6D9512B1" w14:textId="222C9F9A" w:rsidR="00CF145F" w:rsidRPr="002719E1" w:rsidRDefault="00CF145F" w:rsidP="00874DD5">
      <w:pPr>
        <w:pStyle w:val="ONUMFS"/>
        <w:numPr>
          <w:ilvl w:val="0"/>
          <w:numId w:val="0"/>
        </w:numPr>
        <w:ind w:left="567"/>
        <w:rPr>
          <w:i/>
          <w:iCs/>
          <w:lang w:val="fr-FR"/>
        </w:rPr>
      </w:pPr>
      <w:r w:rsidRPr="002719E1">
        <w:rPr>
          <w:i/>
          <w:lang w:val="fr-FR"/>
        </w:rPr>
        <w:t xml:space="preserve">Les organes directeurs des entités des </w:t>
      </w:r>
      <w:r w:rsidR="004B64A6" w:rsidRPr="002719E1">
        <w:rPr>
          <w:i/>
          <w:lang w:val="fr-FR"/>
        </w:rPr>
        <w:t>Nations Unies</w:t>
      </w:r>
      <w:r w:rsidRPr="002719E1">
        <w:rPr>
          <w:i/>
          <w:lang w:val="fr-FR"/>
        </w:rPr>
        <w:t xml:space="preserve"> devraient encourager les États membres à collaborer avec la Commission des </w:t>
      </w:r>
      <w:r w:rsidR="004B64A6" w:rsidRPr="002719E1">
        <w:rPr>
          <w:i/>
          <w:lang w:val="fr-FR"/>
        </w:rPr>
        <w:t>Nations Unies</w:t>
      </w:r>
      <w:r w:rsidRPr="002719E1">
        <w:rPr>
          <w:i/>
          <w:lang w:val="fr-FR"/>
        </w:rPr>
        <w:t xml:space="preserve"> pour le droit commercial international dans ses travaux préliminaires et préparatoires sur les questions juridiques qui ont trait à la chaîne de blocs dans le contexte plus large de l</w:t>
      </w:r>
      <w:r w:rsidR="004B64A6" w:rsidRPr="002719E1">
        <w:rPr>
          <w:i/>
          <w:lang w:val="fr-FR"/>
        </w:rPr>
        <w:t>’</w:t>
      </w:r>
      <w:r w:rsidRPr="002719E1">
        <w:rPr>
          <w:i/>
          <w:lang w:val="fr-FR"/>
        </w:rPr>
        <w:t xml:space="preserve">économie numérique et du commerce numérique, </w:t>
      </w:r>
      <w:r w:rsidR="004B64A6" w:rsidRPr="002719E1">
        <w:rPr>
          <w:i/>
          <w:lang w:val="fr-FR"/>
        </w:rPr>
        <w:t>y compris</w:t>
      </w:r>
      <w:r w:rsidRPr="002719E1">
        <w:rPr>
          <w:i/>
          <w:lang w:val="fr-FR"/>
        </w:rPr>
        <w:t xml:space="preserve"> sur le règlement des différends, qui visent à réduire l</w:t>
      </w:r>
      <w:r w:rsidR="004B64A6" w:rsidRPr="002719E1">
        <w:rPr>
          <w:i/>
          <w:lang w:val="fr-FR"/>
        </w:rPr>
        <w:t>’</w:t>
      </w:r>
      <w:r w:rsidRPr="002719E1">
        <w:rPr>
          <w:i/>
          <w:lang w:val="fr-FR"/>
        </w:rPr>
        <w:t>insécurité juridique dans ce domaine.</w:t>
      </w:r>
    </w:p>
    <w:p w14:paraId="4790E752" w14:textId="06F464BC" w:rsidR="004B64A6" w:rsidRPr="002719E1" w:rsidRDefault="00BB4FBC" w:rsidP="00874DD5">
      <w:pPr>
        <w:pStyle w:val="ONUMFS"/>
        <w:rPr>
          <w:lang w:val="fr-FR"/>
        </w:rPr>
      </w:pPr>
      <w:r w:rsidRPr="002719E1">
        <w:rPr>
          <w:lang w:val="fr-FR"/>
        </w:rPr>
        <w:t>E</w:t>
      </w:r>
      <w:r w:rsidR="00CF145F" w:rsidRPr="002719E1">
        <w:rPr>
          <w:lang w:val="fr-FR"/>
        </w:rPr>
        <w:t>n ce qui concerne la recommandation n°</w:t>
      </w:r>
      <w:r w:rsidR="00730501" w:rsidRPr="002719E1">
        <w:rPr>
          <w:lang w:val="fr-FR"/>
        </w:rPr>
        <w:t> </w:t>
      </w:r>
      <w:r w:rsidR="00CF145F" w:rsidRPr="002719E1">
        <w:rPr>
          <w:lang w:val="fr-FR"/>
        </w:rPr>
        <w:t>6, le Bureau international a présenté à l</w:t>
      </w:r>
      <w:r w:rsidR="004B64A6" w:rsidRPr="002719E1">
        <w:rPr>
          <w:lang w:val="fr-FR"/>
        </w:rPr>
        <w:t>’</w:t>
      </w:r>
      <w:r w:rsidR="00CF145F" w:rsidRPr="002719E1">
        <w:rPr>
          <w:lang w:val="fr-FR"/>
        </w:rPr>
        <w:t>Équipe d</w:t>
      </w:r>
      <w:r w:rsidR="004B64A6" w:rsidRPr="002719E1">
        <w:rPr>
          <w:lang w:val="fr-FR"/>
        </w:rPr>
        <w:t>’</w:t>
      </w:r>
      <w:r w:rsidR="00CF145F" w:rsidRPr="002719E1">
        <w:rPr>
          <w:lang w:val="fr-FR"/>
        </w:rPr>
        <w:t xml:space="preserve">experts certaines activités menées par la Commission des </w:t>
      </w:r>
      <w:r w:rsidR="004B64A6" w:rsidRPr="002719E1">
        <w:rPr>
          <w:lang w:val="fr-FR"/>
        </w:rPr>
        <w:t>Nations Unies</w:t>
      </w:r>
      <w:r w:rsidR="00CF145F" w:rsidRPr="002719E1">
        <w:rPr>
          <w:lang w:val="fr-FR"/>
        </w:rPr>
        <w:t xml:space="preserve"> pour le droit commercial international (CNUDCI) et a communiqué </w:t>
      </w:r>
      <w:r w:rsidR="004B64A6" w:rsidRPr="002719E1">
        <w:rPr>
          <w:lang w:val="fr-FR"/>
        </w:rPr>
        <w:t>en 2022</w:t>
      </w:r>
      <w:r w:rsidR="00CF145F" w:rsidRPr="002719E1">
        <w:rPr>
          <w:lang w:val="fr-FR"/>
        </w:rPr>
        <w:t xml:space="preserve"> son analyse de la </w:t>
      </w:r>
      <w:hyperlink r:id="rId9" w:tgtFrame="_blank" w:history="1">
        <w:r w:rsidR="00CF145F" w:rsidRPr="002719E1">
          <w:rPr>
            <w:rStyle w:val="Hyperlink"/>
            <w:lang w:val="fr-FR"/>
          </w:rPr>
          <w:t>loi type de la CNUDCI sur les documents transférables électroniques</w:t>
        </w:r>
      </w:hyperlink>
      <w:r w:rsidR="00CF145F" w:rsidRPr="002719E1">
        <w:rPr>
          <w:lang w:val="fr-FR"/>
        </w:rPr>
        <w:t xml:space="preserve">, publiée </w:t>
      </w:r>
      <w:r w:rsidR="004B64A6" w:rsidRPr="002719E1">
        <w:rPr>
          <w:lang w:val="fr-FR"/>
        </w:rPr>
        <w:t>en 2017</w:t>
      </w:r>
      <w:r w:rsidR="00CF145F" w:rsidRPr="002719E1">
        <w:rPr>
          <w:lang w:val="fr-FR"/>
        </w:rPr>
        <w:t xml:space="preserve"> par</w:t>
      </w:r>
      <w:r w:rsidR="004B64A6" w:rsidRPr="002719E1">
        <w:rPr>
          <w:lang w:val="fr-FR"/>
        </w:rPr>
        <w:t xml:space="preserve"> la CNU</w:t>
      </w:r>
      <w:r w:rsidR="00CF145F" w:rsidRPr="002719E1">
        <w:rPr>
          <w:lang w:val="fr-FR"/>
        </w:rPr>
        <w:t>DCI, qui vise à permettre l</w:t>
      </w:r>
      <w:r w:rsidR="004B64A6" w:rsidRPr="002719E1">
        <w:rPr>
          <w:lang w:val="fr-FR"/>
        </w:rPr>
        <w:t>’</w:t>
      </w:r>
      <w:r w:rsidR="00CF145F" w:rsidRPr="002719E1">
        <w:rPr>
          <w:lang w:val="fr-FR"/>
        </w:rPr>
        <w:t>utilisation légale des documents transférables électroniques tant au niveau national qu</w:t>
      </w:r>
      <w:r w:rsidR="004B64A6" w:rsidRPr="002719E1">
        <w:rPr>
          <w:lang w:val="fr-FR"/>
        </w:rPr>
        <w:t>’</w:t>
      </w:r>
      <w:r w:rsidR="00CF145F" w:rsidRPr="002719E1">
        <w:rPr>
          <w:lang w:val="fr-FR"/>
        </w:rPr>
        <w:t>au</w:t>
      </w:r>
      <w:r w:rsidR="00210AC2">
        <w:rPr>
          <w:lang w:val="fr-FR"/>
        </w:rPr>
        <w:noBreakHyphen/>
      </w:r>
      <w:r w:rsidR="00CF145F" w:rsidRPr="002719E1">
        <w:rPr>
          <w:lang w:val="fr-FR"/>
        </w:rPr>
        <w:t>delà des frontières.</w:t>
      </w:r>
    </w:p>
    <w:p w14:paraId="58092C69" w14:textId="07530172" w:rsidR="00CF145F" w:rsidRPr="002719E1" w:rsidRDefault="00CF145F" w:rsidP="00874DD5">
      <w:pPr>
        <w:pStyle w:val="ONUMFS"/>
        <w:rPr>
          <w:lang w:val="fr-FR"/>
        </w:rPr>
      </w:pPr>
      <w:r w:rsidRPr="002719E1">
        <w:rPr>
          <w:lang w:val="fr-FR"/>
        </w:rPr>
        <w:t>Entre autres activités utiles, le Bureau international a examiné les applications potentielles et les opportunités offertes par la chaîne de blocs pour les écosystèmes de propriété intellectuel</w:t>
      </w:r>
      <w:r w:rsidR="002719E1" w:rsidRPr="002719E1">
        <w:rPr>
          <w:lang w:val="fr-FR"/>
        </w:rPr>
        <w:t>le.  En</w:t>
      </w:r>
      <w:r w:rsidR="004B64A6" w:rsidRPr="002719E1">
        <w:rPr>
          <w:lang w:val="fr-FR"/>
        </w:rPr>
        <w:t> 2022</w:t>
      </w:r>
      <w:r w:rsidRPr="002719E1">
        <w:rPr>
          <w:lang w:val="fr-FR"/>
        </w:rPr>
        <w:t>, le Bureau international a publié le document intitulé “</w:t>
      </w:r>
      <w:hyperlink r:id="rId10" w:history="1">
        <w:r w:rsidRPr="00CE453B">
          <w:rPr>
            <w:rStyle w:val="Hyperlink"/>
            <w:lang w:val="fr-FR"/>
          </w:rPr>
          <w:t>Chaîne de blocs et écosystèmes de la propriété intellectuelle</w:t>
        </w:r>
        <w:r w:rsidR="002719E1" w:rsidRPr="00CE453B">
          <w:rPr>
            <w:rStyle w:val="Hyperlink"/>
            <w:lang w:val="fr-FR"/>
          </w:rPr>
          <w:t xml:space="preserve"> : </w:t>
        </w:r>
        <w:r w:rsidRPr="00CE453B">
          <w:rPr>
            <w:rStyle w:val="Hyperlink"/>
            <w:lang w:val="fr-FR"/>
          </w:rPr>
          <w:t>un livre blanc de l</w:t>
        </w:r>
        <w:r w:rsidR="004B64A6" w:rsidRPr="00CE453B">
          <w:rPr>
            <w:rStyle w:val="Hyperlink"/>
            <w:lang w:val="fr-FR"/>
          </w:rPr>
          <w:t>’</w:t>
        </w:r>
        <w:r w:rsidRPr="00CE453B">
          <w:rPr>
            <w:rStyle w:val="Hyperlink"/>
            <w:lang w:val="fr-FR"/>
          </w:rPr>
          <w:t>OMPI</w:t>
        </w:r>
      </w:hyperlink>
      <w:r w:rsidRPr="002719E1">
        <w:rPr>
          <w:lang w:val="fr-FR"/>
        </w:rPr>
        <w:t>”, qui recensait 13</w:t>
      </w:r>
      <w:r w:rsidR="00CE453B">
        <w:rPr>
          <w:lang w:val="fr-FR"/>
        </w:rPr>
        <w:t> </w:t>
      </w:r>
      <w:r w:rsidRPr="002719E1">
        <w:rPr>
          <w:lang w:val="fr-FR"/>
        </w:rPr>
        <w:t>applications potentielles des technologies dans les écosystèmes de propriété intellectuelle, ainsi que les enjeux et les questions à prendre en considération pour déterminer la faisabilité et la justification économique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utilisation de ces technologies dans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intérêt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ensemble des parties prenantes de la propriété intellectuel</w:t>
      </w:r>
      <w:r w:rsidR="002719E1" w:rsidRPr="002719E1">
        <w:rPr>
          <w:lang w:val="fr-FR"/>
        </w:rPr>
        <w:t>le.  Ce</w:t>
      </w:r>
      <w:r w:rsidRPr="002719E1">
        <w:rPr>
          <w:lang w:val="fr-FR"/>
        </w:rPr>
        <w:t xml:space="preserve"> livre blanc aide les offices de propriété intellectuelle et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autres parties prenantes à rédiger leur politique stratégique et appuie leurs prises de décisions quant à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adoption des technologies de chaîne de blocs dans leurs activités.</w:t>
      </w:r>
    </w:p>
    <w:p w14:paraId="72F98C83" w14:textId="1E2912CA" w:rsidR="00CF145F" w:rsidRPr="002719E1" w:rsidRDefault="00CF145F" w:rsidP="00874DD5">
      <w:pPr>
        <w:pStyle w:val="Heading2"/>
        <w:rPr>
          <w:lang w:val="fr-FR"/>
        </w:rPr>
      </w:pPr>
      <w:r w:rsidRPr="002719E1">
        <w:rPr>
          <w:lang w:val="fr-FR"/>
        </w:rPr>
        <w:t>État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avancement de la mise en œuvre des recommandations et actions proposées</w:t>
      </w:r>
    </w:p>
    <w:p w14:paraId="6A906BA8" w14:textId="787E2BD8" w:rsidR="00CF145F" w:rsidRPr="002719E1" w:rsidRDefault="00CF145F" w:rsidP="00874DD5">
      <w:pPr>
        <w:pStyle w:val="ONUMFS"/>
        <w:rPr>
          <w:lang w:val="fr-FR"/>
        </w:rPr>
      </w:pPr>
      <w:r w:rsidRPr="002719E1">
        <w:rPr>
          <w:lang w:val="fr-FR"/>
        </w:rPr>
        <w:t>Le Bureau international rend compte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état d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avancement de la mise en œuvre des recommandations au Comité du programme et budget</w:t>
      </w:r>
      <w:r w:rsidR="00CE453B">
        <w:rPr>
          <w:lang w:val="fr-FR"/>
        </w:rPr>
        <w:t> </w:t>
      </w:r>
      <w:r w:rsidRPr="002719E1">
        <w:rPr>
          <w:lang w:val="fr-FR"/>
        </w:rPr>
        <w:t xml:space="preserve">(PBC) depuis </w:t>
      </w:r>
      <w:r w:rsidR="004B64A6" w:rsidRPr="002719E1">
        <w:rPr>
          <w:lang w:val="fr-FR"/>
        </w:rPr>
        <w:t>septembre 20</w:t>
      </w:r>
      <w:r w:rsidRPr="002719E1">
        <w:rPr>
          <w:lang w:val="fr-FR"/>
        </w:rPr>
        <w:t xml:space="preserve">21. </w:t>
      </w:r>
      <w:r w:rsidR="004B64A6" w:rsidRPr="002719E1">
        <w:rPr>
          <w:lang w:val="fr-FR"/>
        </w:rPr>
        <w:t xml:space="preserve"> Le PBC</w:t>
      </w:r>
      <w:r w:rsidRPr="002719E1">
        <w:rPr>
          <w:lang w:val="fr-FR"/>
        </w:rPr>
        <w:t xml:space="preserve"> a noté que les recommandations n</w:t>
      </w:r>
      <w:r w:rsidR="00BB4FBC" w:rsidRPr="002719E1">
        <w:rPr>
          <w:vertAlign w:val="superscript"/>
          <w:lang w:val="fr-FR"/>
        </w:rPr>
        <w:t>os</w:t>
      </w:r>
      <w:r w:rsidR="00BB4FBC" w:rsidRPr="002719E1">
        <w:rPr>
          <w:lang w:val="fr-FR"/>
        </w:rPr>
        <w:t> </w:t>
      </w:r>
      <w:r w:rsidRPr="002719E1">
        <w:rPr>
          <w:lang w:val="fr-FR"/>
        </w:rPr>
        <w:t>1, 2, 3 et</w:t>
      </w:r>
      <w:r w:rsidR="00CE453B">
        <w:rPr>
          <w:lang w:val="fr-FR"/>
        </w:rPr>
        <w:t> </w:t>
      </w:r>
      <w:r w:rsidRPr="002719E1">
        <w:rPr>
          <w:lang w:val="fr-FR"/>
        </w:rPr>
        <w:t>4 avaient été mises en œuvre et que la recommandation n°</w:t>
      </w:r>
      <w:r w:rsidR="00730501" w:rsidRPr="002719E1">
        <w:rPr>
          <w:lang w:val="fr-FR"/>
        </w:rPr>
        <w:t> </w:t>
      </w:r>
      <w:r w:rsidRPr="002719E1">
        <w:rPr>
          <w:lang w:val="fr-FR"/>
        </w:rPr>
        <w:t>6 était en cours de mise en œuvre.</w:t>
      </w:r>
    </w:p>
    <w:p w14:paraId="417F05CA" w14:textId="27461141" w:rsidR="00CF145F" w:rsidRPr="002719E1" w:rsidRDefault="00CF145F" w:rsidP="00874DD5">
      <w:pPr>
        <w:pStyle w:val="ONUMFS"/>
        <w:rPr>
          <w:lang w:val="fr-FR"/>
        </w:rPr>
      </w:pPr>
      <w:r w:rsidRPr="002719E1">
        <w:rPr>
          <w:lang w:val="fr-FR"/>
        </w:rPr>
        <w:t>Le Bureau international a rendu compte pour la dernière fois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état de mise en œuvre des recommandations à la trente</w:t>
      </w:r>
      <w:r w:rsidR="00210AC2">
        <w:rPr>
          <w:lang w:val="fr-FR"/>
        </w:rPr>
        <w:noBreakHyphen/>
      </w:r>
      <w:r w:rsidRPr="002719E1">
        <w:rPr>
          <w:lang w:val="fr-FR"/>
        </w:rPr>
        <w:t>sept</w:t>
      </w:r>
      <w:r w:rsidR="004B64A6" w:rsidRPr="002719E1">
        <w:rPr>
          <w:lang w:val="fr-FR"/>
        </w:rPr>
        <w:t>ième session du PBC</w:t>
      </w:r>
      <w:r w:rsidRPr="002719E1">
        <w:rPr>
          <w:lang w:val="fr-FR"/>
        </w:rPr>
        <w:t xml:space="preserve">, tenue en </w:t>
      </w:r>
      <w:r w:rsidR="004B64A6" w:rsidRPr="002719E1">
        <w:rPr>
          <w:lang w:val="fr-FR"/>
        </w:rPr>
        <w:t>juin 20</w:t>
      </w:r>
      <w:r w:rsidRPr="002719E1">
        <w:rPr>
          <w:lang w:val="fr-FR"/>
        </w:rPr>
        <w:t>24, et a informé</w:t>
      </w:r>
      <w:r w:rsidR="004B64A6" w:rsidRPr="002719E1">
        <w:rPr>
          <w:lang w:val="fr-FR"/>
        </w:rPr>
        <w:t xml:space="preserve"> le PBC</w:t>
      </w:r>
      <w:r w:rsidRPr="002719E1">
        <w:rPr>
          <w:lang w:val="fr-FR"/>
        </w:rPr>
        <w:t xml:space="preserve"> de son intention concernant la recommandation n° 6, visant à encourager les États membres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OMPI à collaborer avec</w:t>
      </w:r>
      <w:r w:rsidR="004B64A6" w:rsidRPr="002719E1">
        <w:rPr>
          <w:lang w:val="fr-FR"/>
        </w:rPr>
        <w:t xml:space="preserve"> la CNU</w:t>
      </w:r>
      <w:r w:rsidRPr="002719E1">
        <w:rPr>
          <w:lang w:val="fr-FR"/>
        </w:rPr>
        <w:t>DCI dans le cadre de ses travaux préliminaires et préparatoires sur les questions juridiques liées à la chaîne de blocs dans le contexte plus large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économie numérique et du commerce numérique, ainsi que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a recommandé</w:t>
      </w:r>
      <w:r w:rsidR="004B64A6" w:rsidRPr="002719E1">
        <w:rPr>
          <w:lang w:val="fr-FR"/>
        </w:rPr>
        <w:t xml:space="preserve"> le CWS</w:t>
      </w:r>
      <w:r w:rsidRPr="002719E1">
        <w:rPr>
          <w:lang w:val="fr-FR"/>
        </w:rPr>
        <w:t xml:space="preserve"> à sa douz</w:t>
      </w:r>
      <w:r w:rsidR="004B64A6" w:rsidRPr="002719E1">
        <w:rPr>
          <w:lang w:val="fr-FR"/>
        </w:rPr>
        <w:t>ième session</w:t>
      </w:r>
      <w:r w:rsidRPr="002719E1">
        <w:rPr>
          <w:lang w:val="fr-FR"/>
        </w:rPr>
        <w:t xml:space="preserve"> (voir l</w:t>
      </w:r>
      <w:r w:rsidR="004B64A6" w:rsidRPr="002719E1">
        <w:rPr>
          <w:lang w:val="fr-FR"/>
        </w:rPr>
        <w:t>’annexe I</w:t>
      </w:r>
      <w:r w:rsidRPr="002719E1">
        <w:rPr>
          <w:lang w:val="fr-FR"/>
        </w:rPr>
        <w:t xml:space="preserve"> du document</w:t>
      </w:r>
      <w:r w:rsidR="00CE453B">
        <w:rPr>
          <w:lang w:val="fr-FR"/>
        </w:rPr>
        <w:t> </w:t>
      </w:r>
      <w:hyperlink r:id="rId11" w:history="1">
        <w:r w:rsidRPr="002719E1">
          <w:rPr>
            <w:rStyle w:val="Hyperlink"/>
            <w:lang w:val="fr-FR"/>
          </w:rPr>
          <w:t>WO/PBC/37/6</w:t>
        </w:r>
        <w:r w:rsidR="00730501" w:rsidRPr="002719E1">
          <w:rPr>
            <w:rStyle w:val="Hyperlink"/>
            <w:lang w:val="fr-FR"/>
          </w:rPr>
          <w:t> </w:t>
        </w:r>
        <w:r w:rsidRPr="002719E1">
          <w:rPr>
            <w:rStyle w:val="Hyperlink"/>
            <w:lang w:val="fr-FR"/>
          </w:rPr>
          <w:t>Rev.</w:t>
        </w:r>
      </w:hyperlink>
      <w:r w:rsidRPr="002719E1">
        <w:rPr>
          <w:lang w:val="fr-FR"/>
        </w:rPr>
        <w:t>).</w:t>
      </w:r>
    </w:p>
    <w:p w14:paraId="7E38746E" w14:textId="3FC3E4CC" w:rsidR="004B64A6" w:rsidRPr="002719E1" w:rsidRDefault="00CF145F" w:rsidP="00874DD5">
      <w:pPr>
        <w:pStyle w:val="ONUMFS"/>
        <w:rPr>
          <w:lang w:val="fr-FR"/>
        </w:rPr>
      </w:pPr>
      <w:r w:rsidRPr="002719E1">
        <w:rPr>
          <w:lang w:val="fr-FR"/>
        </w:rPr>
        <w:lastRenderedPageBreak/>
        <w:t>Il convient de noter que</w:t>
      </w:r>
      <w:r w:rsidR="004B64A6" w:rsidRPr="002719E1">
        <w:rPr>
          <w:lang w:val="fr-FR"/>
        </w:rPr>
        <w:t xml:space="preserve"> la CNU</w:t>
      </w:r>
      <w:r w:rsidRPr="002719E1">
        <w:rPr>
          <w:lang w:val="fr-FR"/>
        </w:rPr>
        <w:t xml:space="preserve">DCI a publié une </w:t>
      </w:r>
      <w:r w:rsidR="00CE453B">
        <w:rPr>
          <w:lang w:val="fr-FR"/>
        </w:rPr>
        <w:t>“</w:t>
      </w:r>
      <w:hyperlink r:id="rId12" w:history="1">
        <w:r w:rsidRPr="002719E1">
          <w:rPr>
            <w:rStyle w:val="Hyperlink"/>
            <w:lang w:val="fr-FR"/>
          </w:rPr>
          <w:t>Taxonomie des questions juridiques liées à l</w:t>
        </w:r>
        <w:r w:rsidR="004B64A6" w:rsidRPr="002719E1">
          <w:rPr>
            <w:rStyle w:val="Hyperlink"/>
            <w:lang w:val="fr-FR"/>
          </w:rPr>
          <w:t>’</w:t>
        </w:r>
        <w:r w:rsidRPr="002719E1">
          <w:rPr>
            <w:rStyle w:val="Hyperlink"/>
            <w:lang w:val="fr-FR"/>
          </w:rPr>
          <w:t>économie numérique</w:t>
        </w:r>
      </w:hyperlink>
      <w:r w:rsidR="00CE453B" w:rsidRPr="00CE453B">
        <w:rPr>
          <w:rStyle w:val="Hyperlink"/>
          <w:color w:val="auto"/>
          <w:u w:val="none"/>
          <w:lang w:val="fr-FR"/>
        </w:rPr>
        <w:t>”</w:t>
      </w:r>
      <w:r w:rsidRPr="002719E1">
        <w:rPr>
          <w:lang w:val="fr-FR"/>
        </w:rPr>
        <w:t xml:space="preserve"> </w:t>
      </w:r>
      <w:r w:rsidR="004B64A6" w:rsidRPr="002719E1">
        <w:rPr>
          <w:lang w:val="fr-FR"/>
        </w:rPr>
        <w:t>en 2023</w:t>
      </w:r>
      <w:r w:rsidRPr="002719E1">
        <w:rPr>
          <w:lang w:val="fr-FR"/>
        </w:rPr>
        <w:t>.  Elle a également présenté récemment un nouveau document</w:t>
      </w:r>
      <w:r w:rsidR="00CE453B">
        <w:rPr>
          <w:lang w:val="fr-FR"/>
        </w:rPr>
        <w:t> </w:t>
      </w:r>
      <w:r w:rsidRPr="002719E1">
        <w:rPr>
          <w:lang w:val="fr-FR"/>
        </w:rPr>
        <w:t>A/CN.9/1175</w:t>
      </w:r>
      <w:r w:rsidR="00CE453B">
        <w:rPr>
          <w:lang w:val="fr-FR"/>
        </w:rPr>
        <w:t xml:space="preserve"> (</w:t>
      </w:r>
      <w:hyperlink r:id="rId13" w:history="1">
        <w:r w:rsidR="00CE453B">
          <w:rPr>
            <w:rStyle w:val="Hyperlink"/>
            <w:lang w:val="fr-FR"/>
          </w:rPr>
          <w:t>Questions juridiques liées à l’utilisation de la technologie des registres distribués dans le commerce</w:t>
        </w:r>
      </w:hyperlink>
      <w:r w:rsidRPr="002719E1">
        <w:rPr>
          <w:lang w:val="fr-FR"/>
        </w:rPr>
        <w:t>) à sa cinquante</w:t>
      </w:r>
      <w:r w:rsidR="00210AC2">
        <w:rPr>
          <w:lang w:val="fr-FR"/>
        </w:rPr>
        <w:noBreakHyphen/>
      </w:r>
      <w:r w:rsidRPr="002719E1">
        <w:rPr>
          <w:lang w:val="fr-FR"/>
        </w:rPr>
        <w:t>sept</w:t>
      </w:r>
      <w:r w:rsidR="004B64A6" w:rsidRPr="002719E1">
        <w:rPr>
          <w:lang w:val="fr-FR"/>
        </w:rPr>
        <w:t>ième session</w:t>
      </w:r>
      <w:r w:rsidRPr="002719E1">
        <w:rPr>
          <w:lang w:val="fr-FR"/>
        </w:rPr>
        <w:t>, tenue du 2</w:t>
      </w:r>
      <w:r w:rsidR="004B64A6" w:rsidRPr="002719E1">
        <w:rPr>
          <w:lang w:val="fr-FR"/>
        </w:rPr>
        <w:t>4 juin</w:t>
      </w:r>
      <w:r w:rsidRPr="002719E1">
        <w:rPr>
          <w:lang w:val="fr-FR"/>
        </w:rPr>
        <w:t xml:space="preserve"> au 1</w:t>
      </w:r>
      <w:r w:rsidR="004B64A6" w:rsidRPr="002719E1">
        <w:rPr>
          <w:lang w:val="fr-FR"/>
        </w:rPr>
        <w:t>2 juillet 20</w:t>
      </w:r>
      <w:r w:rsidRPr="002719E1">
        <w:rPr>
          <w:lang w:val="fr-FR"/>
        </w:rPr>
        <w:t>24.</w:t>
      </w:r>
    </w:p>
    <w:p w14:paraId="29086756" w14:textId="06F2FC4D" w:rsidR="00CF145F" w:rsidRPr="002719E1" w:rsidRDefault="00CF145F" w:rsidP="00874DD5">
      <w:pPr>
        <w:pStyle w:val="ONUMFS"/>
        <w:rPr>
          <w:lang w:val="fr-FR"/>
        </w:rPr>
      </w:pPr>
      <w:r w:rsidRPr="002719E1">
        <w:rPr>
          <w:lang w:val="fr-FR"/>
        </w:rPr>
        <w:t xml:space="preserve">Le CWS est invité à encourager les offices de propriété intellectuelle, le cas échéant, à collaborer avec la Commission des </w:t>
      </w:r>
      <w:r w:rsidR="004B64A6" w:rsidRPr="002719E1">
        <w:rPr>
          <w:lang w:val="fr-FR"/>
        </w:rPr>
        <w:t>Nations Unies</w:t>
      </w:r>
      <w:r w:rsidRPr="002719E1">
        <w:rPr>
          <w:lang w:val="fr-FR"/>
        </w:rPr>
        <w:t xml:space="preserve"> pour le droit commercial international dans ses travaux préliminaires et préparatoires sur les questions juridiques ayant trait à la chaîne de blocs dans le contexte plus large de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 xml:space="preserve">économie numérique et du commerce numérique, </w:t>
      </w:r>
      <w:r w:rsidR="004B64A6" w:rsidRPr="002719E1">
        <w:rPr>
          <w:lang w:val="fr-FR"/>
        </w:rPr>
        <w:t>y compris</w:t>
      </w:r>
      <w:r w:rsidRPr="002719E1">
        <w:rPr>
          <w:lang w:val="fr-FR"/>
        </w:rPr>
        <w:t xml:space="preserve"> sur le règlement des différends, qui visent à réduire l</w:t>
      </w:r>
      <w:r w:rsidR="004B64A6" w:rsidRPr="002719E1">
        <w:rPr>
          <w:lang w:val="fr-FR"/>
        </w:rPr>
        <w:t>’</w:t>
      </w:r>
      <w:r w:rsidRPr="002719E1">
        <w:rPr>
          <w:lang w:val="fr-FR"/>
        </w:rPr>
        <w:t>insécurité juridique dans ce domaine.</w:t>
      </w:r>
    </w:p>
    <w:p w14:paraId="1D5F6CD3" w14:textId="70075EC9" w:rsidR="00CF145F" w:rsidRPr="002719E1" w:rsidRDefault="00CF145F" w:rsidP="00874DD5">
      <w:pPr>
        <w:pStyle w:val="ONUMFS"/>
        <w:ind w:left="5533"/>
        <w:rPr>
          <w:i/>
          <w:lang w:val="fr-FR"/>
        </w:rPr>
      </w:pPr>
      <w:r w:rsidRPr="002719E1">
        <w:rPr>
          <w:i/>
          <w:lang w:val="fr-FR"/>
        </w:rPr>
        <w:t>Le CWS est invité</w:t>
      </w:r>
    </w:p>
    <w:p w14:paraId="25B0050B" w14:textId="77777777" w:rsidR="004B64A6" w:rsidRPr="002719E1" w:rsidRDefault="00CF145F" w:rsidP="00874DD5">
      <w:pPr>
        <w:pStyle w:val="ONUMFS"/>
        <w:numPr>
          <w:ilvl w:val="1"/>
          <w:numId w:val="6"/>
        </w:numPr>
        <w:ind w:left="5533"/>
        <w:rPr>
          <w:i/>
          <w:lang w:val="fr-FR"/>
        </w:rPr>
      </w:pPr>
      <w:r w:rsidRPr="002719E1">
        <w:rPr>
          <w:i/>
          <w:lang w:val="fr-FR"/>
        </w:rPr>
        <w:t>à prendre note du contenu du présent document et</w:t>
      </w:r>
    </w:p>
    <w:p w14:paraId="5992318C" w14:textId="638838E1" w:rsidR="004B64A6" w:rsidRPr="002719E1" w:rsidRDefault="00CF145F" w:rsidP="00874DD5">
      <w:pPr>
        <w:pStyle w:val="ONUMFS"/>
        <w:numPr>
          <w:ilvl w:val="1"/>
          <w:numId w:val="6"/>
        </w:numPr>
        <w:ind w:left="5533"/>
        <w:rPr>
          <w:i/>
          <w:lang w:val="fr-FR"/>
        </w:rPr>
      </w:pPr>
      <w:r w:rsidRPr="002719E1">
        <w:rPr>
          <w:i/>
          <w:lang w:val="fr-FR"/>
        </w:rPr>
        <w:t>à prendre note de la recommandation n° 6 et à encourager les offices de propriété intellectuelle à la mettre en œuvre conformément au paragraphe 10 ci</w:t>
      </w:r>
      <w:r w:rsidR="00210AC2">
        <w:rPr>
          <w:i/>
          <w:lang w:val="fr-FR"/>
        </w:rPr>
        <w:noBreakHyphen/>
      </w:r>
      <w:r w:rsidRPr="002719E1">
        <w:rPr>
          <w:i/>
          <w:lang w:val="fr-FR"/>
        </w:rPr>
        <w:t>dessus.</w:t>
      </w:r>
    </w:p>
    <w:p w14:paraId="13C57DF8" w14:textId="6CBE3F60" w:rsidR="000F5E56" w:rsidRPr="002719E1" w:rsidRDefault="00CF145F" w:rsidP="00874DD5">
      <w:pPr>
        <w:pStyle w:val="Endofdocument-Annex"/>
      </w:pPr>
      <w:r w:rsidRPr="002719E1">
        <w:t>[Fin du document]</w:t>
      </w:r>
    </w:p>
    <w:sectPr w:rsidR="000F5E56" w:rsidRPr="002719E1" w:rsidSect="00CF145F"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222C" w14:textId="77777777" w:rsidR="00CF145F" w:rsidRDefault="00CF145F">
      <w:r>
        <w:separator/>
      </w:r>
    </w:p>
  </w:endnote>
  <w:endnote w:type="continuationSeparator" w:id="0">
    <w:p w14:paraId="6602FF9E" w14:textId="77777777" w:rsidR="00CF145F" w:rsidRPr="009D30E6" w:rsidRDefault="00CF145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C153E52" w14:textId="77777777" w:rsidR="00CF145F" w:rsidRPr="009D30E6" w:rsidRDefault="00CF145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8DB9A78" w14:textId="77777777" w:rsidR="00CF145F" w:rsidRPr="009D30E6" w:rsidRDefault="00CF145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95A14" w14:textId="77777777" w:rsidR="00CF145F" w:rsidRDefault="00CF145F">
      <w:r>
        <w:separator/>
      </w:r>
    </w:p>
  </w:footnote>
  <w:footnote w:type="continuationSeparator" w:id="0">
    <w:p w14:paraId="2A44E115" w14:textId="77777777" w:rsidR="00CF145F" w:rsidRDefault="00CF145F" w:rsidP="007461F1">
      <w:r>
        <w:separator/>
      </w:r>
    </w:p>
    <w:p w14:paraId="2F7BA504" w14:textId="77777777" w:rsidR="00CF145F" w:rsidRPr="009D30E6" w:rsidRDefault="00CF145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990A751" w14:textId="77777777" w:rsidR="00CF145F" w:rsidRPr="009D30E6" w:rsidRDefault="00CF145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AC43" w14:textId="77777777" w:rsidR="00F16975" w:rsidRDefault="00CF145F" w:rsidP="00477D6B">
    <w:pPr>
      <w:jc w:val="right"/>
    </w:pPr>
    <w:bookmarkStart w:id="5" w:name="Code2"/>
    <w:bookmarkEnd w:id="5"/>
    <w:r>
      <w:t>CWS/12/27</w:t>
    </w:r>
  </w:p>
  <w:p w14:paraId="2E3F562C" w14:textId="4B1BD203" w:rsidR="004F4E31" w:rsidRDefault="00F16975" w:rsidP="00CF145F">
    <w:pPr>
      <w:spacing w:after="480"/>
      <w:jc w:val="right"/>
    </w:pPr>
    <w:r>
      <w:t>page</w:t>
    </w:r>
    <w:r w:rsidR="00CF145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1D6FF1"/>
    <w:multiLevelType w:val="hybridMultilevel"/>
    <w:tmpl w:val="3E164D10"/>
    <w:lvl w:ilvl="0" w:tplc="085CF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8192">
    <w:abstractNumId w:val="2"/>
  </w:num>
  <w:num w:numId="2" w16cid:durableId="1870607316">
    <w:abstractNumId w:val="5"/>
  </w:num>
  <w:num w:numId="3" w16cid:durableId="844322595">
    <w:abstractNumId w:val="0"/>
  </w:num>
  <w:num w:numId="4" w16cid:durableId="1456631763">
    <w:abstractNumId w:val="6"/>
  </w:num>
  <w:num w:numId="5" w16cid:durableId="628778745">
    <w:abstractNumId w:val="1"/>
  </w:num>
  <w:num w:numId="6" w16cid:durableId="670451745">
    <w:abstractNumId w:val="4"/>
  </w:num>
  <w:num w:numId="7" w16cid:durableId="154286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5F"/>
    <w:rsid w:val="00011B7D"/>
    <w:rsid w:val="00075432"/>
    <w:rsid w:val="000F5E56"/>
    <w:rsid w:val="001352EC"/>
    <w:rsid w:val="001362EE"/>
    <w:rsid w:val="001832A6"/>
    <w:rsid w:val="00195C6E"/>
    <w:rsid w:val="00197881"/>
    <w:rsid w:val="001B266A"/>
    <w:rsid w:val="001C2210"/>
    <w:rsid w:val="001D3D56"/>
    <w:rsid w:val="00210AC2"/>
    <w:rsid w:val="00240654"/>
    <w:rsid w:val="002634C4"/>
    <w:rsid w:val="002719E1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B64A6"/>
    <w:rsid w:val="004D6471"/>
    <w:rsid w:val="004F4E31"/>
    <w:rsid w:val="00525B63"/>
    <w:rsid w:val="00547476"/>
    <w:rsid w:val="00561DB8"/>
    <w:rsid w:val="00567A4C"/>
    <w:rsid w:val="005E6516"/>
    <w:rsid w:val="006000E1"/>
    <w:rsid w:val="00605827"/>
    <w:rsid w:val="00607777"/>
    <w:rsid w:val="00676936"/>
    <w:rsid w:val="006B0DB5"/>
    <w:rsid w:val="006E4243"/>
    <w:rsid w:val="007204BA"/>
    <w:rsid w:val="00730501"/>
    <w:rsid w:val="007461F1"/>
    <w:rsid w:val="007D6961"/>
    <w:rsid w:val="007F07CB"/>
    <w:rsid w:val="00810CEF"/>
    <w:rsid w:val="0081208D"/>
    <w:rsid w:val="008236DE"/>
    <w:rsid w:val="00842A13"/>
    <w:rsid w:val="00874DD5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A1F20"/>
    <w:rsid w:val="00AC0AE4"/>
    <w:rsid w:val="00AD61DB"/>
    <w:rsid w:val="00AE1D1E"/>
    <w:rsid w:val="00B24656"/>
    <w:rsid w:val="00B87BCF"/>
    <w:rsid w:val="00BA62D4"/>
    <w:rsid w:val="00BB4FBC"/>
    <w:rsid w:val="00C153FD"/>
    <w:rsid w:val="00C162C3"/>
    <w:rsid w:val="00C40E15"/>
    <w:rsid w:val="00C664C8"/>
    <w:rsid w:val="00C76A79"/>
    <w:rsid w:val="00CA15F5"/>
    <w:rsid w:val="00CE453B"/>
    <w:rsid w:val="00CF0460"/>
    <w:rsid w:val="00CF145F"/>
    <w:rsid w:val="00D45252"/>
    <w:rsid w:val="00D71B4D"/>
    <w:rsid w:val="00D75C1E"/>
    <w:rsid w:val="00D75FA9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EF87"/>
  <w15:docId w15:val="{2CC14BE7-0828-4E4B-9BAD-90BE99A7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CF145F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ONUMEChar">
    <w:name w:val="ONUM E Char"/>
    <w:basedOn w:val="DefaultParagraphFont"/>
    <w:link w:val="ONUME"/>
    <w:rsid w:val="00CF145F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nhideWhenUsed/>
    <w:rsid w:val="00CF14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E45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jiu.org/news/blockchain-applications-united-nations-system-towards-state-readiness-jiurep20207" TargetMode="External"/><Relationship Id="rId13" Type="http://schemas.openxmlformats.org/officeDocument/2006/relationships/hyperlink" Target="https://uncitral.un.org/sites/uncitral.un.org/files/1175_for_submission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ncitral.un.org/sites/uncitral.un.org/files/media-documents/uncitral/en/digitaleconomytaxonom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meetings/fr/doc_details.jsp?doc_id=63187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ipo.int/export/sites/www/cws/en/pdf/blockchain-for-ip-ecosystem-whitepap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citral.un.org/fr/texts/ecommerce/modellaw/electronic_transferable_record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16</TotalTime>
  <Pages>3</Pages>
  <Words>1031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CWS/12/27</vt:lpstr>
    </vt:vector>
  </TitlesOfParts>
  <Company>WIPO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CWS/12/27</dc:title>
  <dc:creator>WIPO</dc:creator>
  <cp:keywords>Comité des normes de l’OMPI (CWS) Douzième session</cp:keywords>
  <cp:lastModifiedBy>BLANCHET Gaspard</cp:lastModifiedBy>
  <cp:revision>8</cp:revision>
  <cp:lastPrinted>2011-05-19T12:37:00Z</cp:lastPrinted>
  <dcterms:created xsi:type="dcterms:W3CDTF">2024-08-16T14:32:00Z</dcterms:created>
  <dcterms:modified xsi:type="dcterms:W3CDTF">2024-08-20T15:05:00Z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2024-08-16T14:38:43Z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3f1793b9-563b-4555-be5b-48f0d6c54b41</vt:lpwstr>
  </property>
  <property fmtid="{D5CDD505-2E9C-101B-9397-08002B2CF9AE}" pid="14" name="MSIP_Label_20773ee6-353b-4fb9-a59d-0b94c8c67bea_ContentBits">
    <vt:lpwstr>0</vt:lpwstr>
  </property>
</Properties>
</file>