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7E13D" w14:textId="77777777" w:rsidR="008B2CC1" w:rsidRPr="003414DC" w:rsidRDefault="00DB0349" w:rsidP="003414DC">
      <w:pPr>
        <w:spacing w:after="120"/>
        <w:jc w:val="right"/>
        <w:rPr>
          <w:lang w:val="fr-FR"/>
        </w:rPr>
      </w:pPr>
      <w:r w:rsidRPr="003414DC">
        <w:rPr>
          <w:noProof/>
          <w:lang w:val="fr-FR" w:eastAsia="en-US"/>
        </w:rPr>
        <w:drawing>
          <wp:inline distT="0" distB="0" distL="0" distR="0" wp14:anchorId="31E40D42" wp14:editId="14DD70C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3414DC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E3B2C14" wp14:editId="0F16A2D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8DCBC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58BA2C" w14:textId="0E0C476D" w:rsidR="008B2CC1" w:rsidRPr="003414DC" w:rsidRDefault="00197881" w:rsidP="003414D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414DC">
        <w:rPr>
          <w:rFonts w:ascii="Arial Black" w:hAnsi="Arial Black"/>
          <w:caps/>
          <w:sz w:val="15"/>
          <w:szCs w:val="15"/>
          <w:lang w:val="fr-FR"/>
        </w:rPr>
        <w:t>CWS/1</w:t>
      </w:r>
      <w:r w:rsidR="001352EC" w:rsidRPr="003414DC">
        <w:rPr>
          <w:rFonts w:ascii="Arial Black" w:hAnsi="Arial Black"/>
          <w:caps/>
          <w:sz w:val="15"/>
          <w:szCs w:val="15"/>
          <w:lang w:val="fr-FR"/>
        </w:rPr>
        <w:t>2</w:t>
      </w:r>
      <w:r w:rsidRPr="003414D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BE1F97" w:rsidRPr="003414DC">
        <w:rPr>
          <w:rFonts w:ascii="Arial Black" w:hAnsi="Arial Black"/>
          <w:caps/>
          <w:sz w:val="15"/>
          <w:szCs w:val="15"/>
          <w:lang w:val="fr-FR"/>
        </w:rPr>
        <w:t>6</w:t>
      </w:r>
    </w:p>
    <w:p w14:paraId="15EB2219" w14:textId="42F3173C" w:rsidR="008B2CC1" w:rsidRPr="003414DC" w:rsidRDefault="00DB0349" w:rsidP="003414D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3414D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6C4DB7" w:rsidRPr="003414DC">
        <w:rPr>
          <w:rFonts w:ascii="Arial Black" w:hAnsi="Arial Black"/>
          <w:caps/>
          <w:sz w:val="15"/>
          <w:szCs w:val="15"/>
          <w:lang w:val="fr-FR"/>
        </w:rPr>
        <w:t> :</w:t>
      </w:r>
      <w:r w:rsidRPr="003414D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E1F97" w:rsidRPr="003414D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887D326" w14:textId="5FFEFE18" w:rsidR="008B2CC1" w:rsidRPr="003414DC" w:rsidRDefault="00DB0349" w:rsidP="003414DC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3414DC">
        <w:rPr>
          <w:rFonts w:ascii="Arial Black" w:hAnsi="Arial Black"/>
          <w:caps/>
          <w:sz w:val="15"/>
          <w:szCs w:val="15"/>
          <w:lang w:val="fr-FR"/>
        </w:rPr>
        <w:t>date</w:t>
      </w:r>
      <w:r w:rsidR="006C4DB7" w:rsidRPr="003414DC">
        <w:rPr>
          <w:rFonts w:ascii="Arial Black" w:hAnsi="Arial Black"/>
          <w:caps/>
          <w:sz w:val="15"/>
          <w:szCs w:val="15"/>
          <w:lang w:val="fr-FR"/>
        </w:rPr>
        <w:t> :</w:t>
      </w:r>
      <w:r w:rsidRPr="003414D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E1F97" w:rsidRPr="003414DC">
        <w:rPr>
          <w:rFonts w:ascii="Arial Black" w:hAnsi="Arial Black"/>
          <w:caps/>
          <w:sz w:val="15"/>
          <w:szCs w:val="15"/>
          <w:lang w:val="fr-FR"/>
        </w:rPr>
        <w:t>5 août 2024</w:t>
      </w:r>
    </w:p>
    <w:bookmarkEnd w:id="2"/>
    <w:p w14:paraId="0DBC503E" w14:textId="3825C4D6" w:rsidR="00C40E15" w:rsidRPr="003414DC" w:rsidRDefault="00197881" w:rsidP="003414DC">
      <w:pPr>
        <w:spacing w:after="600"/>
        <w:rPr>
          <w:b/>
          <w:sz w:val="28"/>
          <w:szCs w:val="28"/>
          <w:lang w:val="fr-FR"/>
        </w:rPr>
      </w:pPr>
      <w:r w:rsidRPr="003414DC">
        <w:rPr>
          <w:b/>
          <w:sz w:val="28"/>
          <w:szCs w:val="28"/>
          <w:lang w:val="fr-FR"/>
        </w:rPr>
        <w:t>Comité des normes de l</w:t>
      </w:r>
      <w:r w:rsidR="006C4DB7" w:rsidRPr="003414DC">
        <w:rPr>
          <w:b/>
          <w:sz w:val="28"/>
          <w:szCs w:val="28"/>
          <w:lang w:val="fr-FR"/>
        </w:rPr>
        <w:t>’</w:t>
      </w:r>
      <w:r w:rsidRPr="003414DC">
        <w:rPr>
          <w:b/>
          <w:sz w:val="28"/>
          <w:szCs w:val="28"/>
          <w:lang w:val="fr-FR"/>
        </w:rPr>
        <w:t>OMPI (CWS)</w:t>
      </w:r>
    </w:p>
    <w:p w14:paraId="0C5F22AF" w14:textId="3599AD62" w:rsidR="008B2CC1" w:rsidRPr="003414DC" w:rsidRDefault="001352EC" w:rsidP="003414DC">
      <w:pPr>
        <w:rPr>
          <w:b/>
          <w:sz w:val="28"/>
          <w:szCs w:val="24"/>
          <w:lang w:val="fr-FR"/>
        </w:rPr>
      </w:pPr>
      <w:r w:rsidRPr="003414DC">
        <w:rPr>
          <w:b/>
          <w:sz w:val="24"/>
          <w:lang w:val="fr-FR"/>
        </w:rPr>
        <w:t>Douz</w:t>
      </w:r>
      <w:r w:rsidR="006C4DB7" w:rsidRPr="003414DC">
        <w:rPr>
          <w:b/>
          <w:sz w:val="24"/>
          <w:lang w:val="fr-FR"/>
        </w:rPr>
        <w:t>ième session</w:t>
      </w:r>
    </w:p>
    <w:p w14:paraId="38C243FB" w14:textId="7A146EF7" w:rsidR="008B2CC1" w:rsidRPr="003414DC" w:rsidRDefault="00197881" w:rsidP="003414DC">
      <w:pPr>
        <w:spacing w:after="720"/>
        <w:rPr>
          <w:b/>
          <w:sz w:val="28"/>
          <w:szCs w:val="24"/>
          <w:lang w:val="fr-FR"/>
        </w:rPr>
      </w:pPr>
      <w:r w:rsidRPr="003414DC">
        <w:rPr>
          <w:b/>
          <w:sz w:val="24"/>
          <w:lang w:val="fr-FR"/>
        </w:rPr>
        <w:t>Genève,</w:t>
      </w:r>
      <w:r w:rsidR="001352EC" w:rsidRPr="003414DC">
        <w:rPr>
          <w:b/>
          <w:sz w:val="24"/>
          <w:lang w:val="fr-FR"/>
        </w:rPr>
        <w:t xml:space="preserve"> 16 – </w:t>
      </w:r>
      <w:r w:rsidR="00BE1F97" w:rsidRPr="003414DC">
        <w:rPr>
          <w:b/>
          <w:sz w:val="24"/>
          <w:lang w:val="fr-FR"/>
        </w:rPr>
        <w:t>19 </w:t>
      </w:r>
      <w:r w:rsidR="001352EC" w:rsidRPr="003414DC">
        <w:rPr>
          <w:b/>
          <w:sz w:val="24"/>
          <w:lang w:val="fr-FR"/>
        </w:rPr>
        <w:t>septembre</w:t>
      </w:r>
      <w:r w:rsidR="00BE1F97" w:rsidRPr="003414DC">
        <w:rPr>
          <w:b/>
          <w:sz w:val="24"/>
          <w:lang w:val="fr-FR"/>
        </w:rPr>
        <w:t> </w:t>
      </w:r>
      <w:r w:rsidR="001352EC" w:rsidRPr="003414DC">
        <w:rPr>
          <w:b/>
          <w:sz w:val="24"/>
          <w:lang w:val="fr-FR"/>
        </w:rPr>
        <w:t>2024</w:t>
      </w:r>
    </w:p>
    <w:p w14:paraId="0FB6B4B3" w14:textId="02073C7D" w:rsidR="008B2CC1" w:rsidRPr="003414DC" w:rsidRDefault="00BE1F97" w:rsidP="003414DC">
      <w:pPr>
        <w:spacing w:after="360"/>
        <w:rPr>
          <w:caps/>
          <w:sz w:val="24"/>
          <w:lang w:val="fr-FR"/>
        </w:rPr>
      </w:pPr>
      <w:bookmarkStart w:id="3" w:name="TitleOfDoc"/>
      <w:r w:rsidRPr="003414DC">
        <w:rPr>
          <w:caps/>
          <w:sz w:val="24"/>
          <w:lang w:val="fr-FR"/>
        </w:rPr>
        <w:t>Rapport de l</w:t>
      </w:r>
      <w:r w:rsidR="006C4DB7" w:rsidRPr="003414DC">
        <w:rPr>
          <w:caps/>
          <w:sz w:val="24"/>
          <w:lang w:val="fr-FR"/>
        </w:rPr>
        <w:t>’</w:t>
      </w:r>
      <w:r w:rsidRPr="003414DC">
        <w:rPr>
          <w:caps/>
          <w:sz w:val="24"/>
          <w:lang w:val="fr-FR"/>
        </w:rPr>
        <w:t>Équipe d</w:t>
      </w:r>
      <w:r w:rsidR="006C4DB7" w:rsidRPr="003414DC">
        <w:rPr>
          <w:caps/>
          <w:sz w:val="24"/>
          <w:lang w:val="fr-FR"/>
        </w:rPr>
        <w:t>’</w:t>
      </w:r>
      <w:r w:rsidRPr="003414DC">
        <w:rPr>
          <w:caps/>
          <w:sz w:val="24"/>
          <w:lang w:val="fr-FR"/>
        </w:rPr>
        <w:t>experts chargée de la situation juridique sur la tâche n°</w:t>
      </w:r>
      <w:r w:rsidR="00AF2AAE" w:rsidRPr="003414DC">
        <w:rPr>
          <w:caps/>
          <w:sz w:val="24"/>
          <w:lang w:val="fr-FR"/>
        </w:rPr>
        <w:t> </w:t>
      </w:r>
      <w:r w:rsidRPr="003414DC">
        <w:rPr>
          <w:caps/>
          <w:sz w:val="24"/>
          <w:lang w:val="fr-FR"/>
        </w:rPr>
        <w:t>47</w:t>
      </w:r>
    </w:p>
    <w:p w14:paraId="6F3EF990" w14:textId="1EE32118" w:rsidR="00525B63" w:rsidRPr="003414DC" w:rsidRDefault="00BE1F97" w:rsidP="003414DC">
      <w:pPr>
        <w:spacing w:after="960"/>
        <w:rPr>
          <w:i/>
          <w:lang w:val="fr-FR"/>
        </w:rPr>
      </w:pPr>
      <w:bookmarkStart w:id="4" w:name="Prepared"/>
      <w:bookmarkEnd w:id="3"/>
      <w:r w:rsidRPr="003414DC">
        <w:rPr>
          <w:i/>
          <w:lang w:val="fr-FR"/>
        </w:rPr>
        <w:t>Document établi par le responsable de l</w:t>
      </w:r>
      <w:r w:rsidR="006C4DB7" w:rsidRPr="003414DC">
        <w:rPr>
          <w:i/>
          <w:lang w:val="fr-FR"/>
        </w:rPr>
        <w:t>’</w:t>
      </w:r>
      <w:r w:rsidRPr="003414DC">
        <w:rPr>
          <w:i/>
          <w:lang w:val="fr-FR"/>
        </w:rPr>
        <w:t>Équipe d</w:t>
      </w:r>
      <w:r w:rsidR="006C4DB7" w:rsidRPr="003414DC">
        <w:rPr>
          <w:i/>
          <w:lang w:val="fr-FR"/>
        </w:rPr>
        <w:t>’</w:t>
      </w:r>
      <w:r w:rsidRPr="003414DC">
        <w:rPr>
          <w:i/>
          <w:lang w:val="fr-FR"/>
        </w:rPr>
        <w:t>experts chargée de la situation juridique</w:t>
      </w:r>
    </w:p>
    <w:bookmarkEnd w:id="4"/>
    <w:p w14:paraId="70AA16DF" w14:textId="77777777" w:rsidR="00BE1F97" w:rsidRPr="003414DC" w:rsidRDefault="00BE1F97" w:rsidP="003414DC">
      <w:pPr>
        <w:pStyle w:val="Heading2"/>
        <w:rPr>
          <w:lang w:val="fr-FR"/>
        </w:rPr>
      </w:pPr>
      <w:r w:rsidRPr="003414DC">
        <w:rPr>
          <w:lang w:val="fr-FR"/>
        </w:rPr>
        <w:t>Résumé</w:t>
      </w:r>
    </w:p>
    <w:p w14:paraId="2F8BE97B" w14:textId="51AE7ADE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est responsable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élaboration et des révisions des normes ST.27, 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sur la situation juridiq</w:t>
      </w:r>
      <w:r w:rsidR="003414DC" w:rsidRPr="003414DC">
        <w:rPr>
          <w:lang w:val="fr-FR"/>
        </w:rPr>
        <w:t>ue.  De</w:t>
      </w:r>
      <w:r w:rsidRPr="003414DC">
        <w:rPr>
          <w:lang w:val="fr-FR"/>
        </w:rPr>
        <w:t>puis la dernière session du Comité des normes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(CWS),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a travaillé à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élaboration de l</w:t>
      </w:r>
      <w:r w:rsidR="006C4DB7" w:rsidRPr="003414DC">
        <w:rPr>
          <w:lang w:val="fr-FR"/>
        </w:rPr>
        <w:t>’annexe I</w:t>
      </w:r>
      <w:r w:rsidRPr="003414DC">
        <w:rPr>
          <w:lang w:val="fr-FR"/>
        </w:rPr>
        <w:t>I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OMPI, fruit de sa collaboration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chargés de la norme XML4IP pour produire des schémas XML permettant de saisir des données sur la situation juridique des dessins et modèles industrie</w:t>
      </w:r>
      <w:r w:rsidR="003414DC" w:rsidRPr="003414DC">
        <w:rPr>
          <w:lang w:val="fr-FR"/>
        </w:rPr>
        <w:t xml:space="preserve">ls.  À </w:t>
      </w:r>
      <w:r w:rsidRPr="003414DC">
        <w:rPr>
          <w:lang w:val="fr-FR"/>
        </w:rPr>
        <w:t>la lumière de ces mises à jour, le responsable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propose également des révisions des normes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ST.27 et ST.61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afin de maintenir la cohérence entre les trois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normes sur la situation juridique.</w:t>
      </w:r>
    </w:p>
    <w:p w14:paraId="4F58636A" w14:textId="7F7B12C4" w:rsidR="00BE1F97" w:rsidRPr="003414DC" w:rsidRDefault="00EC0F49" w:rsidP="003414DC">
      <w:pPr>
        <w:pStyle w:val="Heading2"/>
        <w:rPr>
          <w:rFonts w:eastAsia="Malgun Gothic"/>
          <w:szCs w:val="22"/>
          <w:lang w:val="fr-FR"/>
        </w:rPr>
      </w:pPr>
      <w:r w:rsidRPr="003414DC">
        <w:rPr>
          <w:lang w:val="fr-FR"/>
        </w:rPr>
        <w:t>Contexte</w:t>
      </w:r>
    </w:p>
    <w:p w14:paraId="10DF016D" w14:textId="25D9919D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À sa trois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>, tenue en 2013, le CWS a créé la tâche n° 47</w:t>
      </w:r>
      <w:r w:rsidR="006C4DB7" w:rsidRPr="003414DC">
        <w:rPr>
          <w:lang w:val="fr-FR"/>
        </w:rPr>
        <w:t> :</w:t>
      </w:r>
    </w:p>
    <w:p w14:paraId="3ACB8095" w14:textId="6482DD39" w:rsidR="006C4DB7" w:rsidRPr="003414DC" w:rsidRDefault="00BE1F97" w:rsidP="003414D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414DC">
        <w:rPr>
          <w:i/>
          <w:iCs/>
          <w:lang w:val="fr-FR"/>
        </w:rPr>
        <w:t>“Élaborer une proposition relative à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établissement d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une nouvelle norme de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OMPI concernant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échange de données sur la situation juridique des brevets par les offices de propriété industriel</w:t>
      </w:r>
      <w:r w:rsidR="003414DC" w:rsidRPr="003414DC">
        <w:rPr>
          <w:i/>
          <w:iCs/>
          <w:lang w:val="fr-FR"/>
        </w:rPr>
        <w:t>le.  Un</w:t>
      </w:r>
      <w:r w:rsidRPr="003414DC">
        <w:rPr>
          <w:i/>
          <w:iCs/>
          <w:lang w:val="fr-FR"/>
        </w:rPr>
        <w:t>e fois cette tâche achevée, la proposition correspondante devrait être étendue aux marques et aux dessins et modèles industriels”.</w:t>
      </w:r>
    </w:p>
    <w:p w14:paraId="723AD9F9" w14:textId="1665C6D3" w:rsidR="00EC0F49" w:rsidRPr="003414DC" w:rsidRDefault="00BE1F97" w:rsidP="003414DC">
      <w:pPr>
        <w:pStyle w:val="ONUMFS"/>
        <w:numPr>
          <w:ilvl w:val="0"/>
          <w:numId w:val="0"/>
        </w:numPr>
        <w:rPr>
          <w:lang w:val="fr-FR"/>
        </w:rPr>
      </w:pPr>
      <w:r w:rsidRPr="003414DC">
        <w:rPr>
          <w:lang w:val="fr-FR"/>
        </w:rPr>
        <w:t>Le CWS a également établi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et désigné le Bureau international comme responsable (</w:t>
      </w:r>
      <w:r w:rsidR="003414DC">
        <w:rPr>
          <w:lang w:val="fr-FR"/>
        </w:rPr>
        <w:t>v</w:t>
      </w:r>
      <w:r w:rsidRPr="003414DC">
        <w:rPr>
          <w:lang w:val="fr-FR"/>
        </w:rPr>
        <w:t>oir les paragraphes 50 à 54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CWS/3/14)</w:t>
      </w:r>
      <w:r w:rsidR="003414DC">
        <w:rPr>
          <w:lang w:val="fr-FR"/>
        </w:rPr>
        <w:t>.</w:t>
      </w:r>
    </w:p>
    <w:p w14:paraId="7CD38048" w14:textId="7A8F4585" w:rsidR="00EC0F49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lastRenderedPageBreak/>
        <w:t>À sa cinqu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>, tenue en 2017, le CWS a adopté la norme ST.27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intitulée “Recommandation concernant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échange de données sur la situation juridique des brevets” (voir les paragraphes 50 et 51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CWS/5/22).  À sa six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>, tenue en 2018, il a adopté la norme 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intitulée “Recommandation concernant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échange de données sur la situation juridique des dessins et modèles industriels” (voir les paragraphes 102 et</w:t>
      </w:r>
      <w:r w:rsidR="003414DC">
        <w:rPr>
          <w:lang w:val="fr-FR"/>
        </w:rPr>
        <w:t> </w:t>
      </w:r>
      <w:r w:rsidRPr="003414DC">
        <w:rPr>
          <w:lang w:val="fr-FR"/>
        </w:rPr>
        <w:t>105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CWS/6/34).</w:t>
      </w:r>
    </w:p>
    <w:p w14:paraId="64178BF9" w14:textId="1E23DE61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À sa huit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>, tenue en 2020, le CWS a adopté la norme ST.61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intitulée “Recommandation concernant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échange de données sur la situation juridique des marques” (voir les paragraphes 26 à 28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CWS/8/24).  À cette même session, il a créé la tâche n° 47, dont la description actualisée se présente ainsi</w:t>
      </w:r>
      <w:r w:rsidR="006C4DB7" w:rsidRPr="003414DC">
        <w:rPr>
          <w:lang w:val="fr-FR"/>
        </w:rPr>
        <w:t> :</w:t>
      </w:r>
    </w:p>
    <w:p w14:paraId="1F454009" w14:textId="19CED2A0" w:rsidR="00EC0F49" w:rsidRPr="003414DC" w:rsidRDefault="00BE1F97" w:rsidP="003414D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414DC">
        <w:rPr>
          <w:i/>
          <w:iCs/>
          <w:lang w:val="fr-FR"/>
        </w:rPr>
        <w:t>“Procéder aux révisions et mises à jour nécessaires des normes ST.27, ST.87 et ST.61 de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OMPI;  établir des documents d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appui pour faciliter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utilisation de ces normes dans la communauté de la propriété intellectuelle;  analyser la possibilité de fusionner les trois normes ST.27, ST.87 et ST.61;  et soutenir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Équipe d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experts chargée de la norme XML4IP dans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élaboration des composantes du schéma XML pour les données relatives à la situation juridique”</w:t>
      </w:r>
      <w:r w:rsidR="00A331CC" w:rsidRPr="003414DC">
        <w:rPr>
          <w:lang w:val="fr-FR"/>
        </w:rPr>
        <w:t>.</w:t>
      </w:r>
    </w:p>
    <w:p w14:paraId="74181CA2" w14:textId="55BDE8D1" w:rsidR="00EC0F49" w:rsidRPr="003414DC" w:rsidRDefault="00BE1F97" w:rsidP="003414DC">
      <w:pPr>
        <w:pStyle w:val="ONUMFS"/>
        <w:numPr>
          <w:ilvl w:val="0"/>
          <w:numId w:val="0"/>
        </w:numPr>
        <w:rPr>
          <w:lang w:val="fr-FR"/>
        </w:rPr>
      </w:pPr>
      <w:r w:rsidRPr="003414DC">
        <w:rPr>
          <w:lang w:val="fr-FR"/>
        </w:rPr>
        <w:t>(Voir les paragraphes 114 à</w:t>
      </w:r>
      <w:r w:rsidR="003414DC">
        <w:rPr>
          <w:lang w:val="fr-FR"/>
        </w:rPr>
        <w:t> </w:t>
      </w:r>
      <w:r w:rsidRPr="003414DC">
        <w:rPr>
          <w:lang w:val="fr-FR"/>
        </w:rPr>
        <w:t>117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CWS/8/24</w:t>
      </w:r>
      <w:r w:rsidR="00A331CC" w:rsidRPr="003414DC">
        <w:rPr>
          <w:lang w:val="fr-FR"/>
        </w:rPr>
        <w:t>.</w:t>
      </w:r>
      <w:r w:rsidRPr="003414DC">
        <w:rPr>
          <w:lang w:val="fr-FR"/>
        </w:rPr>
        <w:t>)</w:t>
      </w:r>
    </w:p>
    <w:p w14:paraId="53FABD15" w14:textId="1187B35B" w:rsidR="00EC0F49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À sa neuv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 xml:space="preserve"> </w:t>
      </w:r>
      <w:r w:rsidR="006C4DB7" w:rsidRPr="003414DC">
        <w:rPr>
          <w:lang w:val="fr-FR"/>
        </w:rPr>
        <w:t>en 2021</w:t>
      </w:r>
      <w:r w:rsidRPr="003414DC">
        <w:rPr>
          <w:lang w:val="fr-FR"/>
        </w:rPr>
        <w:t>,</w:t>
      </w:r>
      <w:r w:rsidR="006C4DB7" w:rsidRPr="003414DC">
        <w:rPr>
          <w:lang w:val="fr-FR"/>
        </w:rPr>
        <w:t xml:space="preserve"> le CWS</w:t>
      </w:r>
      <w:r w:rsidRPr="003414DC">
        <w:rPr>
          <w:lang w:val="fr-FR"/>
        </w:rPr>
        <w:t xml:space="preserve"> a approuvé une révision proposée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ST.27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relative aux “indicateurs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événements”.  Il a également prié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examiner comment adapter les “indicateurs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événements” et les “indicateurs de procédure” dans le cas des normes ST.61 et ST.87 (voir les </w:t>
      </w:r>
      <w:r w:rsidR="006C4DB7" w:rsidRPr="003414DC">
        <w:rPr>
          <w:lang w:val="fr-FR"/>
        </w:rPr>
        <w:t>paragraphes 4</w:t>
      </w:r>
      <w:r w:rsidRPr="003414DC">
        <w:rPr>
          <w:lang w:val="fr-FR"/>
        </w:rPr>
        <w:t>5 à 53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CWS/9/25).</w:t>
      </w:r>
    </w:p>
    <w:p w14:paraId="1C3E138F" w14:textId="33709186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À sa dix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>, tenue en 2022, le CWS a pris note de la suggestion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de suspendre les travaux de fusion et a approuvé la révision qui en découle de la tâche n° 47, dont la description actualisée se présente désormais comme suit</w:t>
      </w:r>
      <w:r w:rsidR="006C4DB7" w:rsidRPr="003414DC">
        <w:rPr>
          <w:lang w:val="fr-FR"/>
        </w:rPr>
        <w:t> :</w:t>
      </w:r>
    </w:p>
    <w:p w14:paraId="600A76F2" w14:textId="4DC5A1AA" w:rsidR="00EC0F49" w:rsidRPr="003414DC" w:rsidRDefault="00BE1F97" w:rsidP="003414DC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3414DC">
        <w:rPr>
          <w:i/>
          <w:iCs/>
          <w:lang w:val="fr-FR"/>
        </w:rPr>
        <w:t>“Procéder aux révisions et mises à jour nécessaires des normes ST.27, ST.87 et ST.61 de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OMPI;  établir des documents d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appui pour faciliter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utilisation de ces normes dans la communauté de la propriété intellectuelle;  et soutenir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Équipe d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experts chargée de la norme</w:t>
      </w:r>
      <w:r w:rsidR="00AF2AAE" w:rsidRPr="003414DC">
        <w:rPr>
          <w:i/>
          <w:iCs/>
          <w:lang w:val="fr-FR"/>
        </w:rPr>
        <w:t> </w:t>
      </w:r>
      <w:r w:rsidRPr="003414DC">
        <w:rPr>
          <w:i/>
          <w:iCs/>
          <w:lang w:val="fr-FR"/>
        </w:rPr>
        <w:t>XML4IP dans l</w:t>
      </w:r>
      <w:r w:rsidR="006C4DB7" w:rsidRPr="003414DC">
        <w:rPr>
          <w:i/>
          <w:iCs/>
          <w:lang w:val="fr-FR"/>
        </w:rPr>
        <w:t>’</w:t>
      </w:r>
      <w:r w:rsidRPr="003414DC">
        <w:rPr>
          <w:i/>
          <w:iCs/>
          <w:lang w:val="fr-FR"/>
        </w:rPr>
        <w:t>élaboration des composantes du schéma XML pour les données relatives à la situation juridique”</w:t>
      </w:r>
      <w:r w:rsidR="00A331CC" w:rsidRPr="003414DC">
        <w:rPr>
          <w:lang w:val="fr-FR"/>
        </w:rPr>
        <w:t>.</w:t>
      </w:r>
    </w:p>
    <w:p w14:paraId="73DA334E" w14:textId="4A9508E8" w:rsidR="00EC0F49" w:rsidRPr="003414DC" w:rsidRDefault="00BE1F97" w:rsidP="003414DC">
      <w:pPr>
        <w:pStyle w:val="ONUMFS"/>
        <w:numPr>
          <w:ilvl w:val="0"/>
          <w:numId w:val="0"/>
        </w:numPr>
        <w:rPr>
          <w:lang w:val="fr-FR"/>
        </w:rPr>
      </w:pPr>
      <w:r w:rsidRPr="003414DC">
        <w:rPr>
          <w:lang w:val="fr-FR"/>
        </w:rPr>
        <w:t xml:space="preserve">(Voir les paragraphes 75 et 76 du </w:t>
      </w:r>
      <w:r w:rsidR="006C4DB7" w:rsidRPr="003414DC">
        <w:rPr>
          <w:lang w:val="fr-FR"/>
        </w:rPr>
        <w:t>document</w:t>
      </w:r>
      <w:r w:rsidR="003414DC">
        <w:rPr>
          <w:lang w:val="fr-FR"/>
        </w:rPr>
        <w:t> </w:t>
      </w:r>
      <w:r w:rsidR="006C4DB7" w:rsidRPr="003414DC">
        <w:rPr>
          <w:lang w:val="fr-FR"/>
        </w:rPr>
        <w:t>CW</w:t>
      </w:r>
      <w:r w:rsidRPr="003414DC">
        <w:rPr>
          <w:lang w:val="fr-FR"/>
        </w:rPr>
        <w:t>S/10/22.)</w:t>
      </w:r>
    </w:p>
    <w:p w14:paraId="3732A677" w14:textId="3BE63706" w:rsidR="00EC0F49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À sa onz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 xml:space="preserve"> tenue en 2023, le CWS a approuvé la révision proposée de l</w:t>
      </w:r>
      <w:r w:rsidR="006C4DB7" w:rsidRPr="003414DC">
        <w:rPr>
          <w:lang w:val="fr-FR"/>
        </w:rPr>
        <w:t>’annexe I</w:t>
      </w:r>
      <w:r w:rsidRPr="003414DC">
        <w:rPr>
          <w:lang w:val="fr-FR"/>
        </w:rPr>
        <w:t>I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ST.61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</w:t>
      </w:r>
      <w:r w:rsidR="003414DC" w:rsidRPr="003414DC">
        <w:rPr>
          <w:lang w:val="fr-FR"/>
        </w:rPr>
        <w:t>MPI.  Le</w:t>
      </w:r>
      <w:r w:rsidR="006C4DB7" w:rsidRPr="003414DC">
        <w:rPr>
          <w:lang w:val="fr-FR"/>
        </w:rPr>
        <w:t> CWS</w:t>
      </w:r>
      <w:r w:rsidRPr="003414DC">
        <w:rPr>
          <w:lang w:val="fr-FR"/>
        </w:rPr>
        <w:t xml:space="preserve"> a été invité à fournir des commentaires spécifiques au Bureau international, en sa qualité de responsable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juridique, sur la question de savoir si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équilibre entre le nombre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événements détaillés et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événements clés est approprié (voir les </w:t>
      </w:r>
      <w:r w:rsidR="006C4DB7" w:rsidRPr="003414DC">
        <w:rPr>
          <w:lang w:val="fr-FR"/>
        </w:rPr>
        <w:t>paragraphes 1</w:t>
      </w:r>
      <w:r w:rsidRPr="003414DC">
        <w:rPr>
          <w:lang w:val="fr-FR"/>
        </w:rPr>
        <w:t>22 et 146 du document</w:t>
      </w:r>
      <w:r w:rsidR="003414DC">
        <w:rPr>
          <w:lang w:val="fr-FR"/>
        </w:rPr>
        <w:t> </w:t>
      </w:r>
      <w:r w:rsidRPr="003414DC">
        <w:rPr>
          <w:lang w:val="fr-FR"/>
        </w:rPr>
        <w:t>CWS/11/28).  À cette session,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experts chargée de la situation juridique a encouragé les offices de propriété industrielle à communiquer ou à actualiser leurs tables de correspondance publiées dans la </w:t>
      </w:r>
      <w:hyperlink r:id="rId8" w:anchor="p7.13" w:history="1">
        <w:r w:rsidRPr="003414DC">
          <w:rPr>
            <w:rStyle w:val="Hyperlink"/>
            <w:lang w:val="fr-FR"/>
          </w:rPr>
          <w:t>partie</w:t>
        </w:r>
        <w:r w:rsidR="003414DC">
          <w:rPr>
            <w:rStyle w:val="Hyperlink"/>
            <w:lang w:val="fr-FR"/>
          </w:rPr>
          <w:t> </w:t>
        </w:r>
        <w:r w:rsidRPr="003414DC">
          <w:rPr>
            <w:rStyle w:val="Hyperlink"/>
            <w:lang w:val="fr-FR"/>
          </w:rPr>
          <w:t>7.13 du Manuel de l</w:t>
        </w:r>
        <w:r w:rsidR="006C4DB7" w:rsidRPr="003414DC">
          <w:rPr>
            <w:rStyle w:val="Hyperlink"/>
            <w:lang w:val="fr-FR"/>
          </w:rPr>
          <w:t>’</w:t>
        </w:r>
        <w:r w:rsidRPr="003414DC">
          <w:rPr>
            <w:rStyle w:val="Hyperlink"/>
            <w:lang w:val="fr-FR"/>
          </w:rPr>
          <w:t>OMPI</w:t>
        </w:r>
      </w:hyperlink>
      <w:r w:rsidRPr="003414DC">
        <w:rPr>
          <w:lang w:val="fr-FR"/>
        </w:rPr>
        <w:t>.</w:t>
      </w:r>
    </w:p>
    <w:p w14:paraId="41540020" w14:textId="40A68107" w:rsidR="00BE1F97" w:rsidRPr="003414DC" w:rsidRDefault="00EC0F49" w:rsidP="003414DC">
      <w:pPr>
        <w:pStyle w:val="Heading2"/>
        <w:rPr>
          <w:rFonts w:eastAsia="Malgun Gothic"/>
          <w:szCs w:val="22"/>
          <w:lang w:val="fr-FR"/>
        </w:rPr>
      </w:pPr>
      <w:r w:rsidRPr="003414DC">
        <w:rPr>
          <w:lang w:val="fr-FR"/>
        </w:rPr>
        <w:t>Progrès réalisés concernant la tâche n°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47</w:t>
      </w:r>
    </w:p>
    <w:p w14:paraId="4E95A936" w14:textId="77777777" w:rsidR="00BE1F97" w:rsidRPr="003414DC" w:rsidRDefault="00BE1F97" w:rsidP="003414DC">
      <w:pPr>
        <w:pStyle w:val="Heading3"/>
        <w:spacing w:before="120"/>
        <w:rPr>
          <w:lang w:val="fr-FR"/>
        </w:rPr>
      </w:pPr>
      <w:r w:rsidRPr="003414DC">
        <w:rPr>
          <w:lang w:val="fr-FR"/>
        </w:rPr>
        <w:t>Objectifs</w:t>
      </w:r>
    </w:p>
    <w:p w14:paraId="5E89516F" w14:textId="163EE3A0" w:rsidR="00BE1F9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Dans le cadre de la tâche n° 47, qui a été révisée à la dix</w:t>
      </w:r>
      <w:r w:rsidR="006C4DB7" w:rsidRPr="003414DC">
        <w:rPr>
          <w:lang w:val="fr-FR"/>
        </w:rPr>
        <w:t>ième session</w:t>
      </w:r>
      <w:r w:rsidRPr="003414DC">
        <w:rPr>
          <w:lang w:val="fr-FR"/>
        </w:rPr>
        <w:t xml:space="preserve"> du CWS,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a indiqué que ses objectifs étaient les suivants</w:t>
      </w:r>
      <w:r w:rsidR="006C4DB7" w:rsidRPr="003414DC">
        <w:rPr>
          <w:lang w:val="fr-FR"/>
        </w:rPr>
        <w:t> :</w:t>
      </w:r>
    </w:p>
    <w:p w14:paraId="550600D7" w14:textId="2F2F6AAC" w:rsidR="00BE1F97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améliorer les normes ST.27, ST.87 et ST.61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OMPI, le cas échéant;</w:t>
      </w:r>
    </w:p>
    <w:p w14:paraId="625B1910" w14:textId="5754FC36" w:rsidR="00BE1F97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lastRenderedPageBreak/>
        <w:t>encourager les offices de propriété industrielle à mettre en œuvre les normes ST.27, 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et les soutenir dans cette entreprise;</w:t>
      </w:r>
    </w:p>
    <w:p w14:paraId="5BDD564C" w14:textId="77777777" w:rsidR="00BE1F97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travailler avec les offices de propriété intellectuelle pour tenir à jour leurs tables de correspondance entre les événements relatifs à la situation juridique et les événements visés par les normes ST.27, ST.61 et ST.87;</w:t>
      </w:r>
    </w:p>
    <w:p w14:paraId="3782F45F" w14:textId="1E73E4A6" w:rsidR="006C4DB7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collaborer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norme XML4IP pour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élaboration des schémas XML permettant de saisir des données sur la situation juridique des marques et des dessins et modèles industriels;</w:t>
      </w:r>
    </w:p>
    <w:p w14:paraId="43C16897" w14:textId="4EB0C9FA" w:rsidR="00BE1F97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assurer un suivi des besoins des offices de propriété industrielle en matière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ajouts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“indicateurs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événements” aux normes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ST.27, 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OMPI;  et</w:t>
      </w:r>
    </w:p>
    <w:p w14:paraId="18001309" w14:textId="264F3185" w:rsidR="00EC0F49" w:rsidRPr="003414DC" w:rsidRDefault="00BE1F97" w:rsidP="003414DC">
      <w:pPr>
        <w:pStyle w:val="ONUMFS"/>
        <w:numPr>
          <w:ilvl w:val="0"/>
          <w:numId w:val="1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examiner les propositions en suspens au sein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pour les révisions des événements et des catégories figurant dans la norme ST.27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OMPI.</w:t>
      </w:r>
    </w:p>
    <w:p w14:paraId="1CB9B7A1" w14:textId="6C5C8457" w:rsidR="00BE1F97" w:rsidRPr="003414DC" w:rsidRDefault="00BE1F97" w:rsidP="003414DC">
      <w:pPr>
        <w:pStyle w:val="Heading3"/>
        <w:rPr>
          <w:lang w:val="fr-FR"/>
        </w:rPr>
      </w:pPr>
      <w:r w:rsidRPr="003414DC">
        <w:rPr>
          <w:lang w:val="fr-FR"/>
        </w:rPr>
        <w:t>Actions pertinentes pour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année 2024</w:t>
      </w:r>
    </w:p>
    <w:p w14:paraId="1BC65FD3" w14:textId="6E2DA354" w:rsidR="00BE1F97" w:rsidRPr="003414DC" w:rsidRDefault="00BE1F97" w:rsidP="003414DC">
      <w:pPr>
        <w:pStyle w:val="ONUMFS"/>
        <w:rPr>
          <w:iCs/>
          <w:lang w:val="fr-FR"/>
        </w:rPr>
      </w:pPr>
      <w:r w:rsidRPr="003414DC">
        <w:rPr>
          <w:lang w:val="fr-FR"/>
        </w:rPr>
        <w:t>Pour atteindre ces objectifs,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a prévu les activités suivantes pour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année</w:t>
      </w:r>
      <w:r w:rsidR="003414DC">
        <w:rPr>
          <w:lang w:val="fr-FR"/>
        </w:rPr>
        <w:t> </w:t>
      </w:r>
      <w:r w:rsidRPr="003414DC">
        <w:rPr>
          <w:lang w:val="fr-FR"/>
        </w:rPr>
        <w:t>2024</w:t>
      </w:r>
      <w:r w:rsidR="006C4DB7" w:rsidRPr="003414DC">
        <w:rPr>
          <w:lang w:val="fr-FR"/>
        </w:rPr>
        <w:t> :</w:t>
      </w:r>
    </w:p>
    <w:p w14:paraId="471FB7E8" w14:textId="09A85BE0" w:rsidR="006C4DB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poursuivre les débats sur la révision de la norme ST.27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OMPI, notamment la possibilité de mettre en place de nouveaux événements et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éventuelle reclassification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événements;</w:t>
      </w:r>
    </w:p>
    <w:p w14:paraId="3600F935" w14:textId="35E5ACB7" w:rsidR="00BE1F9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organiser une formation sur les normes relatives à la situation juridique à la demande des offices de propriété intellectuelle;</w:t>
      </w:r>
    </w:p>
    <w:p w14:paraId="5E653C0C" w14:textId="43B9C9D6" w:rsidR="00BE1F9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partager les données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expérience sur la mise en œuvre ou les intentions de mise en œuvre sur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espace wiki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experts;</w:t>
      </w:r>
    </w:p>
    <w:p w14:paraId="6CBD715F" w14:textId="6F414CE4" w:rsidR="00BE1F9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encourager les offices de propriété industrielle à mettre à jour leurs tables de correspondance des normes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ST.27, ST.61 et ST.87;</w:t>
      </w:r>
    </w:p>
    <w:p w14:paraId="3AB3419F" w14:textId="77777777" w:rsidR="00BE1F9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établir une ou plusieurs propositions pour la révision des normes ST.27, ST.61 et ST.87 le cas échéant;  et</w:t>
      </w:r>
    </w:p>
    <w:p w14:paraId="09E95133" w14:textId="4BECDF60" w:rsidR="00BE1F97" w:rsidRPr="003414DC" w:rsidRDefault="00BE1F97" w:rsidP="003414DC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collaborer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norme XML4IP pour élaborer les composantes du schéma XML permettant de saisir des données sur la situation juridique</w:t>
      </w:r>
      <w:r w:rsidR="006C4DB7" w:rsidRPr="003414DC">
        <w:rPr>
          <w:lang w:val="fr-FR"/>
        </w:rPr>
        <w:t> :</w:t>
      </w:r>
    </w:p>
    <w:p w14:paraId="56DCBC3C" w14:textId="7AE182E6" w:rsidR="00BE1F97" w:rsidRPr="003414DC" w:rsidRDefault="00BE1F97" w:rsidP="003414DC">
      <w:pPr>
        <w:pStyle w:val="ONUMFS"/>
        <w:numPr>
          <w:ilvl w:val="0"/>
          <w:numId w:val="12"/>
        </w:numPr>
        <w:tabs>
          <w:tab w:val="clear" w:pos="567"/>
          <w:tab w:val="num" w:pos="1701"/>
        </w:tabs>
        <w:ind w:left="1701" w:hanging="567"/>
        <w:rPr>
          <w:iCs/>
          <w:lang w:val="fr-FR"/>
        </w:rPr>
      </w:pPr>
      <w:r w:rsidRPr="003414DC">
        <w:rPr>
          <w:lang w:val="fr-FR"/>
        </w:rPr>
        <w:t>en participant à des réunions conjointes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norme XML4IP;  et</w:t>
      </w:r>
    </w:p>
    <w:p w14:paraId="171C23D4" w14:textId="372FB533" w:rsidR="00EC0F49" w:rsidRPr="003414DC" w:rsidRDefault="00BE1F97" w:rsidP="003414DC">
      <w:pPr>
        <w:pStyle w:val="ONUMFS"/>
        <w:numPr>
          <w:ilvl w:val="0"/>
          <w:numId w:val="12"/>
        </w:numPr>
        <w:tabs>
          <w:tab w:val="clear" w:pos="567"/>
          <w:tab w:val="num" w:pos="1701"/>
        </w:tabs>
        <w:ind w:left="1701" w:hanging="567"/>
        <w:rPr>
          <w:iCs/>
          <w:lang w:val="fr-FR"/>
        </w:rPr>
      </w:pPr>
      <w:r w:rsidRPr="003414DC">
        <w:rPr>
          <w:lang w:val="fr-FR"/>
        </w:rPr>
        <w:t>en nommant des experts en entreprises ou en droit représentant les offices et en coordonnant leurs commentaires concernant les données supplémentaires nécessaires, définies dans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OMPI.</w:t>
      </w:r>
    </w:p>
    <w:p w14:paraId="6C5834E5" w14:textId="55E6ECED" w:rsidR="00BE1F97" w:rsidRPr="003414DC" w:rsidRDefault="00BE1F97" w:rsidP="003414DC">
      <w:pPr>
        <w:pStyle w:val="Heading3"/>
        <w:rPr>
          <w:lang w:val="fr-FR"/>
        </w:rPr>
      </w:pPr>
      <w:r w:rsidRPr="003414DC">
        <w:rPr>
          <w:lang w:val="fr-FR"/>
        </w:rPr>
        <w:t>Défis potentiels et dépendances</w:t>
      </w:r>
    </w:p>
    <w:p w14:paraId="0EF21D58" w14:textId="2F217D6F" w:rsidR="00BE1F97" w:rsidRPr="003414DC" w:rsidRDefault="00BE1F97" w:rsidP="003414DC">
      <w:pPr>
        <w:pStyle w:val="ONUMFS"/>
        <w:rPr>
          <w:iCs/>
          <w:lang w:val="fr-FR"/>
        </w:rPr>
      </w:pPr>
      <w:r w:rsidRPr="003414DC">
        <w:rPr>
          <w:lang w:val="fr-FR"/>
        </w:rPr>
        <w:t>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a recensé plusieurs défis ou dépendances qui auront une incidence sur sa capacité à mener ces travaux</w:t>
      </w:r>
      <w:r w:rsidR="006C4DB7" w:rsidRPr="003414DC">
        <w:rPr>
          <w:lang w:val="fr-FR"/>
        </w:rPr>
        <w:t> :</w:t>
      </w:r>
    </w:p>
    <w:p w14:paraId="552D2A74" w14:textId="50A046A1" w:rsidR="006C4DB7" w:rsidRPr="003414DC" w:rsidRDefault="00BE1F97" w:rsidP="003414DC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t>une participation et une contribution actives des offices de propriété industrielle pour améliorer les normes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sur la situation juridique;</w:t>
      </w:r>
    </w:p>
    <w:p w14:paraId="025C015B" w14:textId="5311AEB1" w:rsidR="006C4DB7" w:rsidRPr="003414DC" w:rsidRDefault="00BE1F97" w:rsidP="003414DC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3414DC">
        <w:rPr>
          <w:lang w:val="fr-FR"/>
        </w:rPr>
        <w:lastRenderedPageBreak/>
        <w:t>la priorité donnée par les offices de propriété intellectuelle à la mise en œuvre des normes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 relatives à la situation juridique;</w:t>
      </w:r>
    </w:p>
    <w:p w14:paraId="52BA716A" w14:textId="5581EB8A" w:rsidR="00BE1F97" w:rsidRPr="003414DC" w:rsidRDefault="00BE1F97" w:rsidP="003414DC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la mise à disposition de schémas XML permettant de saisir des données sur la situation juridique des marques et des dessins et modèles industriels en temps opportun, à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appui de la mise en œuvre des normes 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OMPI;  et</w:t>
      </w:r>
    </w:p>
    <w:p w14:paraId="559DDBEE" w14:textId="66677AC5" w:rsidR="00BE1F97" w:rsidRPr="003414DC" w:rsidRDefault="00BE1F97" w:rsidP="003414DC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iCs/>
          <w:lang w:val="fr-FR"/>
        </w:rPr>
      </w:pPr>
      <w:r w:rsidRPr="003414DC">
        <w:rPr>
          <w:lang w:val="fr-FR"/>
        </w:rPr>
        <w:t>le niveau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implication des utilisateurs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informations sur la propriété intellectuelle, </w:t>
      </w:r>
      <w:r w:rsidR="006C4DB7" w:rsidRPr="003414DC">
        <w:rPr>
          <w:lang w:val="fr-FR"/>
        </w:rPr>
        <w:t>y compris</w:t>
      </w:r>
      <w:r w:rsidRPr="003414DC">
        <w:rPr>
          <w:lang w:val="fr-FR"/>
        </w:rPr>
        <w:t xml:space="preserve"> les observateurs officiels du CWS, dans la mise en œuvre et le processus de révision de ces norm</w:t>
      </w:r>
      <w:r w:rsidR="003414DC" w:rsidRPr="003414DC">
        <w:rPr>
          <w:lang w:val="fr-FR"/>
        </w:rPr>
        <w:t>es.  Ce</w:t>
      </w:r>
      <w:r w:rsidRPr="003414DC">
        <w:rPr>
          <w:lang w:val="fr-FR"/>
        </w:rPr>
        <w:t xml:space="preserve"> type de commentaires est considéré comme important pour les offices afin de déterminer la priorité de la mise en œuvre de ces normes.</w:t>
      </w:r>
    </w:p>
    <w:p w14:paraId="240B0CEF" w14:textId="77777777" w:rsidR="00BE1F97" w:rsidRPr="003414DC" w:rsidRDefault="00BE1F97" w:rsidP="003414DC">
      <w:pPr>
        <w:pStyle w:val="Heading3"/>
        <w:rPr>
          <w:lang w:val="fr-FR"/>
        </w:rPr>
      </w:pPr>
      <w:r w:rsidRPr="003414DC">
        <w:rPr>
          <w:lang w:val="fr-FR"/>
        </w:rPr>
        <w:t>Évaluation des progrès accomplis</w:t>
      </w:r>
    </w:p>
    <w:p w14:paraId="13D57876" w14:textId="4480B620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Depuis la dernière session,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a donné la priorité à la préparation de la mise à jour de l</w:t>
      </w:r>
      <w:r w:rsidR="006C4DB7" w:rsidRPr="003414DC">
        <w:rPr>
          <w:lang w:val="fr-FR"/>
        </w:rPr>
        <w:t>’annexe I</w:t>
      </w:r>
      <w:r w:rsidRPr="003414DC">
        <w:rPr>
          <w:lang w:val="fr-FR"/>
        </w:rPr>
        <w:t>I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</w:t>
      </w:r>
      <w:r w:rsidR="003414DC" w:rsidRPr="003414DC">
        <w:rPr>
          <w:lang w:val="fr-FR"/>
        </w:rPr>
        <w:t>MPI.  Lo</w:t>
      </w:r>
      <w:r w:rsidRPr="003414DC">
        <w:rPr>
          <w:lang w:val="fr-FR"/>
        </w:rPr>
        <w:t>rs de la préparation de la version révisée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experts a relevé certaines incohérences entre les </w:t>
      </w:r>
      <w:r w:rsidR="006C4DB7" w:rsidRPr="003414DC">
        <w:rPr>
          <w:lang w:val="fr-FR"/>
        </w:rPr>
        <w:t>annexes I</w:t>
      </w:r>
      <w:r w:rsidRPr="003414DC">
        <w:rPr>
          <w:lang w:val="fr-FR"/>
        </w:rPr>
        <w:t>I des normes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ST.27, 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</w:t>
      </w:r>
      <w:r w:rsidR="003414DC" w:rsidRPr="003414DC">
        <w:rPr>
          <w:lang w:val="fr-FR"/>
        </w:rPr>
        <w:t>MPI.  Pa</w:t>
      </w:r>
      <w:r w:rsidRPr="003414DC">
        <w:rPr>
          <w:lang w:val="fr-FR"/>
        </w:rPr>
        <w:t>r conséquent,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a élaboré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autres propositions de révision de ces normes et les présente pour examen à la présente sessi</w:t>
      </w:r>
      <w:r w:rsidR="003414DC" w:rsidRPr="003414DC">
        <w:rPr>
          <w:lang w:val="fr-FR"/>
        </w:rPr>
        <w:t>on.  Ce</w:t>
      </w:r>
      <w:r w:rsidRPr="003414DC">
        <w:rPr>
          <w:lang w:val="fr-FR"/>
        </w:rPr>
        <w:t>s propositions sont reproduites dans le document</w:t>
      </w:r>
      <w:r w:rsidR="003414DC">
        <w:rPr>
          <w:lang w:val="fr-FR"/>
        </w:rPr>
        <w:t> </w:t>
      </w:r>
      <w:r w:rsidRPr="003414DC">
        <w:rPr>
          <w:lang w:val="fr-FR"/>
        </w:rPr>
        <w:t>CWS/12/19.</w:t>
      </w:r>
    </w:p>
    <w:p w14:paraId="64254CC9" w14:textId="1DC8F585" w:rsidR="006C4DB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a organisé deux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réunions conjointes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XML4IP en avril et en juin pour discuter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élaboration des composantes du schéma XML pour la situation juridique des dessins et modèles industriels qui sont fondées sur la révision proposée de l</w:t>
      </w:r>
      <w:r w:rsidR="006C4DB7" w:rsidRPr="003414DC">
        <w:rPr>
          <w:lang w:val="fr-FR"/>
        </w:rPr>
        <w:t>’annexe I</w:t>
      </w:r>
      <w:r w:rsidRPr="003414DC">
        <w:rPr>
          <w:lang w:val="fr-FR"/>
        </w:rPr>
        <w:t>I de la norme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ST.87.  Lors de ces réunions, les offices ont fait part de leur mise en œuvre ou de leur programme de mise en œuvre de ces trois</w:t>
      </w:r>
      <w:r w:rsidR="00AF2AAE" w:rsidRPr="003414DC">
        <w:rPr>
          <w:lang w:val="fr-FR"/>
        </w:rPr>
        <w:t> </w:t>
      </w:r>
      <w:r w:rsidRPr="003414DC">
        <w:rPr>
          <w:lang w:val="fr-FR"/>
        </w:rPr>
        <w:t>norm</w:t>
      </w:r>
      <w:r w:rsidR="003414DC" w:rsidRPr="003414DC">
        <w:rPr>
          <w:lang w:val="fr-FR"/>
        </w:rPr>
        <w:t>es.  Il</w:t>
      </w:r>
      <w:r w:rsidRPr="003414DC">
        <w:rPr>
          <w:lang w:val="fr-FR"/>
        </w:rPr>
        <w:t xml:space="preserve"> a été noté que plusieurs offices demandaient aux utilisateurs du secteur de la propriété intellectuelle des commentaires sur leur mise en œuvre afin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améliorer ou de poursuivre la mise en œuvre des normes.</w:t>
      </w:r>
    </w:p>
    <w:p w14:paraId="7F2B283D" w14:textId="1EACBEED" w:rsidR="00BE1F97" w:rsidRPr="003414DC" w:rsidRDefault="00A331CC" w:rsidP="003414DC">
      <w:pPr>
        <w:pStyle w:val="Heading2"/>
        <w:rPr>
          <w:lang w:val="fr-FR"/>
        </w:rPr>
      </w:pPr>
      <w:r w:rsidRPr="003414DC">
        <w:rPr>
          <w:lang w:val="fr-FR"/>
        </w:rPr>
        <w:t>Programme de travail</w:t>
      </w:r>
    </w:p>
    <w:p w14:paraId="35B3ADA3" w14:textId="444B6DF3" w:rsidR="00BE1F97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situation juridique poursuivra sa collaboration avec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chargée de la norme XML4IP afin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améliorer les composantes XML pour les événements relatifs à la situation juridique sur la base des normes ST.27, ST.61 et ST.87 de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OMPI.</w:t>
      </w:r>
    </w:p>
    <w:p w14:paraId="7307A538" w14:textId="01139E8D" w:rsidR="00EC0F49" w:rsidRPr="003414DC" w:rsidRDefault="00BE1F97" w:rsidP="003414DC">
      <w:pPr>
        <w:pStyle w:val="ONUMFS"/>
        <w:rPr>
          <w:lang w:val="fr-FR"/>
        </w:rPr>
      </w:pPr>
      <w:r w:rsidRPr="003414DC">
        <w:rPr>
          <w:lang w:val="fr-FR"/>
        </w:rPr>
        <w:t>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 xml:space="preserve">experts chargée de la situation juridique encourage les offices de propriété industrielle à communiquer ou à actualiser leurs tables de correspondance publiées dans la </w:t>
      </w:r>
      <w:hyperlink r:id="rId9" w:anchor="p7.13" w:history="1">
        <w:r w:rsidRPr="003414DC">
          <w:rPr>
            <w:rStyle w:val="Hyperlink"/>
            <w:lang w:val="fr-FR"/>
          </w:rPr>
          <w:t>partie</w:t>
        </w:r>
        <w:r w:rsidR="003414DC">
          <w:rPr>
            <w:rStyle w:val="Hyperlink"/>
            <w:lang w:val="fr-FR"/>
          </w:rPr>
          <w:t> </w:t>
        </w:r>
        <w:r w:rsidRPr="003414DC">
          <w:rPr>
            <w:rStyle w:val="Hyperlink"/>
            <w:lang w:val="fr-FR"/>
          </w:rPr>
          <w:t>7.13 du Manuel de l</w:t>
        </w:r>
        <w:r w:rsidR="006C4DB7" w:rsidRPr="003414DC">
          <w:rPr>
            <w:rStyle w:val="Hyperlink"/>
            <w:lang w:val="fr-FR"/>
          </w:rPr>
          <w:t>’</w:t>
        </w:r>
        <w:r w:rsidRPr="003414DC">
          <w:rPr>
            <w:rStyle w:val="Hyperlink"/>
            <w:lang w:val="fr-FR"/>
          </w:rPr>
          <w:t>OMPI</w:t>
        </w:r>
      </w:hyperlink>
      <w:r w:rsidRPr="003414DC">
        <w:rPr>
          <w:lang w:val="fr-FR"/>
        </w:rPr>
        <w:t>.  L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équipe d</w:t>
      </w:r>
      <w:r w:rsidR="006C4DB7" w:rsidRPr="003414DC">
        <w:rPr>
          <w:lang w:val="fr-FR"/>
        </w:rPr>
        <w:t>’</w:t>
      </w:r>
      <w:r w:rsidRPr="003414DC">
        <w:rPr>
          <w:lang w:val="fr-FR"/>
        </w:rPr>
        <w:t>experts continuera de travailler sur les autres actions en cours indiquées au paragraphe</w:t>
      </w:r>
      <w:r w:rsidR="00A331CC" w:rsidRPr="003414DC">
        <w:rPr>
          <w:lang w:val="fr-FR"/>
        </w:rPr>
        <w:t> </w:t>
      </w:r>
      <w:r w:rsidRPr="003414DC">
        <w:rPr>
          <w:lang w:val="fr-FR"/>
        </w:rPr>
        <w:t>9.</w:t>
      </w:r>
    </w:p>
    <w:p w14:paraId="3A7CDC65" w14:textId="635C039E" w:rsidR="006C4DB7" w:rsidRPr="003414DC" w:rsidRDefault="00BE1F97" w:rsidP="003414DC">
      <w:pPr>
        <w:pStyle w:val="ONUMFS"/>
        <w:ind w:left="5533"/>
        <w:rPr>
          <w:i/>
          <w:lang w:val="fr-FR"/>
        </w:rPr>
      </w:pPr>
      <w:r w:rsidRPr="003414DC">
        <w:rPr>
          <w:i/>
          <w:lang w:val="fr-FR"/>
        </w:rPr>
        <w:t xml:space="preserve">Le CWS est invité à prendre note du contenu du présent document, en particulier du programme de travail proposé aux </w:t>
      </w:r>
      <w:r w:rsidR="006C4DB7" w:rsidRPr="003414DC">
        <w:rPr>
          <w:i/>
          <w:lang w:val="fr-FR"/>
        </w:rPr>
        <w:t>paragraphes 9</w:t>
      </w:r>
      <w:r w:rsidRPr="003414DC">
        <w:rPr>
          <w:i/>
          <w:lang w:val="fr-FR"/>
        </w:rPr>
        <w:t>, 13 et</w:t>
      </w:r>
      <w:r w:rsidR="00A331CC" w:rsidRPr="003414DC">
        <w:rPr>
          <w:i/>
          <w:lang w:val="fr-FR"/>
        </w:rPr>
        <w:t> </w:t>
      </w:r>
      <w:r w:rsidRPr="003414DC">
        <w:rPr>
          <w:i/>
          <w:lang w:val="fr-FR"/>
        </w:rPr>
        <w:t>14.</w:t>
      </w:r>
    </w:p>
    <w:p w14:paraId="5DF8EE8A" w14:textId="05FF9ED4" w:rsidR="000F5E56" w:rsidRPr="003414DC" w:rsidRDefault="00BE1F97" w:rsidP="003414DC">
      <w:pPr>
        <w:pStyle w:val="Endofdocument-Annex"/>
      </w:pPr>
      <w:r w:rsidRPr="003414DC">
        <w:t>[Fin du document]</w:t>
      </w:r>
    </w:p>
    <w:sectPr w:rsidR="000F5E56" w:rsidRPr="003414DC" w:rsidSect="00BE1F9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64D2C" w14:textId="77777777" w:rsidR="00BE1F97" w:rsidRDefault="00BE1F97">
      <w:r>
        <w:separator/>
      </w:r>
    </w:p>
  </w:endnote>
  <w:endnote w:type="continuationSeparator" w:id="0">
    <w:p w14:paraId="2A341DE4" w14:textId="77777777" w:rsidR="00BE1F97" w:rsidRPr="009D30E6" w:rsidRDefault="00BE1F9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C6B8E45" w14:textId="77777777" w:rsidR="00BE1F97" w:rsidRPr="009D30E6" w:rsidRDefault="00BE1F9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9A65643" w14:textId="77777777" w:rsidR="00BE1F97" w:rsidRPr="009D30E6" w:rsidRDefault="00BE1F9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80A5" w14:textId="77777777" w:rsidR="00BE1F97" w:rsidRDefault="00BE1F97">
      <w:r>
        <w:separator/>
      </w:r>
    </w:p>
  </w:footnote>
  <w:footnote w:type="continuationSeparator" w:id="0">
    <w:p w14:paraId="0E527E94" w14:textId="77777777" w:rsidR="00BE1F97" w:rsidRDefault="00BE1F97" w:rsidP="007461F1">
      <w:r>
        <w:separator/>
      </w:r>
    </w:p>
    <w:p w14:paraId="0DCEB70E" w14:textId="77777777" w:rsidR="00BE1F97" w:rsidRPr="009D30E6" w:rsidRDefault="00BE1F9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FD9E97C" w14:textId="77777777" w:rsidR="00BE1F97" w:rsidRPr="009D30E6" w:rsidRDefault="00BE1F9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F41" w14:textId="77777777" w:rsidR="00F16975" w:rsidRDefault="00BE1F97" w:rsidP="00477D6B">
    <w:pPr>
      <w:jc w:val="right"/>
    </w:pPr>
    <w:bookmarkStart w:id="5" w:name="Code2"/>
    <w:bookmarkEnd w:id="5"/>
    <w:r>
      <w:t>CWS/12/6</w:t>
    </w:r>
  </w:p>
  <w:p w14:paraId="407DB8A2" w14:textId="2C72D612" w:rsidR="004F4E31" w:rsidRDefault="00F16975" w:rsidP="00A331CC">
    <w:pPr>
      <w:spacing w:after="480"/>
      <w:jc w:val="right"/>
    </w:pPr>
    <w:r>
      <w:t>page</w:t>
    </w:r>
    <w:r w:rsidR="00A331C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E056C5"/>
    <w:multiLevelType w:val="multilevel"/>
    <w:tmpl w:val="102A8774"/>
    <w:lvl w:ilvl="0">
      <w:numFmt w:val="bullet"/>
      <w:lvlText w:val="•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51132"/>
    <w:multiLevelType w:val="multilevel"/>
    <w:tmpl w:val="85BE647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2038A3"/>
    <w:multiLevelType w:val="multilevel"/>
    <w:tmpl w:val="17043A5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21DB5"/>
    <w:multiLevelType w:val="multilevel"/>
    <w:tmpl w:val="3FD2A4C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8192">
    <w:abstractNumId w:val="4"/>
  </w:num>
  <w:num w:numId="2" w16cid:durableId="1870607316">
    <w:abstractNumId w:val="9"/>
  </w:num>
  <w:num w:numId="3" w16cid:durableId="844322595">
    <w:abstractNumId w:val="0"/>
  </w:num>
  <w:num w:numId="4" w16cid:durableId="1456631763">
    <w:abstractNumId w:val="11"/>
  </w:num>
  <w:num w:numId="5" w16cid:durableId="628778745">
    <w:abstractNumId w:val="1"/>
  </w:num>
  <w:num w:numId="6" w16cid:durableId="670451745">
    <w:abstractNumId w:val="6"/>
  </w:num>
  <w:num w:numId="7" w16cid:durableId="408691666">
    <w:abstractNumId w:val="8"/>
  </w:num>
  <w:num w:numId="8" w16cid:durableId="2126271230">
    <w:abstractNumId w:val="5"/>
  </w:num>
  <w:num w:numId="9" w16cid:durableId="851335836">
    <w:abstractNumId w:val="12"/>
  </w:num>
  <w:num w:numId="10" w16cid:durableId="1459954464">
    <w:abstractNumId w:val="3"/>
  </w:num>
  <w:num w:numId="11" w16cid:durableId="1722825645">
    <w:abstractNumId w:val="10"/>
  </w:num>
  <w:num w:numId="12" w16cid:durableId="53890509">
    <w:abstractNumId w:val="2"/>
  </w:num>
  <w:num w:numId="13" w16cid:durableId="224800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97"/>
    <w:rsid w:val="00011B7D"/>
    <w:rsid w:val="00067E25"/>
    <w:rsid w:val="00075432"/>
    <w:rsid w:val="000F5E56"/>
    <w:rsid w:val="001352EC"/>
    <w:rsid w:val="001362EE"/>
    <w:rsid w:val="001832A6"/>
    <w:rsid w:val="00195C6E"/>
    <w:rsid w:val="00197881"/>
    <w:rsid w:val="001B266A"/>
    <w:rsid w:val="001D3D56"/>
    <w:rsid w:val="0021675B"/>
    <w:rsid w:val="00240654"/>
    <w:rsid w:val="002634C4"/>
    <w:rsid w:val="002D4918"/>
    <w:rsid w:val="002E4D1A"/>
    <w:rsid w:val="002F16BC"/>
    <w:rsid w:val="002F4E68"/>
    <w:rsid w:val="00315FCA"/>
    <w:rsid w:val="003414DC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340B7"/>
    <w:rsid w:val="00547476"/>
    <w:rsid w:val="00561DB8"/>
    <w:rsid w:val="00567A4C"/>
    <w:rsid w:val="005E6516"/>
    <w:rsid w:val="00605827"/>
    <w:rsid w:val="00676936"/>
    <w:rsid w:val="006B0DB5"/>
    <w:rsid w:val="006C4DB7"/>
    <w:rsid w:val="006D3B2F"/>
    <w:rsid w:val="006E4243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331CC"/>
    <w:rsid w:val="00A80A8F"/>
    <w:rsid w:val="00AA1F20"/>
    <w:rsid w:val="00AC0AE4"/>
    <w:rsid w:val="00AD61DB"/>
    <w:rsid w:val="00AF2AAE"/>
    <w:rsid w:val="00B87BCF"/>
    <w:rsid w:val="00BA62D4"/>
    <w:rsid w:val="00BB3C9D"/>
    <w:rsid w:val="00BE1F97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4346"/>
    <w:rsid w:val="00E76456"/>
    <w:rsid w:val="00EC0F49"/>
    <w:rsid w:val="00EE71CB"/>
    <w:rsid w:val="00F16975"/>
    <w:rsid w:val="00F66152"/>
    <w:rsid w:val="00FF4371"/>
    <w:rsid w:val="00FF5E65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0D9B2"/>
  <w15:docId w15:val="{F94CC4A2-BF51-4A61-8243-3ECB6CA4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E1F9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iPriority w:val="99"/>
    <w:unhideWhenUsed/>
    <w:rsid w:val="00BE1F9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E1F97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standards/fr/part_0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standards/fr/part_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19</TotalTime>
  <Pages>4</Pages>
  <Words>1688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CWS/12/6</vt:lpstr>
    </vt:vector>
  </TitlesOfParts>
  <Company>WIPO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CWS/12/6</dc:title>
  <dc:creator>WIPO</dc:creator>
  <cp:keywords>Comité des normes de l’OMPI (CWS) Douzièeme session</cp:keywords>
  <cp:lastModifiedBy>BLANCHET Gaspard</cp:lastModifiedBy>
  <cp:revision>5</cp:revision>
  <cp:lastPrinted>2011-05-19T12:37:00Z</cp:lastPrinted>
  <dcterms:created xsi:type="dcterms:W3CDTF">2024-08-13T08:24:00Z</dcterms:created>
  <dcterms:modified xsi:type="dcterms:W3CDTF">2024-08-20T14:01:00Z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2024-08-13T08:27:30Z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16abd5d9-1f7d-4810-91fa-505c92b854a4</vt:lpwstr>
  </property>
  <property fmtid="{D5CDD505-2E9C-101B-9397-08002B2CF9AE}" pid="14" name="MSIP_Label_20773ee6-353b-4fb9-a59d-0b94c8c67bea_ContentBits">
    <vt:lpwstr>0</vt:lpwstr>
  </property>
</Properties>
</file>