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26BEA" w14:textId="77777777" w:rsidR="008B2CC1" w:rsidRPr="005D5D18" w:rsidRDefault="00DB0349" w:rsidP="00DB0349">
      <w:pPr>
        <w:spacing w:after="120"/>
        <w:jc w:val="right"/>
        <w:rPr>
          <w:lang w:val="fr-FR"/>
        </w:rPr>
      </w:pPr>
      <w:r w:rsidRPr="005D5D18">
        <w:rPr>
          <w:noProof/>
          <w:lang w:val="fr-FR" w:eastAsia="en-US"/>
        </w:rPr>
        <w:drawing>
          <wp:inline distT="0" distB="0" distL="0" distR="0" wp14:anchorId="59D6DE3D" wp14:editId="2318AB7E">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5D5D18">
        <w:rPr>
          <w:rFonts w:ascii="Arial Black" w:hAnsi="Arial Black"/>
          <w:caps/>
          <w:noProof/>
          <w:sz w:val="15"/>
          <w:szCs w:val="15"/>
          <w:lang w:val="fr-FR" w:eastAsia="en-US"/>
        </w:rPr>
        <mc:AlternateContent>
          <mc:Choice Requires="wps">
            <w:drawing>
              <wp:inline distT="0" distB="0" distL="0" distR="0" wp14:anchorId="0477D8BE" wp14:editId="04C2ADF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ABFA68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842EEB7" w14:textId="5A479C52" w:rsidR="008B2CC1" w:rsidRPr="005D5D18" w:rsidRDefault="00197881" w:rsidP="00DB0349">
      <w:pPr>
        <w:jc w:val="right"/>
        <w:rPr>
          <w:rFonts w:ascii="Arial Black" w:hAnsi="Arial Black"/>
          <w:caps/>
          <w:sz w:val="15"/>
          <w:szCs w:val="15"/>
          <w:lang w:val="fr-FR"/>
        </w:rPr>
      </w:pPr>
      <w:r w:rsidRPr="005D5D18">
        <w:rPr>
          <w:rFonts w:ascii="Arial Black" w:hAnsi="Arial Black"/>
          <w:caps/>
          <w:sz w:val="15"/>
          <w:szCs w:val="15"/>
          <w:lang w:val="fr-FR"/>
        </w:rPr>
        <w:t>CWS/1</w:t>
      </w:r>
      <w:r w:rsidR="001352EC" w:rsidRPr="005D5D18">
        <w:rPr>
          <w:rFonts w:ascii="Arial Black" w:hAnsi="Arial Black"/>
          <w:caps/>
          <w:sz w:val="15"/>
          <w:szCs w:val="15"/>
          <w:lang w:val="fr-FR"/>
        </w:rPr>
        <w:t>2</w:t>
      </w:r>
      <w:r w:rsidRPr="005D5D18">
        <w:rPr>
          <w:rFonts w:ascii="Arial Black" w:hAnsi="Arial Black"/>
          <w:caps/>
          <w:sz w:val="15"/>
          <w:szCs w:val="15"/>
          <w:lang w:val="fr-FR"/>
        </w:rPr>
        <w:t>/</w:t>
      </w:r>
      <w:bookmarkStart w:id="0" w:name="Code"/>
      <w:bookmarkEnd w:id="0"/>
      <w:r w:rsidR="008F0282" w:rsidRPr="005D5D18">
        <w:rPr>
          <w:rFonts w:ascii="Arial Black" w:hAnsi="Arial Black"/>
          <w:caps/>
          <w:sz w:val="15"/>
          <w:szCs w:val="15"/>
          <w:lang w:val="fr-FR"/>
        </w:rPr>
        <w:t>18</w:t>
      </w:r>
      <w:r w:rsidR="00545B6B">
        <w:rPr>
          <w:rFonts w:ascii="Arial Black" w:hAnsi="Arial Black"/>
          <w:caps/>
          <w:sz w:val="15"/>
          <w:szCs w:val="15"/>
          <w:lang w:val="fr-FR"/>
        </w:rPr>
        <w:t xml:space="preserve"> corr.</w:t>
      </w:r>
    </w:p>
    <w:p w14:paraId="5ACC9BF3" w14:textId="5003ED81" w:rsidR="008B2CC1" w:rsidRPr="005D5D18" w:rsidRDefault="00DB0349" w:rsidP="00DB0349">
      <w:pPr>
        <w:jc w:val="right"/>
        <w:rPr>
          <w:rFonts w:ascii="Arial Black" w:hAnsi="Arial Black"/>
          <w:caps/>
          <w:sz w:val="15"/>
          <w:szCs w:val="15"/>
          <w:lang w:val="fr-FR"/>
        </w:rPr>
      </w:pPr>
      <w:r w:rsidRPr="005D5D18">
        <w:rPr>
          <w:rFonts w:ascii="Arial Black" w:hAnsi="Arial Black"/>
          <w:caps/>
          <w:sz w:val="15"/>
          <w:szCs w:val="15"/>
          <w:lang w:val="fr-FR"/>
        </w:rPr>
        <w:t>Original</w:t>
      </w:r>
      <w:r w:rsidR="003F30A0">
        <w:rPr>
          <w:rFonts w:ascii="Arial Black" w:hAnsi="Arial Black"/>
          <w:caps/>
          <w:sz w:val="15"/>
          <w:szCs w:val="15"/>
          <w:lang w:val="fr-FR"/>
        </w:rPr>
        <w:t> :</w:t>
      </w:r>
      <w:r w:rsidRPr="005D5D18">
        <w:rPr>
          <w:rFonts w:ascii="Arial Black" w:hAnsi="Arial Black"/>
          <w:caps/>
          <w:sz w:val="15"/>
          <w:szCs w:val="15"/>
          <w:lang w:val="fr-FR"/>
        </w:rPr>
        <w:t xml:space="preserve"> </w:t>
      </w:r>
      <w:bookmarkStart w:id="1" w:name="Original"/>
      <w:r w:rsidR="008F0282" w:rsidRPr="005D5D18">
        <w:rPr>
          <w:rFonts w:ascii="Arial Black" w:hAnsi="Arial Black"/>
          <w:caps/>
          <w:sz w:val="15"/>
          <w:szCs w:val="15"/>
          <w:lang w:val="fr-FR"/>
        </w:rPr>
        <w:t>anglais</w:t>
      </w:r>
    </w:p>
    <w:bookmarkEnd w:id="1"/>
    <w:p w14:paraId="76879F54" w14:textId="4761A595" w:rsidR="008B2CC1" w:rsidRPr="005D5D18" w:rsidRDefault="00DB0349" w:rsidP="00DB0349">
      <w:pPr>
        <w:spacing w:after="1200"/>
        <w:jc w:val="right"/>
        <w:rPr>
          <w:rFonts w:ascii="Arial Black" w:hAnsi="Arial Black"/>
          <w:b/>
          <w:caps/>
          <w:sz w:val="28"/>
          <w:szCs w:val="28"/>
          <w:lang w:val="fr-FR"/>
        </w:rPr>
      </w:pPr>
      <w:r w:rsidRPr="005D5D18">
        <w:rPr>
          <w:rFonts w:ascii="Arial Black" w:hAnsi="Arial Black"/>
          <w:caps/>
          <w:sz w:val="15"/>
          <w:szCs w:val="15"/>
          <w:lang w:val="fr-FR"/>
        </w:rPr>
        <w:t>date</w:t>
      </w:r>
      <w:r w:rsidR="003F30A0">
        <w:rPr>
          <w:rFonts w:ascii="Arial Black" w:hAnsi="Arial Black"/>
          <w:caps/>
          <w:sz w:val="15"/>
          <w:szCs w:val="15"/>
          <w:lang w:val="fr-FR"/>
        </w:rPr>
        <w:t> :</w:t>
      </w:r>
      <w:bookmarkStart w:id="2" w:name="Date"/>
      <w:r w:rsidR="008F0282" w:rsidRPr="005D5D18">
        <w:rPr>
          <w:rFonts w:ascii="Arial Black" w:hAnsi="Arial Black"/>
          <w:caps/>
          <w:sz w:val="15"/>
          <w:szCs w:val="15"/>
          <w:lang w:val="fr-FR"/>
        </w:rPr>
        <w:t xml:space="preserve"> </w:t>
      </w:r>
      <w:r w:rsidR="00545B6B">
        <w:rPr>
          <w:rFonts w:ascii="Arial Black" w:hAnsi="Arial Black"/>
          <w:caps/>
          <w:sz w:val="15"/>
          <w:szCs w:val="15"/>
          <w:lang w:val="fr-FR"/>
        </w:rPr>
        <w:t>24</w:t>
      </w:r>
      <w:r w:rsidR="008F0282" w:rsidRPr="005D5D18">
        <w:rPr>
          <w:rFonts w:ascii="Arial Black" w:hAnsi="Arial Black"/>
          <w:caps/>
          <w:sz w:val="15"/>
          <w:szCs w:val="15"/>
          <w:lang w:val="fr-FR"/>
        </w:rPr>
        <w:t> </w:t>
      </w:r>
      <w:r w:rsidR="00DA77D5" w:rsidRPr="005D5D18">
        <w:rPr>
          <w:rFonts w:ascii="Arial Black" w:hAnsi="Arial Black"/>
          <w:caps/>
          <w:sz w:val="15"/>
          <w:szCs w:val="15"/>
          <w:lang w:val="fr-FR"/>
        </w:rPr>
        <w:t>juillet 20</w:t>
      </w:r>
      <w:r w:rsidR="008F0282" w:rsidRPr="005D5D18">
        <w:rPr>
          <w:rFonts w:ascii="Arial Black" w:hAnsi="Arial Black"/>
          <w:caps/>
          <w:sz w:val="15"/>
          <w:szCs w:val="15"/>
          <w:lang w:val="fr-FR"/>
        </w:rPr>
        <w:t>24</w:t>
      </w:r>
    </w:p>
    <w:bookmarkEnd w:id="2"/>
    <w:p w14:paraId="4BF8427D" w14:textId="367114B3" w:rsidR="00C40E15" w:rsidRPr="005D5D18" w:rsidRDefault="00197881" w:rsidP="00DB0349">
      <w:pPr>
        <w:spacing w:after="600"/>
        <w:rPr>
          <w:b/>
          <w:sz w:val="28"/>
          <w:szCs w:val="28"/>
          <w:lang w:val="fr-FR"/>
        </w:rPr>
      </w:pPr>
      <w:r w:rsidRPr="005D5D18">
        <w:rPr>
          <w:b/>
          <w:sz w:val="28"/>
          <w:szCs w:val="28"/>
          <w:lang w:val="fr-FR"/>
        </w:rPr>
        <w:t>Comité des normes de l</w:t>
      </w:r>
      <w:r w:rsidR="003F30A0">
        <w:rPr>
          <w:b/>
          <w:sz w:val="28"/>
          <w:szCs w:val="28"/>
          <w:lang w:val="fr-FR"/>
        </w:rPr>
        <w:t>’</w:t>
      </w:r>
      <w:r w:rsidRPr="005D5D18">
        <w:rPr>
          <w:b/>
          <w:sz w:val="28"/>
          <w:szCs w:val="28"/>
          <w:lang w:val="fr-FR"/>
        </w:rPr>
        <w:t>OMPI (CWS)</w:t>
      </w:r>
    </w:p>
    <w:p w14:paraId="0E1BA1AF" w14:textId="2F87A4BB" w:rsidR="008B2CC1" w:rsidRPr="005D5D18" w:rsidRDefault="001352EC" w:rsidP="008B2CC1">
      <w:pPr>
        <w:rPr>
          <w:b/>
          <w:sz w:val="28"/>
          <w:szCs w:val="24"/>
          <w:lang w:val="fr-FR"/>
        </w:rPr>
      </w:pPr>
      <w:r w:rsidRPr="005D5D18">
        <w:rPr>
          <w:b/>
          <w:sz w:val="24"/>
          <w:lang w:val="fr-FR"/>
        </w:rPr>
        <w:t>Douz</w:t>
      </w:r>
      <w:r w:rsidR="003F30A0">
        <w:rPr>
          <w:b/>
          <w:sz w:val="24"/>
          <w:lang w:val="fr-FR"/>
        </w:rPr>
        <w:t>ième session</w:t>
      </w:r>
    </w:p>
    <w:p w14:paraId="55167C1B" w14:textId="5C9244F7" w:rsidR="008B2CC1" w:rsidRPr="005D5D18" w:rsidRDefault="00197881" w:rsidP="00DB0349">
      <w:pPr>
        <w:spacing w:after="720"/>
        <w:rPr>
          <w:b/>
          <w:sz w:val="28"/>
          <w:szCs w:val="24"/>
          <w:lang w:val="fr-FR"/>
        </w:rPr>
      </w:pPr>
      <w:r w:rsidRPr="005D5D18">
        <w:rPr>
          <w:b/>
          <w:sz w:val="24"/>
          <w:lang w:val="fr-FR"/>
        </w:rPr>
        <w:t>Genève,</w:t>
      </w:r>
      <w:r w:rsidR="001352EC" w:rsidRPr="005D5D18">
        <w:rPr>
          <w:b/>
          <w:sz w:val="24"/>
          <w:lang w:val="fr-FR"/>
        </w:rPr>
        <w:t xml:space="preserve"> 16 – </w:t>
      </w:r>
      <w:r w:rsidR="00CA4A41">
        <w:rPr>
          <w:b/>
          <w:sz w:val="24"/>
          <w:lang w:val="fr-FR"/>
        </w:rPr>
        <w:t>19</w:t>
      </w:r>
      <w:r w:rsidR="004242C8" w:rsidRPr="005D5D18">
        <w:rPr>
          <w:b/>
          <w:sz w:val="24"/>
          <w:lang w:val="fr-FR"/>
        </w:rPr>
        <w:t> </w:t>
      </w:r>
      <w:r w:rsidR="00DA77D5" w:rsidRPr="005D5D18">
        <w:rPr>
          <w:b/>
          <w:sz w:val="24"/>
          <w:lang w:val="fr-FR"/>
        </w:rPr>
        <w:t>septembre 20</w:t>
      </w:r>
      <w:r w:rsidR="001352EC" w:rsidRPr="005D5D18">
        <w:rPr>
          <w:b/>
          <w:sz w:val="24"/>
          <w:lang w:val="fr-FR"/>
        </w:rPr>
        <w:t>24</w:t>
      </w:r>
    </w:p>
    <w:p w14:paraId="5AA4073A" w14:textId="01CC1069" w:rsidR="008B2CC1" w:rsidRPr="005D5D18" w:rsidRDefault="008F0282" w:rsidP="00DB0349">
      <w:pPr>
        <w:spacing w:after="360"/>
        <w:rPr>
          <w:caps/>
          <w:sz w:val="24"/>
          <w:lang w:val="fr-FR"/>
        </w:rPr>
      </w:pPr>
      <w:bookmarkStart w:id="3" w:name="TitleOfDoc"/>
      <w:r w:rsidRPr="005D5D18">
        <w:rPr>
          <w:caps/>
          <w:sz w:val="24"/>
          <w:lang w:val="fr-FR"/>
        </w:rPr>
        <w:t>Proposition de révision des normes ST.3, ST.9 et ST.80 de l</w:t>
      </w:r>
      <w:r w:rsidR="003F30A0">
        <w:rPr>
          <w:caps/>
          <w:sz w:val="24"/>
          <w:lang w:val="fr-FR"/>
        </w:rPr>
        <w:t>’</w:t>
      </w:r>
      <w:r w:rsidRPr="005D5D18">
        <w:rPr>
          <w:caps/>
          <w:sz w:val="24"/>
          <w:lang w:val="fr-FR"/>
        </w:rPr>
        <w:t>OMPI</w:t>
      </w:r>
    </w:p>
    <w:p w14:paraId="61B619BB" w14:textId="007B00A5" w:rsidR="00525B63" w:rsidRPr="005D5D18" w:rsidRDefault="008F0282" w:rsidP="00DB0349">
      <w:pPr>
        <w:spacing w:after="960"/>
        <w:rPr>
          <w:i/>
          <w:lang w:val="fr-FR"/>
        </w:rPr>
      </w:pPr>
      <w:bookmarkStart w:id="4" w:name="Prepared"/>
      <w:bookmarkEnd w:id="3"/>
      <w:r w:rsidRPr="005D5D18">
        <w:rPr>
          <w:i/>
          <w:lang w:val="fr-FR"/>
        </w:rPr>
        <w:t>Document établi par le Bureau international</w:t>
      </w:r>
    </w:p>
    <w:bookmarkEnd w:id="4"/>
    <w:p w14:paraId="30BBEB88" w14:textId="77777777" w:rsidR="00DA77D5" w:rsidRPr="005D5D18" w:rsidRDefault="00423BAF" w:rsidP="0041712B">
      <w:pPr>
        <w:pStyle w:val="Heading2"/>
      </w:pPr>
      <w:r w:rsidRPr="005D5D18">
        <w:t>Résumé</w:t>
      </w:r>
    </w:p>
    <w:p w14:paraId="4AC994E7" w14:textId="7D2332F0" w:rsidR="008F0282" w:rsidRPr="005D5D18" w:rsidRDefault="008F0282" w:rsidP="00460147">
      <w:pPr>
        <w:pStyle w:val="ONUMFS"/>
        <w:rPr>
          <w:lang w:val="fr-FR"/>
        </w:rPr>
      </w:pPr>
      <w:r w:rsidRPr="005D5D18">
        <w:rPr>
          <w:lang w:val="fr-FR"/>
        </w:rPr>
        <w:t>Le Bureau international présente des propositions de révision des normes</w:t>
      </w:r>
      <w:r w:rsidR="004242C8" w:rsidRPr="005D5D18">
        <w:rPr>
          <w:lang w:val="fr-FR"/>
        </w:rPr>
        <w:t> </w:t>
      </w:r>
      <w:r w:rsidRPr="005D5D18">
        <w:rPr>
          <w:lang w:val="fr-FR"/>
        </w:rPr>
        <w:t>ST.3, ST.9 et ST.80 de l</w:t>
      </w:r>
      <w:r w:rsidR="003F30A0">
        <w:rPr>
          <w:lang w:val="fr-FR"/>
        </w:rPr>
        <w:t>’</w:t>
      </w:r>
      <w:r w:rsidRPr="005D5D18">
        <w:rPr>
          <w:lang w:val="fr-FR"/>
        </w:rPr>
        <w:t>O</w:t>
      </w:r>
      <w:r w:rsidR="001A2DC8" w:rsidRPr="005D5D18">
        <w:rPr>
          <w:lang w:val="fr-FR"/>
        </w:rPr>
        <w:t>MPI</w:t>
      </w:r>
      <w:r w:rsidR="001A2DC8">
        <w:rPr>
          <w:lang w:val="fr-FR"/>
        </w:rPr>
        <w:t xml:space="preserve">.  </w:t>
      </w:r>
      <w:r w:rsidR="001A2DC8" w:rsidRPr="005D5D18">
        <w:rPr>
          <w:lang w:val="fr-FR"/>
        </w:rPr>
        <w:t>Le</w:t>
      </w:r>
      <w:r w:rsidRPr="005D5D18">
        <w:rPr>
          <w:lang w:val="fr-FR"/>
        </w:rPr>
        <w:t>s propositions de révision de la norme ST.80 de l</w:t>
      </w:r>
      <w:r w:rsidR="003F30A0">
        <w:rPr>
          <w:lang w:val="fr-FR"/>
        </w:rPr>
        <w:t>’</w:t>
      </w:r>
      <w:r w:rsidRPr="005D5D18">
        <w:rPr>
          <w:lang w:val="fr-FR"/>
        </w:rPr>
        <w:t xml:space="preserve">OMPI visent premièrement à aligner la norme sur les modifications apportées au cadre juridique du système de </w:t>
      </w:r>
      <w:r w:rsidR="003F30A0">
        <w:rPr>
          <w:lang w:val="fr-FR"/>
        </w:rPr>
        <w:t>La Haye</w:t>
      </w:r>
      <w:r w:rsidRPr="005D5D18">
        <w:rPr>
          <w:lang w:val="fr-FR"/>
        </w:rPr>
        <w:t xml:space="preserve"> depuis la dernière révision de la norme ST.80 de l</w:t>
      </w:r>
      <w:r w:rsidR="003F30A0">
        <w:rPr>
          <w:lang w:val="fr-FR"/>
        </w:rPr>
        <w:t>’</w:t>
      </w:r>
      <w:r w:rsidRPr="005D5D18">
        <w:rPr>
          <w:lang w:val="fr-FR"/>
        </w:rPr>
        <w:t xml:space="preserve">OMPI, deuxièmement à apporter des corrections mineures à la terminologie et aux renvois employés dans le cadre du système de </w:t>
      </w:r>
      <w:r w:rsidR="003F30A0">
        <w:rPr>
          <w:lang w:val="fr-FR"/>
        </w:rPr>
        <w:t>La Haye</w:t>
      </w:r>
      <w:r w:rsidRPr="005D5D18">
        <w:rPr>
          <w:lang w:val="fr-FR"/>
        </w:rPr>
        <w:t>, et troisièmement à améliorer la compréhension de l</w:t>
      </w:r>
      <w:r w:rsidR="003F30A0">
        <w:rPr>
          <w:lang w:val="fr-FR"/>
        </w:rPr>
        <w:t>’</w:t>
      </w:r>
      <w:r w:rsidRPr="005D5D18">
        <w:rPr>
          <w:lang w:val="fr-FR"/>
        </w:rPr>
        <w:t>information publi</w:t>
      </w:r>
      <w:r w:rsidR="001A2DC8" w:rsidRPr="005D5D18">
        <w:rPr>
          <w:lang w:val="fr-FR"/>
        </w:rPr>
        <w:t>ée</w:t>
      </w:r>
      <w:r w:rsidR="001A2DC8">
        <w:rPr>
          <w:lang w:val="fr-FR"/>
        </w:rPr>
        <w:t xml:space="preserve">.  </w:t>
      </w:r>
      <w:r w:rsidR="001A2DC8" w:rsidRPr="005D5D18">
        <w:rPr>
          <w:lang w:val="fr-FR"/>
        </w:rPr>
        <w:t>Le</w:t>
      </w:r>
      <w:r w:rsidRPr="005D5D18">
        <w:rPr>
          <w:lang w:val="fr-FR"/>
        </w:rPr>
        <w:t>s propositions de révision des normes ST.3 et ST.9 de l</w:t>
      </w:r>
      <w:r w:rsidR="003F30A0">
        <w:rPr>
          <w:lang w:val="fr-FR"/>
        </w:rPr>
        <w:t>’</w:t>
      </w:r>
      <w:r w:rsidRPr="005D5D18">
        <w:rPr>
          <w:lang w:val="fr-FR"/>
        </w:rPr>
        <w:t>OMPI sont liées aux propositions de révision de la norme ST.80 de l</w:t>
      </w:r>
      <w:r w:rsidR="003F30A0">
        <w:rPr>
          <w:lang w:val="fr-FR"/>
        </w:rPr>
        <w:t>’</w:t>
      </w:r>
      <w:r w:rsidRPr="005D5D18">
        <w:rPr>
          <w:lang w:val="fr-FR"/>
        </w:rPr>
        <w:t xml:space="preserve">OMPI et visent à corriger les codes INID et les renvois relatifs aux systèmes de </w:t>
      </w:r>
      <w:r w:rsidR="003F30A0">
        <w:rPr>
          <w:lang w:val="fr-FR"/>
        </w:rPr>
        <w:t>La Haye</w:t>
      </w:r>
      <w:r w:rsidRPr="005D5D18">
        <w:rPr>
          <w:lang w:val="fr-FR"/>
        </w:rPr>
        <w:t>, de Madrid et</w:t>
      </w:r>
      <w:r w:rsidR="00DA77D5" w:rsidRPr="005D5D18">
        <w:rPr>
          <w:lang w:val="fr-FR"/>
        </w:rPr>
        <w:t xml:space="preserve"> du PCT</w:t>
      </w:r>
      <w:r w:rsidRPr="005D5D18">
        <w:rPr>
          <w:lang w:val="fr-FR"/>
        </w:rPr>
        <w:t>.</w:t>
      </w:r>
    </w:p>
    <w:p w14:paraId="395CDB6A" w14:textId="77777777" w:rsidR="00DA77D5" w:rsidRPr="005D5D18" w:rsidRDefault="00423BAF" w:rsidP="0041712B">
      <w:pPr>
        <w:pStyle w:val="Heading2"/>
      </w:pPr>
      <w:r w:rsidRPr="005D5D18">
        <w:t>Informations générales</w:t>
      </w:r>
    </w:p>
    <w:p w14:paraId="09754C1D" w14:textId="40BA895B" w:rsidR="00DA77D5" w:rsidRPr="005D5D18" w:rsidRDefault="008F0282" w:rsidP="00460147">
      <w:pPr>
        <w:pStyle w:val="ONUMFS"/>
        <w:rPr>
          <w:lang w:val="fr-FR"/>
        </w:rPr>
      </w:pPr>
      <w:r w:rsidRPr="005D5D18">
        <w:rPr>
          <w:lang w:val="fr-FR"/>
        </w:rPr>
        <w:t>La norme</w:t>
      </w:r>
      <w:r w:rsidR="004242C8" w:rsidRPr="005D5D18">
        <w:rPr>
          <w:lang w:val="fr-FR"/>
        </w:rPr>
        <w:t> </w:t>
      </w:r>
      <w:r w:rsidRPr="005D5D18">
        <w:rPr>
          <w:lang w:val="fr-FR"/>
        </w:rPr>
        <w:t>ST.80 de l</w:t>
      </w:r>
      <w:r w:rsidR="003F30A0">
        <w:rPr>
          <w:lang w:val="fr-FR"/>
        </w:rPr>
        <w:t>’</w:t>
      </w:r>
      <w:r w:rsidRPr="005D5D18">
        <w:rPr>
          <w:lang w:val="fr-FR"/>
        </w:rPr>
        <w:t xml:space="preserve">OMPI </w:t>
      </w:r>
      <w:r w:rsidR="004242C8" w:rsidRPr="005D5D18">
        <w:rPr>
          <w:lang w:val="fr-FR"/>
        </w:rPr>
        <w:t>“</w:t>
      </w:r>
      <w:r w:rsidRPr="005D5D18">
        <w:rPr>
          <w:lang w:val="fr-FR"/>
        </w:rPr>
        <w:t>Recommandation concernant les données bibliographiques relatives aux dessins et modèles industriels</w:t>
      </w:r>
      <w:r w:rsidR="004242C8" w:rsidRPr="005D5D18">
        <w:rPr>
          <w:lang w:val="fr-FR"/>
        </w:rPr>
        <w:t>”</w:t>
      </w:r>
      <w:r w:rsidRPr="005D5D18">
        <w:rPr>
          <w:lang w:val="fr-FR"/>
        </w:rPr>
        <w:t xml:space="preserve"> a été révisée pour la dernière fois </w:t>
      </w:r>
      <w:r w:rsidR="00DA77D5" w:rsidRPr="005D5D18">
        <w:rPr>
          <w:lang w:val="fr-FR"/>
        </w:rPr>
        <w:t>en 2004</w:t>
      </w:r>
      <w:r w:rsidRPr="005D5D18">
        <w:rPr>
          <w:lang w:val="fr-FR"/>
        </w:rPr>
        <w:t xml:space="preserve"> afin de tenir compte des changements résultant de l</w:t>
      </w:r>
      <w:r w:rsidR="003F30A0">
        <w:rPr>
          <w:lang w:val="fr-FR"/>
        </w:rPr>
        <w:t>’</w:t>
      </w:r>
      <w:r w:rsidRPr="005D5D18">
        <w:rPr>
          <w:lang w:val="fr-FR"/>
        </w:rPr>
        <w:t>entrée en vigueur de l</w:t>
      </w:r>
      <w:r w:rsidR="003F30A0">
        <w:rPr>
          <w:lang w:val="fr-FR"/>
        </w:rPr>
        <w:t>’</w:t>
      </w:r>
      <w:r w:rsidRPr="005D5D18">
        <w:rPr>
          <w:lang w:val="fr-FR"/>
        </w:rPr>
        <w:t>Acte de Genève (1999) de l</w:t>
      </w:r>
      <w:r w:rsidR="003F30A0">
        <w:rPr>
          <w:lang w:val="fr-FR"/>
        </w:rPr>
        <w:t>’</w:t>
      </w:r>
      <w:r w:rsidRPr="005D5D18">
        <w:rPr>
          <w:lang w:val="fr-FR"/>
        </w:rPr>
        <w:t xml:space="preserve">Arrangement de </w:t>
      </w:r>
      <w:r w:rsidR="003F30A0">
        <w:rPr>
          <w:lang w:val="fr-FR"/>
        </w:rPr>
        <w:t>La Haye</w:t>
      </w:r>
      <w:r w:rsidRPr="005D5D18">
        <w:rPr>
          <w:lang w:val="fr-FR"/>
        </w:rPr>
        <w:t xml:space="preserve"> (ci</w:t>
      </w:r>
      <w:r w:rsidR="003F30A0">
        <w:rPr>
          <w:lang w:val="fr-FR"/>
        </w:rPr>
        <w:t>-</w:t>
      </w:r>
      <w:r w:rsidRPr="005D5D18">
        <w:rPr>
          <w:lang w:val="fr-FR"/>
        </w:rPr>
        <w:t xml:space="preserve">après dénommé </w:t>
      </w:r>
      <w:r w:rsidR="004242C8" w:rsidRPr="005D5D18">
        <w:rPr>
          <w:lang w:val="fr-FR"/>
        </w:rPr>
        <w:t>“</w:t>
      </w:r>
      <w:r w:rsidRPr="005D5D18">
        <w:rPr>
          <w:lang w:val="fr-FR"/>
        </w:rPr>
        <w:t>l</w:t>
      </w:r>
      <w:r w:rsidR="003F30A0">
        <w:rPr>
          <w:lang w:val="fr-FR"/>
        </w:rPr>
        <w:t>’</w:t>
      </w:r>
      <w:r w:rsidRPr="005D5D18">
        <w:rPr>
          <w:lang w:val="fr-FR"/>
        </w:rPr>
        <w:t xml:space="preserve">Acte </w:t>
      </w:r>
      <w:r w:rsidR="00DA77D5" w:rsidRPr="005D5D18">
        <w:rPr>
          <w:lang w:val="fr-FR"/>
        </w:rPr>
        <w:t>de 1999</w:t>
      </w:r>
      <w:r w:rsidR="004242C8" w:rsidRPr="005D5D18">
        <w:rPr>
          <w:lang w:val="fr-FR"/>
        </w:rPr>
        <w:t>”</w:t>
      </w:r>
      <w:r w:rsidRPr="005D5D18">
        <w:rPr>
          <w:lang w:val="fr-FR"/>
        </w:rPr>
        <w:t>)</w:t>
      </w:r>
      <w:r w:rsidRPr="005D5D18">
        <w:rPr>
          <w:vertAlign w:val="superscript"/>
          <w:lang w:val="fr-FR"/>
        </w:rPr>
        <w:footnoteReference w:id="2"/>
      </w:r>
      <w:r w:rsidRPr="005D5D18">
        <w:rPr>
          <w:lang w:val="fr-FR"/>
        </w:rPr>
        <w:t xml:space="preserve">.  Depuis sa dernière révision, le cadre juridique du système de </w:t>
      </w:r>
      <w:r w:rsidR="003F30A0">
        <w:rPr>
          <w:lang w:val="fr-FR"/>
        </w:rPr>
        <w:t>La Haye</w:t>
      </w:r>
      <w:r w:rsidRPr="005D5D18">
        <w:rPr>
          <w:lang w:val="fr-FR"/>
        </w:rPr>
        <w:t xml:space="preserve"> a fait l</w:t>
      </w:r>
      <w:r w:rsidR="003F30A0">
        <w:rPr>
          <w:lang w:val="fr-FR"/>
        </w:rPr>
        <w:t>’</w:t>
      </w:r>
      <w:r w:rsidRPr="005D5D18">
        <w:rPr>
          <w:lang w:val="fr-FR"/>
        </w:rPr>
        <w:t>objet de plusieurs modifications qui nécessitent de nouvelles révisions de la norme ST.80 de l</w:t>
      </w:r>
      <w:r w:rsidR="003F30A0">
        <w:rPr>
          <w:lang w:val="fr-FR"/>
        </w:rPr>
        <w:t>’</w:t>
      </w:r>
      <w:r w:rsidRPr="005D5D18">
        <w:rPr>
          <w:lang w:val="fr-FR"/>
        </w:rPr>
        <w:t>O</w:t>
      </w:r>
      <w:r w:rsidR="001A2DC8" w:rsidRPr="005D5D18">
        <w:rPr>
          <w:lang w:val="fr-FR"/>
        </w:rPr>
        <w:t>MPI</w:t>
      </w:r>
      <w:r w:rsidR="001A2DC8">
        <w:rPr>
          <w:lang w:val="fr-FR"/>
        </w:rPr>
        <w:t xml:space="preserve">.  </w:t>
      </w:r>
      <w:r w:rsidR="001A2DC8" w:rsidRPr="005D5D18">
        <w:rPr>
          <w:lang w:val="fr-FR"/>
        </w:rPr>
        <w:t>En</w:t>
      </w:r>
      <w:r w:rsidRPr="005D5D18">
        <w:rPr>
          <w:lang w:val="fr-FR"/>
        </w:rPr>
        <w:t xml:space="preserve"> outre, le Bureau international note que la norme ST.80 de l</w:t>
      </w:r>
      <w:r w:rsidR="003F30A0">
        <w:rPr>
          <w:lang w:val="fr-FR"/>
        </w:rPr>
        <w:t>’</w:t>
      </w:r>
      <w:r w:rsidRPr="005D5D18">
        <w:rPr>
          <w:lang w:val="fr-FR"/>
        </w:rPr>
        <w:t>OMPI contient des renvois et une terminologie inexacts qui doivent être corrig</w:t>
      </w:r>
      <w:r w:rsidR="001A2DC8" w:rsidRPr="005D5D18">
        <w:rPr>
          <w:lang w:val="fr-FR"/>
        </w:rPr>
        <w:t>és</w:t>
      </w:r>
      <w:r w:rsidR="001A2DC8">
        <w:rPr>
          <w:lang w:val="fr-FR"/>
        </w:rPr>
        <w:t xml:space="preserve">.  </w:t>
      </w:r>
      <w:r w:rsidR="001A2DC8" w:rsidRPr="005D5D18">
        <w:rPr>
          <w:lang w:val="fr-FR"/>
        </w:rPr>
        <w:t>En</w:t>
      </w:r>
      <w:r w:rsidRPr="005D5D18">
        <w:rPr>
          <w:lang w:val="fr-FR"/>
        </w:rPr>
        <w:t>fin, le Bureau international a constaté certaines limitations et confusions concernant la publication d</w:t>
      </w:r>
      <w:r w:rsidR="003F30A0">
        <w:rPr>
          <w:lang w:val="fr-FR"/>
        </w:rPr>
        <w:t>’</w:t>
      </w:r>
      <w:r w:rsidRPr="005D5D18">
        <w:rPr>
          <w:lang w:val="fr-FR"/>
        </w:rPr>
        <w:t>informations selon la norme ST.80 de l</w:t>
      </w:r>
      <w:r w:rsidR="003F30A0">
        <w:rPr>
          <w:lang w:val="fr-FR"/>
        </w:rPr>
        <w:t>’</w:t>
      </w:r>
      <w:r w:rsidRPr="005D5D18">
        <w:rPr>
          <w:lang w:val="fr-FR"/>
        </w:rPr>
        <w:t xml:space="preserve">OMPI, que la révision de la </w:t>
      </w:r>
      <w:r w:rsidRPr="005D5D18">
        <w:rPr>
          <w:lang w:val="fr-FR"/>
        </w:rPr>
        <w:lastRenderedPageBreak/>
        <w:t>norme ST.80 de l</w:t>
      </w:r>
      <w:r w:rsidR="003F30A0">
        <w:rPr>
          <w:lang w:val="fr-FR"/>
        </w:rPr>
        <w:t>’</w:t>
      </w:r>
      <w:r w:rsidRPr="005D5D18">
        <w:rPr>
          <w:lang w:val="fr-FR"/>
        </w:rPr>
        <w:t>OMPI pourrait permettre d</w:t>
      </w:r>
      <w:r w:rsidR="003F30A0">
        <w:rPr>
          <w:lang w:val="fr-FR"/>
        </w:rPr>
        <w:t>’</w:t>
      </w:r>
      <w:r w:rsidRPr="005D5D18">
        <w:rPr>
          <w:lang w:val="fr-FR"/>
        </w:rPr>
        <w:t>amélior</w:t>
      </w:r>
      <w:r w:rsidR="001A2DC8" w:rsidRPr="005D5D18">
        <w:rPr>
          <w:lang w:val="fr-FR"/>
        </w:rPr>
        <w:t>er</w:t>
      </w:r>
      <w:r w:rsidR="001A2DC8">
        <w:rPr>
          <w:lang w:val="fr-FR"/>
        </w:rPr>
        <w:t xml:space="preserve">.  </w:t>
      </w:r>
      <w:r w:rsidR="001A2DC8" w:rsidRPr="005D5D18">
        <w:rPr>
          <w:lang w:val="fr-FR"/>
        </w:rPr>
        <w:t>Pa</w:t>
      </w:r>
      <w:r w:rsidRPr="005D5D18">
        <w:rPr>
          <w:lang w:val="fr-FR"/>
        </w:rPr>
        <w:t>r conséquent, le Bureau international présente une proposition de révision de l</w:t>
      </w:r>
      <w:r w:rsidR="003F30A0">
        <w:rPr>
          <w:lang w:val="fr-FR"/>
        </w:rPr>
        <w:t>’</w:t>
      </w:r>
      <w:r w:rsidRPr="005D5D18">
        <w:rPr>
          <w:lang w:val="fr-FR"/>
        </w:rPr>
        <w:t>appendice 1 de la norme ST.80 de l</w:t>
      </w:r>
      <w:r w:rsidR="003F30A0">
        <w:rPr>
          <w:lang w:val="fr-FR"/>
        </w:rPr>
        <w:t>’</w:t>
      </w:r>
      <w:r w:rsidRPr="005D5D18">
        <w:rPr>
          <w:lang w:val="fr-FR"/>
        </w:rPr>
        <w:t>OMPI (Liste des codes INID), qui est expliquée ci</w:t>
      </w:r>
      <w:r w:rsidR="003F30A0">
        <w:rPr>
          <w:lang w:val="fr-FR"/>
        </w:rPr>
        <w:t>-</w:t>
      </w:r>
      <w:r w:rsidRPr="005D5D18">
        <w:rPr>
          <w:lang w:val="fr-FR"/>
        </w:rPr>
        <w:t>dessous, pour examen et approbation par</w:t>
      </w:r>
      <w:r w:rsidR="00DA77D5" w:rsidRPr="005D5D18">
        <w:rPr>
          <w:lang w:val="fr-FR"/>
        </w:rPr>
        <w:t xml:space="preserve"> le CWS</w:t>
      </w:r>
      <w:r w:rsidRPr="005D5D18">
        <w:rPr>
          <w:lang w:val="fr-FR"/>
        </w:rPr>
        <w:t>.</w:t>
      </w:r>
    </w:p>
    <w:p w14:paraId="3132D8A9" w14:textId="1FB875D8" w:rsidR="00DA77D5" w:rsidRPr="005D5D18" w:rsidRDefault="008F0282" w:rsidP="00460147">
      <w:pPr>
        <w:pStyle w:val="ONUMFS"/>
        <w:rPr>
          <w:lang w:val="fr-FR"/>
        </w:rPr>
      </w:pPr>
      <w:r w:rsidRPr="005D5D18">
        <w:rPr>
          <w:lang w:val="fr-FR"/>
        </w:rPr>
        <w:t>La proposition de révision de la note de bas de page</w:t>
      </w:r>
      <w:r w:rsidR="004242C8" w:rsidRPr="005D5D18">
        <w:rPr>
          <w:lang w:val="fr-FR"/>
        </w:rPr>
        <w:t> </w:t>
      </w:r>
      <w:r w:rsidRPr="005D5D18">
        <w:rPr>
          <w:lang w:val="fr-FR"/>
        </w:rPr>
        <w:t>4 de la norme</w:t>
      </w:r>
      <w:r w:rsidR="004242C8" w:rsidRPr="005D5D18">
        <w:rPr>
          <w:lang w:val="fr-FR"/>
        </w:rPr>
        <w:t> </w:t>
      </w:r>
      <w:r w:rsidRPr="005D5D18">
        <w:rPr>
          <w:lang w:val="fr-FR"/>
        </w:rPr>
        <w:t>ST.3, qui est liée à l</w:t>
      </w:r>
      <w:r w:rsidR="003F30A0">
        <w:rPr>
          <w:lang w:val="fr-FR"/>
        </w:rPr>
        <w:t>’</w:t>
      </w:r>
      <w:r w:rsidRPr="005D5D18">
        <w:rPr>
          <w:lang w:val="fr-FR"/>
        </w:rPr>
        <w:t>une des propositions de révision de la norme</w:t>
      </w:r>
      <w:r w:rsidR="004242C8" w:rsidRPr="005D5D18">
        <w:rPr>
          <w:lang w:val="fr-FR"/>
        </w:rPr>
        <w:t> </w:t>
      </w:r>
      <w:r w:rsidRPr="005D5D18">
        <w:rPr>
          <w:lang w:val="fr-FR"/>
        </w:rPr>
        <w:t>ST.80 de l</w:t>
      </w:r>
      <w:r w:rsidR="003F30A0">
        <w:rPr>
          <w:lang w:val="fr-FR"/>
        </w:rPr>
        <w:t>’</w:t>
      </w:r>
      <w:r w:rsidRPr="005D5D18">
        <w:rPr>
          <w:lang w:val="fr-FR"/>
        </w:rPr>
        <w:t>OMPI, vise à corriger les codes et les renvois utilisés en rapport avec le Bureau international de l</w:t>
      </w:r>
      <w:r w:rsidR="003F30A0">
        <w:rPr>
          <w:lang w:val="fr-FR"/>
        </w:rPr>
        <w:t>’</w:t>
      </w:r>
      <w:r w:rsidRPr="005D5D18">
        <w:rPr>
          <w:lang w:val="fr-FR"/>
        </w:rPr>
        <w:t>O</w:t>
      </w:r>
      <w:r w:rsidR="001A2DC8" w:rsidRPr="005D5D18">
        <w:rPr>
          <w:lang w:val="fr-FR"/>
        </w:rPr>
        <w:t>MPI</w:t>
      </w:r>
      <w:r w:rsidR="001A2DC8">
        <w:rPr>
          <w:lang w:val="fr-FR"/>
        </w:rPr>
        <w:t xml:space="preserve">.  </w:t>
      </w:r>
      <w:r w:rsidR="001A2DC8" w:rsidRPr="005D5D18">
        <w:rPr>
          <w:lang w:val="fr-FR"/>
        </w:rPr>
        <w:t>La</w:t>
      </w:r>
      <w:r w:rsidRPr="005D5D18">
        <w:rPr>
          <w:lang w:val="fr-FR"/>
        </w:rPr>
        <w:t xml:space="preserve"> proposition de révision du code (33) dans la norme ST.9 de l</w:t>
      </w:r>
      <w:r w:rsidR="003F30A0">
        <w:rPr>
          <w:lang w:val="fr-FR"/>
        </w:rPr>
        <w:t>’</w:t>
      </w:r>
      <w:r w:rsidRPr="005D5D18">
        <w:rPr>
          <w:lang w:val="fr-FR"/>
        </w:rPr>
        <w:t>OMPI, qui est liée à la proposition de révision de la note de bas de page 4 dans la norme ST.3, vise à corriger le code à employer pour un office agissant en qualité d</w:t>
      </w:r>
      <w:r w:rsidR="003F30A0">
        <w:rPr>
          <w:lang w:val="fr-FR"/>
        </w:rPr>
        <w:t>’</w:t>
      </w:r>
      <w:r w:rsidRPr="005D5D18">
        <w:rPr>
          <w:lang w:val="fr-FR"/>
        </w:rPr>
        <w:t>office récepteur</w:t>
      </w:r>
      <w:r w:rsidR="00DA77D5" w:rsidRPr="005D5D18">
        <w:rPr>
          <w:lang w:val="fr-FR"/>
        </w:rPr>
        <w:t xml:space="preserve"> du </w:t>
      </w:r>
      <w:r w:rsidR="001A2DC8" w:rsidRPr="005D5D18">
        <w:rPr>
          <w:lang w:val="fr-FR"/>
        </w:rPr>
        <w:t>PCT</w:t>
      </w:r>
      <w:r w:rsidR="001A2DC8">
        <w:rPr>
          <w:lang w:val="fr-FR"/>
        </w:rPr>
        <w:t xml:space="preserve">.  </w:t>
      </w:r>
      <w:r w:rsidR="001A2DC8" w:rsidRPr="005D5D18">
        <w:rPr>
          <w:lang w:val="fr-FR"/>
        </w:rPr>
        <w:t>Pa</w:t>
      </w:r>
      <w:r w:rsidRPr="005D5D18">
        <w:rPr>
          <w:lang w:val="fr-FR"/>
        </w:rPr>
        <w:t>r conséquent, le Bureau international présente des propositions de révision de la note de bas de page 4 de la norme ST.3 de l</w:t>
      </w:r>
      <w:r w:rsidR="003F30A0">
        <w:rPr>
          <w:lang w:val="fr-FR"/>
        </w:rPr>
        <w:t>’</w:t>
      </w:r>
      <w:r w:rsidRPr="005D5D18">
        <w:rPr>
          <w:lang w:val="fr-FR"/>
        </w:rPr>
        <w:t>OMPI et de l</w:t>
      </w:r>
      <w:r w:rsidR="003F30A0">
        <w:rPr>
          <w:lang w:val="fr-FR"/>
        </w:rPr>
        <w:t>’</w:t>
      </w:r>
      <w:r w:rsidRPr="005D5D18">
        <w:rPr>
          <w:lang w:val="fr-FR"/>
        </w:rPr>
        <w:t>appendice 1 de la norme ST.9 de l</w:t>
      </w:r>
      <w:r w:rsidR="003F30A0">
        <w:rPr>
          <w:lang w:val="fr-FR"/>
        </w:rPr>
        <w:t>’</w:t>
      </w:r>
      <w:r w:rsidRPr="005D5D18">
        <w:rPr>
          <w:lang w:val="fr-FR"/>
        </w:rPr>
        <w:t>OMPI (codes INID et exigences minimales pour l</w:t>
      </w:r>
      <w:r w:rsidR="003F30A0">
        <w:rPr>
          <w:lang w:val="fr-FR"/>
        </w:rPr>
        <w:t>’</w:t>
      </w:r>
      <w:r w:rsidRPr="005D5D18">
        <w:rPr>
          <w:lang w:val="fr-FR"/>
        </w:rPr>
        <w:t>identification des données bibliographiques), qui sont expliquées ci</w:t>
      </w:r>
      <w:r w:rsidR="003F30A0">
        <w:rPr>
          <w:lang w:val="fr-FR"/>
        </w:rPr>
        <w:t>-</w:t>
      </w:r>
      <w:r w:rsidRPr="005D5D18">
        <w:rPr>
          <w:lang w:val="fr-FR"/>
        </w:rPr>
        <w:t>dessous, pour examen et approbation par</w:t>
      </w:r>
      <w:r w:rsidR="00DA77D5" w:rsidRPr="005D5D18">
        <w:rPr>
          <w:lang w:val="fr-FR"/>
        </w:rPr>
        <w:t xml:space="preserve"> le CWS</w:t>
      </w:r>
      <w:r w:rsidRPr="005D5D18">
        <w:rPr>
          <w:lang w:val="fr-FR"/>
        </w:rPr>
        <w:t>.</w:t>
      </w:r>
    </w:p>
    <w:p w14:paraId="744DC8BE" w14:textId="1A1302CF" w:rsidR="00DA77D5" w:rsidRPr="005D5D18" w:rsidRDefault="008F0282" w:rsidP="00460147">
      <w:pPr>
        <w:pStyle w:val="ONUMFS"/>
        <w:rPr>
          <w:lang w:val="fr-FR"/>
        </w:rPr>
      </w:pPr>
      <w:r w:rsidRPr="005D5D18">
        <w:rPr>
          <w:lang w:val="fr-FR"/>
        </w:rPr>
        <w:t>Toutes les propositions de révision sont indiquées ci</w:t>
      </w:r>
      <w:r w:rsidR="003F30A0">
        <w:rPr>
          <w:lang w:val="fr-FR"/>
        </w:rPr>
        <w:t>-</w:t>
      </w:r>
      <w:r w:rsidRPr="005D5D18">
        <w:rPr>
          <w:lang w:val="fr-FR"/>
        </w:rPr>
        <w:t>dessous à l</w:t>
      </w:r>
      <w:r w:rsidR="003F30A0">
        <w:rPr>
          <w:lang w:val="fr-FR"/>
        </w:rPr>
        <w:t>’</w:t>
      </w:r>
      <w:r w:rsidRPr="005D5D18">
        <w:rPr>
          <w:lang w:val="fr-FR"/>
        </w:rPr>
        <w:t>aide des modificati</w:t>
      </w:r>
      <w:r w:rsidR="00460147" w:rsidRPr="005D5D18">
        <w:rPr>
          <w:lang w:val="fr-FR"/>
        </w:rPr>
        <w:t>o</w:t>
      </w:r>
      <w:r w:rsidRPr="005D5D18">
        <w:rPr>
          <w:lang w:val="fr-FR"/>
        </w:rPr>
        <w:t xml:space="preserve">ns en mode </w:t>
      </w:r>
      <w:r w:rsidR="004242C8" w:rsidRPr="005D5D18">
        <w:rPr>
          <w:lang w:val="fr-FR"/>
        </w:rPr>
        <w:t>“</w:t>
      </w:r>
      <w:r w:rsidRPr="005D5D18">
        <w:rPr>
          <w:lang w:val="fr-FR"/>
        </w:rPr>
        <w:t>changements apparents</w:t>
      </w:r>
      <w:r w:rsidR="004242C8" w:rsidRPr="005D5D18">
        <w:rPr>
          <w:lang w:val="fr-FR"/>
        </w:rPr>
        <w:t>”</w:t>
      </w:r>
      <w:r w:rsidRPr="005D5D18">
        <w:rPr>
          <w:lang w:val="fr-FR"/>
        </w:rPr>
        <w:t>, le texte souligné indiquant un ajout et le texte biffé une suppression.</w:t>
      </w:r>
    </w:p>
    <w:p w14:paraId="133BD8D7" w14:textId="771564A3" w:rsidR="008F0282" w:rsidRPr="005D5D18" w:rsidRDefault="00423BAF" w:rsidP="0041712B">
      <w:pPr>
        <w:pStyle w:val="Heading2"/>
        <w:rPr>
          <w:rFonts w:eastAsia="Arial"/>
        </w:rPr>
      </w:pPr>
      <w:r w:rsidRPr="005D5D18">
        <w:t>Proposition de révision de la norme</w:t>
      </w:r>
      <w:r w:rsidR="009C0891" w:rsidRPr="005D5D18">
        <w:t> </w:t>
      </w:r>
      <w:r w:rsidRPr="005D5D18">
        <w:t>ST.3 de l</w:t>
      </w:r>
      <w:r w:rsidR="003F30A0">
        <w:t>’</w:t>
      </w:r>
      <w:r w:rsidRPr="005D5D18">
        <w:t>OMPI</w:t>
      </w:r>
    </w:p>
    <w:p w14:paraId="3334DC16" w14:textId="5D1C2FD0" w:rsidR="00DA77D5" w:rsidRPr="005D5D18" w:rsidRDefault="008F0282" w:rsidP="00460147">
      <w:pPr>
        <w:pStyle w:val="ONUMFS"/>
        <w:rPr>
          <w:lang w:val="fr-FR"/>
        </w:rPr>
      </w:pPr>
      <w:r w:rsidRPr="005D5D18">
        <w:rPr>
          <w:lang w:val="fr-FR"/>
        </w:rPr>
        <w:t>Il est proposé de rationaliser et de corriger le texte de la note de bas de page</w:t>
      </w:r>
      <w:r w:rsidR="004242C8" w:rsidRPr="005D5D18">
        <w:rPr>
          <w:lang w:val="fr-FR"/>
        </w:rPr>
        <w:t> </w:t>
      </w:r>
      <w:r w:rsidRPr="005D5D18">
        <w:rPr>
          <w:lang w:val="fr-FR"/>
        </w:rPr>
        <w:t>4 relative à l</w:t>
      </w:r>
      <w:r w:rsidR="003F30A0">
        <w:rPr>
          <w:lang w:val="fr-FR"/>
        </w:rPr>
        <w:t>’</w:t>
      </w:r>
      <w:r w:rsidRPr="005D5D18">
        <w:rPr>
          <w:lang w:val="fr-FR"/>
        </w:rPr>
        <w:t xml:space="preserve">emploi des codes “WO” et </w:t>
      </w:r>
      <w:r w:rsidR="004242C8" w:rsidRPr="005D5D18">
        <w:rPr>
          <w:lang w:val="fr-FR"/>
        </w:rPr>
        <w:t>“</w:t>
      </w:r>
      <w:r w:rsidRPr="005D5D18">
        <w:rPr>
          <w:lang w:val="fr-FR"/>
        </w:rPr>
        <w:t>IB</w:t>
      </w:r>
      <w:r w:rsidR="004242C8" w:rsidRPr="005D5D18">
        <w:rPr>
          <w:lang w:val="fr-FR"/>
        </w:rPr>
        <w:t>”</w:t>
      </w:r>
      <w:r w:rsidRPr="005D5D18">
        <w:rPr>
          <w:lang w:val="fr-FR"/>
        </w:rPr>
        <w:t xml:space="preserve"> en rapport avec les systèmes de </w:t>
      </w:r>
      <w:r w:rsidR="003F30A0">
        <w:rPr>
          <w:lang w:val="fr-FR"/>
        </w:rPr>
        <w:t>La Haye</w:t>
      </w:r>
      <w:r w:rsidRPr="005D5D18">
        <w:rPr>
          <w:lang w:val="fr-FR"/>
        </w:rPr>
        <w:t>, de Madrid et</w:t>
      </w:r>
      <w:r w:rsidR="00DA77D5" w:rsidRPr="005D5D18">
        <w:rPr>
          <w:lang w:val="fr-FR"/>
        </w:rPr>
        <w:t xml:space="preserve"> du </w:t>
      </w:r>
      <w:r w:rsidR="001A2DC8" w:rsidRPr="005D5D18">
        <w:rPr>
          <w:lang w:val="fr-FR"/>
        </w:rPr>
        <w:t>PCT</w:t>
      </w:r>
      <w:r w:rsidR="001A2DC8">
        <w:rPr>
          <w:lang w:val="fr-FR"/>
        </w:rPr>
        <w:t xml:space="preserve">.  </w:t>
      </w:r>
      <w:r w:rsidR="001A2DC8" w:rsidRPr="005D5D18">
        <w:rPr>
          <w:lang w:val="fr-FR"/>
        </w:rPr>
        <w:t>En</w:t>
      </w:r>
      <w:r w:rsidRPr="005D5D18">
        <w:rPr>
          <w:lang w:val="fr-FR"/>
        </w:rPr>
        <w:t xml:space="preserve"> outre, il est proposé d</w:t>
      </w:r>
      <w:r w:rsidR="003F30A0">
        <w:rPr>
          <w:lang w:val="fr-FR"/>
        </w:rPr>
        <w:t>’</w:t>
      </w:r>
      <w:r w:rsidRPr="005D5D18">
        <w:rPr>
          <w:lang w:val="fr-FR"/>
        </w:rPr>
        <w:t>ajouter et de corriger les renvois aux codes dans les normes ST.9, ST.60 et ST.80.  Le code à deux</w:t>
      </w:r>
      <w:r w:rsidR="009C0891" w:rsidRPr="005D5D18">
        <w:rPr>
          <w:lang w:val="fr-FR"/>
        </w:rPr>
        <w:t> </w:t>
      </w:r>
      <w:r w:rsidRPr="005D5D18">
        <w:rPr>
          <w:lang w:val="fr-FR"/>
        </w:rPr>
        <w:t>lettres “WO” est utilisé pour la publication des demandes internationales selon le système</w:t>
      </w:r>
      <w:r w:rsidR="00DA77D5" w:rsidRPr="005D5D18">
        <w:rPr>
          <w:lang w:val="fr-FR"/>
        </w:rPr>
        <w:t xml:space="preserve"> du PCT</w:t>
      </w:r>
      <w:r w:rsidRPr="005D5D18">
        <w:rPr>
          <w:lang w:val="fr-FR"/>
        </w:rPr>
        <w:t xml:space="preserve">, la publication des enregistrements internationaux selon le système de </w:t>
      </w:r>
      <w:r w:rsidR="003F30A0">
        <w:rPr>
          <w:lang w:val="fr-FR"/>
        </w:rPr>
        <w:t>La Haye</w:t>
      </w:r>
      <w:r w:rsidRPr="005D5D18">
        <w:rPr>
          <w:lang w:val="fr-FR"/>
        </w:rPr>
        <w:t xml:space="preserve"> et l</w:t>
      </w:r>
      <w:r w:rsidR="003F30A0">
        <w:rPr>
          <w:lang w:val="fr-FR"/>
        </w:rPr>
        <w:t>’</w:t>
      </w:r>
      <w:r w:rsidRPr="005D5D18">
        <w:rPr>
          <w:lang w:val="fr-FR"/>
        </w:rPr>
        <w:t>enregistrement selon le système de Madr</w:t>
      </w:r>
      <w:r w:rsidR="001A2DC8" w:rsidRPr="005D5D18">
        <w:rPr>
          <w:lang w:val="fr-FR"/>
        </w:rPr>
        <w:t>id</w:t>
      </w:r>
      <w:r w:rsidR="001A2DC8">
        <w:rPr>
          <w:lang w:val="fr-FR"/>
        </w:rPr>
        <w:t xml:space="preserve">.  </w:t>
      </w:r>
      <w:r w:rsidR="001A2DC8" w:rsidRPr="005D5D18">
        <w:rPr>
          <w:lang w:val="fr-FR"/>
        </w:rPr>
        <w:t>Le</w:t>
      </w:r>
      <w:r w:rsidRPr="005D5D18">
        <w:rPr>
          <w:lang w:val="fr-FR"/>
        </w:rPr>
        <w:t xml:space="preserve"> code à deux</w:t>
      </w:r>
      <w:r w:rsidR="009C0891" w:rsidRPr="005D5D18">
        <w:rPr>
          <w:lang w:val="fr-FR"/>
        </w:rPr>
        <w:t> </w:t>
      </w:r>
      <w:r w:rsidRPr="005D5D18">
        <w:rPr>
          <w:lang w:val="fr-FR"/>
        </w:rPr>
        <w:t>lettres “IB” est utilisé pour le dépôt des demandes internationales auprès du Bureau international de l</w:t>
      </w:r>
      <w:r w:rsidR="003F30A0">
        <w:rPr>
          <w:lang w:val="fr-FR"/>
        </w:rPr>
        <w:t>’</w:t>
      </w:r>
      <w:r w:rsidRPr="005D5D18">
        <w:rPr>
          <w:lang w:val="fr-FR"/>
        </w:rPr>
        <w:t xml:space="preserve">OMPI dans le cadre des systèmes de </w:t>
      </w:r>
      <w:r w:rsidR="003F30A0">
        <w:rPr>
          <w:lang w:val="fr-FR"/>
        </w:rPr>
        <w:t>La Haye</w:t>
      </w:r>
      <w:r w:rsidRPr="005D5D18">
        <w:rPr>
          <w:lang w:val="fr-FR"/>
        </w:rPr>
        <w:t xml:space="preserve"> et</w:t>
      </w:r>
      <w:r w:rsidR="00DA77D5" w:rsidRPr="005D5D18">
        <w:rPr>
          <w:lang w:val="fr-FR"/>
        </w:rPr>
        <w:t xml:space="preserve"> du PCT</w:t>
      </w:r>
      <w:r w:rsidRPr="005D5D18">
        <w:rPr>
          <w:lang w:val="fr-FR"/>
        </w:rPr>
        <w:t>.</w:t>
      </w:r>
    </w:p>
    <w:p w14:paraId="18773E06" w14:textId="0465DAFC" w:rsidR="008F0282" w:rsidRPr="005D5D18" w:rsidRDefault="008F0282" w:rsidP="00460147">
      <w:pPr>
        <w:pStyle w:val="ONUMFS"/>
        <w:rPr>
          <w:rFonts w:eastAsia="Arial"/>
          <w:lang w:val="fr-FR"/>
        </w:rPr>
      </w:pPr>
      <w:r w:rsidRPr="005D5D18">
        <w:rPr>
          <w:lang w:val="fr-FR"/>
        </w:rPr>
        <w:t>La note de bas de page</w:t>
      </w:r>
      <w:r w:rsidR="004242C8" w:rsidRPr="005D5D18">
        <w:rPr>
          <w:lang w:val="fr-FR"/>
        </w:rPr>
        <w:t> </w:t>
      </w:r>
      <w:r w:rsidRPr="005D5D18">
        <w:rPr>
          <w:lang w:val="fr-FR"/>
        </w:rPr>
        <w:t>4 révisée pour l</w:t>
      </w:r>
      <w:r w:rsidR="003F30A0">
        <w:rPr>
          <w:lang w:val="fr-FR"/>
        </w:rPr>
        <w:t>’</w:t>
      </w:r>
      <w:r w:rsidRPr="005D5D18">
        <w:rPr>
          <w:lang w:val="fr-FR"/>
        </w:rPr>
        <w:t>OMPI se lirait comme suit</w:t>
      </w:r>
      <w:r w:rsidR="003F30A0">
        <w:rPr>
          <w:lang w:val="fr-FR"/>
        </w:rPr>
        <w:t> :</w:t>
      </w:r>
    </w:p>
    <w:p w14:paraId="68AA78A6" w14:textId="2557D6E7" w:rsidR="00DA77D5" w:rsidRPr="005D5D18" w:rsidRDefault="008F0282" w:rsidP="00CD0361">
      <w:pPr>
        <w:ind w:left="1134" w:right="114" w:hanging="567"/>
        <w:rPr>
          <w:szCs w:val="22"/>
          <w:lang w:val="fr-FR"/>
        </w:rPr>
      </w:pPr>
      <w:r w:rsidRPr="005D5D18">
        <w:rPr>
          <w:szCs w:val="22"/>
          <w:lang w:val="fr-FR"/>
        </w:rPr>
        <w:t>“4)</w:t>
      </w:r>
      <w:r w:rsidRPr="005D5D18">
        <w:rPr>
          <w:szCs w:val="22"/>
          <w:lang w:val="fr-FR"/>
        </w:rPr>
        <w:tab/>
      </w:r>
      <w:bookmarkStart w:id="5" w:name="_Hlk171515653"/>
      <w:r w:rsidRPr="005D5D18">
        <w:rPr>
          <w:szCs w:val="22"/>
          <w:lang w:val="fr-FR"/>
        </w:rPr>
        <w:t xml:space="preserve">Le code </w:t>
      </w:r>
      <w:r w:rsidR="003F30A0">
        <w:rPr>
          <w:szCs w:val="22"/>
          <w:lang w:val="fr-FR"/>
        </w:rPr>
        <w:t>‘</w:t>
      </w:r>
      <w:r w:rsidRPr="005D5D18">
        <w:rPr>
          <w:szCs w:val="22"/>
          <w:lang w:val="fr-FR"/>
        </w:rPr>
        <w:t>WO</w:t>
      </w:r>
      <w:r w:rsidR="003F30A0">
        <w:rPr>
          <w:szCs w:val="22"/>
          <w:lang w:val="fr-FR"/>
        </w:rPr>
        <w:t>’</w:t>
      </w:r>
      <w:r w:rsidRPr="005D5D18">
        <w:rPr>
          <w:szCs w:val="22"/>
          <w:lang w:val="fr-FR"/>
        </w:rPr>
        <w:t xml:space="preserve"> est utilisé en relation avec la publication internationale selon le Traité de coopération en matière de brevets (PCT) des demandes internationales</w:t>
      </w:r>
      <w:r w:rsidR="00545B6B">
        <w:rPr>
          <w:szCs w:val="22"/>
          <w:lang w:val="fr-FR"/>
        </w:rPr>
        <w:t>,</w:t>
      </w:r>
      <w:r w:rsidRPr="005D5D18">
        <w:rPr>
          <w:szCs w:val="22"/>
          <w:lang w:val="fr-FR"/>
        </w:rPr>
        <w:t xml:space="preserve"> </w:t>
      </w:r>
      <w:r w:rsidRPr="005D5D18">
        <w:rPr>
          <w:strike/>
          <w:szCs w:val="22"/>
          <w:lang w:val="fr-FR"/>
        </w:rPr>
        <w:t>déposées auprès d</w:t>
      </w:r>
      <w:r w:rsidR="003F30A0">
        <w:rPr>
          <w:strike/>
          <w:szCs w:val="22"/>
          <w:lang w:val="fr-FR"/>
        </w:rPr>
        <w:t>’</w:t>
      </w:r>
      <w:r w:rsidRPr="005D5D18">
        <w:rPr>
          <w:strike/>
          <w:szCs w:val="22"/>
          <w:lang w:val="fr-FR"/>
        </w:rPr>
        <w:t>un office récepteur</w:t>
      </w:r>
      <w:r w:rsidR="00DA77D5" w:rsidRPr="005D5D18">
        <w:rPr>
          <w:strike/>
          <w:szCs w:val="22"/>
          <w:lang w:val="fr-FR"/>
        </w:rPr>
        <w:t xml:space="preserve"> du PCT</w:t>
      </w:r>
      <w:r w:rsidRPr="005D5D18">
        <w:rPr>
          <w:strike/>
          <w:szCs w:val="22"/>
          <w:lang w:val="fr-FR"/>
        </w:rPr>
        <w:t>, ainsi qu</w:t>
      </w:r>
      <w:r w:rsidR="003F30A0">
        <w:rPr>
          <w:strike/>
          <w:szCs w:val="22"/>
          <w:lang w:val="fr-FR"/>
        </w:rPr>
        <w:t>’</w:t>
      </w:r>
      <w:r w:rsidRPr="005D5D18">
        <w:rPr>
          <w:strike/>
          <w:szCs w:val="22"/>
          <w:lang w:val="fr-FR"/>
        </w:rPr>
        <w:t xml:space="preserve">en relation avec </w:t>
      </w:r>
      <w:r w:rsidRPr="00545B6B">
        <w:rPr>
          <w:szCs w:val="22"/>
          <w:lang w:val="fr-FR"/>
        </w:rPr>
        <w:t>la</w:t>
      </w:r>
      <w:r w:rsidRPr="005D5D18">
        <w:rPr>
          <w:szCs w:val="22"/>
          <w:lang w:val="fr-FR"/>
        </w:rPr>
        <w:t xml:space="preserve"> publication des enregistrements internationaux de dessins et modèles industriels en vertu de l</w:t>
      </w:r>
      <w:r w:rsidR="003F30A0">
        <w:rPr>
          <w:szCs w:val="22"/>
          <w:lang w:val="fr-FR"/>
        </w:rPr>
        <w:t>’</w:t>
      </w:r>
      <w:r w:rsidRPr="005D5D18">
        <w:rPr>
          <w:szCs w:val="22"/>
          <w:lang w:val="fr-FR"/>
        </w:rPr>
        <w:t xml:space="preserve">Arrangement de </w:t>
      </w:r>
      <w:r w:rsidR="003F30A0">
        <w:rPr>
          <w:szCs w:val="22"/>
          <w:lang w:val="fr-FR"/>
        </w:rPr>
        <w:t>La Haye</w:t>
      </w:r>
      <w:r w:rsidRPr="005D5D18">
        <w:rPr>
          <w:szCs w:val="22"/>
          <w:lang w:val="fr-FR"/>
        </w:rPr>
        <w:t xml:space="preserve"> concernant l</w:t>
      </w:r>
      <w:r w:rsidR="003F30A0">
        <w:rPr>
          <w:szCs w:val="22"/>
          <w:lang w:val="fr-FR"/>
        </w:rPr>
        <w:t>’</w:t>
      </w:r>
      <w:r w:rsidRPr="005D5D18">
        <w:rPr>
          <w:szCs w:val="22"/>
          <w:lang w:val="fr-FR"/>
        </w:rPr>
        <w:t xml:space="preserve">enregistrement international des dessins et modèles industriels </w:t>
      </w:r>
      <w:r w:rsidRPr="005D5D18">
        <w:rPr>
          <w:szCs w:val="22"/>
          <w:u w:val="single"/>
          <w:lang w:val="fr-FR"/>
        </w:rPr>
        <w:t>(l</w:t>
      </w:r>
      <w:r w:rsidR="003F30A0">
        <w:rPr>
          <w:szCs w:val="22"/>
          <w:u w:val="single"/>
          <w:lang w:val="fr-FR"/>
        </w:rPr>
        <w:t>’</w:t>
      </w:r>
      <w:r w:rsidRPr="005D5D18">
        <w:rPr>
          <w:szCs w:val="22"/>
          <w:u w:val="single"/>
          <w:lang w:val="fr-FR"/>
        </w:rPr>
        <w:t xml:space="preserve">Arrangement de </w:t>
      </w:r>
      <w:r w:rsidR="003F30A0">
        <w:rPr>
          <w:szCs w:val="22"/>
          <w:u w:val="single"/>
          <w:lang w:val="fr-FR"/>
        </w:rPr>
        <w:t>La Ha</w:t>
      </w:r>
      <w:r w:rsidR="001A2DC8">
        <w:rPr>
          <w:szCs w:val="22"/>
          <w:u w:val="single"/>
          <w:lang w:val="fr-FR"/>
        </w:rPr>
        <w:t>ye</w:t>
      </w:r>
      <w:r w:rsidR="001A2DC8" w:rsidRPr="005D5D18">
        <w:rPr>
          <w:szCs w:val="22"/>
          <w:u w:val="single"/>
          <w:lang w:val="fr-FR"/>
        </w:rPr>
        <w:t>)</w:t>
      </w:r>
      <w:r w:rsidR="001A2DC8">
        <w:rPr>
          <w:szCs w:val="22"/>
          <w:u w:val="single"/>
          <w:lang w:val="fr-FR"/>
        </w:rPr>
        <w:t xml:space="preserve">.  </w:t>
      </w:r>
      <w:r w:rsidR="001A2DC8" w:rsidRPr="005D5D18">
        <w:rPr>
          <w:strike/>
          <w:szCs w:val="22"/>
          <w:lang w:val="fr-FR"/>
        </w:rPr>
        <w:t>On</w:t>
      </w:r>
      <w:r w:rsidRPr="005D5D18">
        <w:rPr>
          <w:strike/>
          <w:szCs w:val="22"/>
          <w:lang w:val="fr-FR"/>
        </w:rPr>
        <w:t xml:space="preserve"> se reportera à cet égard au code INID (33) figurant dans les normes</w:t>
      </w:r>
      <w:r w:rsidR="004242C8" w:rsidRPr="005D5D18">
        <w:rPr>
          <w:strike/>
          <w:szCs w:val="22"/>
          <w:lang w:val="fr-FR"/>
        </w:rPr>
        <w:t> </w:t>
      </w:r>
      <w:r w:rsidRPr="005D5D18">
        <w:rPr>
          <w:strike/>
          <w:szCs w:val="22"/>
          <w:lang w:val="fr-FR"/>
        </w:rPr>
        <w:t>ST.9 et ST.80 de l</w:t>
      </w:r>
      <w:r w:rsidR="003F30A0">
        <w:rPr>
          <w:strike/>
          <w:szCs w:val="22"/>
          <w:lang w:val="fr-FR"/>
        </w:rPr>
        <w:t>’</w:t>
      </w:r>
      <w:r w:rsidRPr="005D5D18">
        <w:rPr>
          <w:strike/>
          <w:szCs w:val="22"/>
          <w:lang w:val="fr-FR"/>
        </w:rPr>
        <w:t>O</w:t>
      </w:r>
      <w:r w:rsidR="001A2DC8" w:rsidRPr="005D5D18">
        <w:rPr>
          <w:strike/>
          <w:szCs w:val="22"/>
          <w:lang w:val="fr-FR"/>
        </w:rPr>
        <w:t>MPI</w:t>
      </w:r>
      <w:r w:rsidR="001A2DC8">
        <w:rPr>
          <w:strike/>
          <w:szCs w:val="22"/>
          <w:lang w:val="fr-FR"/>
        </w:rPr>
        <w:t xml:space="preserve">.  </w:t>
      </w:r>
      <w:r w:rsidR="001A2DC8" w:rsidRPr="005D5D18">
        <w:rPr>
          <w:strike/>
          <w:szCs w:val="22"/>
          <w:lang w:val="fr-FR"/>
        </w:rPr>
        <w:t>Le</w:t>
      </w:r>
      <w:r w:rsidRPr="005D5D18">
        <w:rPr>
          <w:strike/>
          <w:szCs w:val="22"/>
          <w:lang w:val="fr-FR"/>
        </w:rPr>
        <w:t xml:space="preserve"> code </w:t>
      </w:r>
      <w:r w:rsidR="003F30A0">
        <w:rPr>
          <w:strike/>
          <w:szCs w:val="22"/>
          <w:lang w:val="fr-FR"/>
        </w:rPr>
        <w:t>‘</w:t>
      </w:r>
      <w:r w:rsidRPr="005D5D18">
        <w:rPr>
          <w:strike/>
          <w:szCs w:val="22"/>
          <w:lang w:val="fr-FR"/>
        </w:rPr>
        <w:t>WO</w:t>
      </w:r>
      <w:r w:rsidR="003F30A0">
        <w:rPr>
          <w:strike/>
          <w:szCs w:val="22"/>
          <w:lang w:val="fr-FR"/>
        </w:rPr>
        <w:t>’</w:t>
      </w:r>
      <w:r w:rsidRPr="005D5D18">
        <w:rPr>
          <w:strike/>
          <w:szCs w:val="22"/>
          <w:lang w:val="fr-FR"/>
        </w:rPr>
        <w:t xml:space="preserve"> est également le code à utiliser en ce qui concerne</w:t>
      </w:r>
      <w:r w:rsidRPr="005D5D18">
        <w:rPr>
          <w:szCs w:val="22"/>
          <w:u w:val="single"/>
          <w:lang w:val="fr-FR"/>
        </w:rPr>
        <w:t xml:space="preserve">, </w:t>
      </w:r>
      <w:r w:rsidRPr="00545B6B">
        <w:rPr>
          <w:szCs w:val="22"/>
          <w:u w:val="single"/>
          <w:lang w:val="fr-FR"/>
        </w:rPr>
        <w:t xml:space="preserve">et </w:t>
      </w:r>
      <w:r w:rsidR="00545B6B" w:rsidRPr="00545B6B">
        <w:rPr>
          <w:szCs w:val="22"/>
          <w:u w:val="single"/>
          <w:lang w:val="fr-FR"/>
        </w:rPr>
        <w:t>la publication de</w:t>
      </w:r>
      <w:r w:rsidR="00545B6B">
        <w:rPr>
          <w:szCs w:val="22"/>
          <w:lang w:val="fr-FR"/>
        </w:rPr>
        <w:t xml:space="preserve"> l</w:t>
      </w:r>
      <w:r w:rsidR="003F30A0">
        <w:rPr>
          <w:szCs w:val="22"/>
          <w:lang w:val="fr-FR"/>
        </w:rPr>
        <w:t>’</w:t>
      </w:r>
      <w:r w:rsidRPr="005D5D18">
        <w:rPr>
          <w:szCs w:val="22"/>
          <w:lang w:val="fr-FR"/>
        </w:rPr>
        <w:t>enregistrement internationa</w:t>
      </w:r>
      <w:r w:rsidR="00545B6B">
        <w:rPr>
          <w:szCs w:val="22"/>
          <w:lang w:val="fr-FR"/>
        </w:rPr>
        <w:t>l</w:t>
      </w:r>
      <w:r w:rsidRPr="005D5D18">
        <w:rPr>
          <w:szCs w:val="22"/>
          <w:lang w:val="fr-FR"/>
        </w:rPr>
        <w:t xml:space="preserve"> de</w:t>
      </w:r>
      <w:r w:rsidR="00545B6B">
        <w:rPr>
          <w:szCs w:val="22"/>
          <w:lang w:val="fr-FR"/>
        </w:rPr>
        <w:t>s</w:t>
      </w:r>
      <w:r w:rsidRPr="005D5D18">
        <w:rPr>
          <w:szCs w:val="22"/>
          <w:lang w:val="fr-FR"/>
        </w:rPr>
        <w:t xml:space="preserve"> marques en vertu du Protocole de Madrid concernant l</w:t>
      </w:r>
      <w:r w:rsidR="003F30A0">
        <w:rPr>
          <w:szCs w:val="22"/>
          <w:lang w:val="fr-FR"/>
        </w:rPr>
        <w:t>’</w:t>
      </w:r>
      <w:r w:rsidRPr="005D5D18">
        <w:rPr>
          <w:szCs w:val="22"/>
          <w:lang w:val="fr-FR"/>
        </w:rPr>
        <w:t>enregistrement international des marqu</w:t>
      </w:r>
      <w:r w:rsidR="001A2DC8" w:rsidRPr="005D5D18">
        <w:rPr>
          <w:szCs w:val="22"/>
          <w:lang w:val="fr-FR"/>
        </w:rPr>
        <w:t>es</w:t>
      </w:r>
      <w:r w:rsidR="001A2DC8">
        <w:rPr>
          <w:szCs w:val="22"/>
          <w:lang w:val="fr-FR"/>
        </w:rPr>
        <w:t xml:space="preserve">.  </w:t>
      </w:r>
      <w:r w:rsidR="001A2DC8" w:rsidRPr="005D5D18">
        <w:rPr>
          <w:szCs w:val="22"/>
          <w:lang w:val="fr-FR"/>
        </w:rPr>
        <w:t>On</w:t>
      </w:r>
      <w:r w:rsidRPr="005D5D18">
        <w:rPr>
          <w:szCs w:val="22"/>
          <w:lang w:val="fr-FR"/>
        </w:rPr>
        <w:t xml:space="preserve"> se reportera à cet égard au code INID </w:t>
      </w:r>
      <w:r w:rsidRPr="005D5D18">
        <w:rPr>
          <w:szCs w:val="22"/>
          <w:u w:val="single"/>
          <w:lang w:val="fr-FR"/>
        </w:rPr>
        <w:t>(19) dans les normes ST.9 et ST.80 de l</w:t>
      </w:r>
      <w:r w:rsidR="003F30A0">
        <w:rPr>
          <w:szCs w:val="22"/>
          <w:u w:val="single"/>
          <w:lang w:val="fr-FR"/>
        </w:rPr>
        <w:t>’</w:t>
      </w:r>
      <w:r w:rsidRPr="005D5D18">
        <w:rPr>
          <w:szCs w:val="22"/>
          <w:u w:val="single"/>
          <w:lang w:val="fr-FR"/>
        </w:rPr>
        <w:t>OMPI, ainsi qu</w:t>
      </w:r>
      <w:r w:rsidR="003F30A0">
        <w:rPr>
          <w:szCs w:val="22"/>
          <w:u w:val="single"/>
          <w:lang w:val="fr-FR"/>
        </w:rPr>
        <w:t>’</w:t>
      </w:r>
      <w:r w:rsidRPr="005D5D18">
        <w:rPr>
          <w:szCs w:val="22"/>
          <w:u w:val="single"/>
          <w:lang w:val="fr-FR"/>
        </w:rPr>
        <w:t>au code INID (190</w:t>
      </w:r>
      <w:r w:rsidRPr="005D5D18">
        <w:rPr>
          <w:strike/>
          <w:szCs w:val="22"/>
          <w:lang w:val="fr-FR"/>
        </w:rPr>
        <w:t>(330</w:t>
      </w:r>
      <w:r w:rsidRPr="005D5D18">
        <w:rPr>
          <w:szCs w:val="22"/>
          <w:lang w:val="fr-FR"/>
        </w:rPr>
        <w:t xml:space="preserve">) </w:t>
      </w:r>
      <w:r w:rsidRPr="005D5D18">
        <w:rPr>
          <w:strike/>
          <w:szCs w:val="22"/>
          <w:lang w:val="fr-FR"/>
        </w:rPr>
        <w:t>figurant</w:t>
      </w:r>
      <w:r w:rsidRPr="005D5D18">
        <w:rPr>
          <w:szCs w:val="22"/>
          <w:lang w:val="fr-FR"/>
        </w:rPr>
        <w:t xml:space="preserve"> dans la norme ST.60 de l</w:t>
      </w:r>
      <w:r w:rsidR="003F30A0">
        <w:rPr>
          <w:szCs w:val="22"/>
          <w:lang w:val="fr-FR"/>
        </w:rPr>
        <w:t>’</w:t>
      </w:r>
      <w:r w:rsidRPr="005D5D18">
        <w:rPr>
          <w:szCs w:val="22"/>
          <w:lang w:val="fr-FR"/>
        </w:rPr>
        <w:t>O</w:t>
      </w:r>
      <w:r w:rsidR="001A2DC8" w:rsidRPr="005D5D18">
        <w:rPr>
          <w:szCs w:val="22"/>
          <w:lang w:val="fr-FR"/>
        </w:rPr>
        <w:t>MPI</w:t>
      </w:r>
      <w:r w:rsidR="001A2DC8">
        <w:rPr>
          <w:szCs w:val="22"/>
          <w:lang w:val="fr-FR"/>
        </w:rPr>
        <w:t xml:space="preserve">.  </w:t>
      </w:r>
      <w:r w:rsidR="001A2DC8" w:rsidRPr="005D5D18">
        <w:rPr>
          <w:szCs w:val="22"/>
          <w:lang w:val="fr-FR"/>
        </w:rPr>
        <w:t>Le</w:t>
      </w:r>
      <w:r w:rsidRPr="005D5D18">
        <w:rPr>
          <w:szCs w:val="22"/>
          <w:lang w:val="fr-FR"/>
        </w:rPr>
        <w:t xml:space="preserve"> code </w:t>
      </w:r>
      <w:r w:rsidR="003F30A0">
        <w:rPr>
          <w:szCs w:val="22"/>
          <w:lang w:val="fr-FR"/>
        </w:rPr>
        <w:t>‘</w:t>
      </w:r>
      <w:r w:rsidRPr="005D5D18">
        <w:rPr>
          <w:szCs w:val="22"/>
          <w:lang w:val="fr-FR"/>
        </w:rPr>
        <w:t>IB</w:t>
      </w:r>
      <w:r w:rsidR="003F30A0">
        <w:rPr>
          <w:szCs w:val="22"/>
          <w:lang w:val="fr-FR"/>
        </w:rPr>
        <w:t>’</w:t>
      </w:r>
      <w:r w:rsidRPr="005D5D18">
        <w:rPr>
          <w:szCs w:val="22"/>
          <w:lang w:val="fr-FR"/>
        </w:rPr>
        <w:t xml:space="preserve"> est utilisé en relation avec </w:t>
      </w:r>
      <w:r w:rsidRPr="005D5D18">
        <w:rPr>
          <w:strike/>
          <w:szCs w:val="22"/>
          <w:lang w:val="fr-FR"/>
        </w:rPr>
        <w:t>la réception</w:t>
      </w:r>
      <w:r w:rsidRPr="005D5D18">
        <w:rPr>
          <w:szCs w:val="22"/>
          <w:lang w:val="fr-FR"/>
        </w:rPr>
        <w:t xml:space="preserve"> </w:t>
      </w:r>
      <w:r w:rsidR="00545B6B" w:rsidRPr="00545B6B">
        <w:rPr>
          <w:szCs w:val="22"/>
          <w:u w:val="single"/>
          <w:lang w:val="fr-FR"/>
        </w:rPr>
        <w:t xml:space="preserve">le dépôt </w:t>
      </w:r>
      <w:r w:rsidRPr="005D5D18">
        <w:rPr>
          <w:szCs w:val="22"/>
          <w:lang w:val="fr-FR"/>
        </w:rPr>
        <w:t xml:space="preserve">des demandes internationales </w:t>
      </w:r>
      <w:r w:rsidRPr="005D5D18">
        <w:rPr>
          <w:strike/>
          <w:szCs w:val="22"/>
          <w:lang w:val="fr-FR"/>
        </w:rPr>
        <w:t>selon</w:t>
      </w:r>
      <w:r w:rsidR="00DA77D5" w:rsidRPr="005D5D18">
        <w:rPr>
          <w:strike/>
          <w:szCs w:val="22"/>
          <w:lang w:val="fr-FR"/>
        </w:rPr>
        <w:t xml:space="preserve"> le PCT</w:t>
      </w:r>
      <w:r w:rsidRPr="00545B6B">
        <w:rPr>
          <w:strike/>
          <w:szCs w:val="22"/>
          <w:lang w:val="fr-FR"/>
        </w:rPr>
        <w:t xml:space="preserve"> déposées</w:t>
      </w:r>
      <w:r w:rsidRPr="005D5D18">
        <w:rPr>
          <w:szCs w:val="22"/>
          <w:lang w:val="fr-FR"/>
        </w:rPr>
        <w:t xml:space="preserve"> auprès du Bureau international de</w:t>
      </w:r>
      <w:r w:rsidR="00CD0361" w:rsidRPr="005D5D18">
        <w:rPr>
          <w:szCs w:val="22"/>
          <w:lang w:val="fr-FR"/>
        </w:rPr>
        <w:t xml:space="preserve"> </w:t>
      </w:r>
      <w:r w:rsidRPr="005D5D18">
        <w:rPr>
          <w:szCs w:val="22"/>
          <w:lang w:val="fr-FR"/>
        </w:rPr>
        <w:t>l</w:t>
      </w:r>
      <w:r w:rsidR="003F30A0">
        <w:rPr>
          <w:szCs w:val="22"/>
          <w:lang w:val="fr-FR"/>
        </w:rPr>
        <w:t>’</w:t>
      </w:r>
      <w:r w:rsidRPr="005D5D18">
        <w:rPr>
          <w:szCs w:val="22"/>
          <w:lang w:val="fr-FR"/>
        </w:rPr>
        <w:t>OMPI en sa qualité d</w:t>
      </w:r>
      <w:r w:rsidR="003F30A0">
        <w:rPr>
          <w:szCs w:val="22"/>
          <w:lang w:val="fr-FR"/>
        </w:rPr>
        <w:t>’</w:t>
      </w:r>
      <w:r w:rsidRPr="005D5D18">
        <w:rPr>
          <w:szCs w:val="22"/>
          <w:lang w:val="fr-FR"/>
        </w:rPr>
        <w:t>office récepteur</w:t>
      </w:r>
      <w:r w:rsidR="00DA77D5" w:rsidRPr="005D5D18">
        <w:rPr>
          <w:szCs w:val="22"/>
          <w:lang w:val="fr-FR"/>
        </w:rPr>
        <w:t xml:space="preserve"> du PCT</w:t>
      </w:r>
      <w:r w:rsidRPr="005D5D18">
        <w:rPr>
          <w:szCs w:val="22"/>
          <w:lang w:val="fr-FR"/>
        </w:rPr>
        <w:t xml:space="preserve">, et </w:t>
      </w:r>
      <w:r w:rsidRPr="005D5D18">
        <w:rPr>
          <w:strike/>
          <w:szCs w:val="22"/>
          <w:lang w:val="fr-FR"/>
        </w:rPr>
        <w:t>pour</w:t>
      </w:r>
      <w:r w:rsidRPr="005D5D18">
        <w:rPr>
          <w:szCs w:val="22"/>
          <w:lang w:val="fr-FR"/>
        </w:rPr>
        <w:t xml:space="preserve"> le dépôt des demandes d</w:t>
      </w:r>
      <w:r w:rsidR="003F30A0">
        <w:rPr>
          <w:szCs w:val="22"/>
          <w:lang w:val="fr-FR"/>
        </w:rPr>
        <w:t>’</w:t>
      </w:r>
      <w:r w:rsidRPr="005D5D18">
        <w:rPr>
          <w:szCs w:val="22"/>
          <w:lang w:val="fr-FR"/>
        </w:rPr>
        <w:t>enregistrement international des dessins et modèles industriels en vertu de l</w:t>
      </w:r>
      <w:r w:rsidR="003F30A0">
        <w:rPr>
          <w:szCs w:val="22"/>
          <w:lang w:val="fr-FR"/>
        </w:rPr>
        <w:t>’</w:t>
      </w:r>
      <w:r w:rsidRPr="005D5D18">
        <w:rPr>
          <w:szCs w:val="22"/>
          <w:lang w:val="fr-FR"/>
        </w:rPr>
        <w:t xml:space="preserve">Arrangement de </w:t>
      </w:r>
      <w:r w:rsidR="003F30A0">
        <w:rPr>
          <w:szCs w:val="22"/>
          <w:lang w:val="fr-FR"/>
        </w:rPr>
        <w:t>La Ha</w:t>
      </w:r>
      <w:r w:rsidR="001A2DC8">
        <w:rPr>
          <w:szCs w:val="22"/>
          <w:lang w:val="fr-FR"/>
        </w:rPr>
        <w:t xml:space="preserve">ye.  </w:t>
      </w:r>
      <w:r w:rsidR="001A2DC8" w:rsidRPr="005D5D18">
        <w:rPr>
          <w:szCs w:val="22"/>
          <w:u w:val="single"/>
          <w:lang w:val="fr-FR"/>
        </w:rPr>
        <w:t>On</w:t>
      </w:r>
      <w:r w:rsidRPr="005D5D18">
        <w:rPr>
          <w:szCs w:val="22"/>
          <w:u w:val="single"/>
          <w:lang w:val="fr-FR"/>
        </w:rPr>
        <w:t xml:space="preserve"> se reportera à cet égard au code INID (33) figurant dans les normes ST.9 et ST.80 de l</w:t>
      </w:r>
      <w:r w:rsidR="003F30A0">
        <w:rPr>
          <w:szCs w:val="22"/>
          <w:u w:val="single"/>
          <w:lang w:val="fr-FR"/>
        </w:rPr>
        <w:t>’</w:t>
      </w:r>
      <w:r w:rsidRPr="005D5D18">
        <w:rPr>
          <w:szCs w:val="22"/>
          <w:u w:val="single"/>
          <w:lang w:val="fr-FR"/>
        </w:rPr>
        <w:t>OMPI</w:t>
      </w:r>
      <w:r w:rsidRPr="005D5D18">
        <w:rPr>
          <w:szCs w:val="22"/>
          <w:lang w:val="fr-FR"/>
        </w:rPr>
        <w:t>.</w:t>
      </w:r>
      <w:bookmarkStart w:id="6" w:name="_Hlk172549423"/>
      <w:r w:rsidR="004242C8" w:rsidRPr="005D5D18">
        <w:rPr>
          <w:szCs w:val="22"/>
          <w:lang w:val="fr-FR"/>
        </w:rPr>
        <w:t>”</w:t>
      </w:r>
      <w:bookmarkEnd w:id="6"/>
    </w:p>
    <w:bookmarkEnd w:id="5"/>
    <w:p w14:paraId="7EA3C5C0" w14:textId="67E585CE" w:rsidR="008F0282" w:rsidRPr="005D5D18" w:rsidRDefault="00423BAF" w:rsidP="0041712B">
      <w:pPr>
        <w:pStyle w:val="Heading2"/>
        <w:rPr>
          <w:rFonts w:eastAsia="Arial"/>
        </w:rPr>
      </w:pPr>
      <w:r w:rsidRPr="005D5D18">
        <w:lastRenderedPageBreak/>
        <w:t>Proposition de révision de la norme St.9 de l</w:t>
      </w:r>
      <w:r w:rsidR="003F30A0">
        <w:t>’</w:t>
      </w:r>
      <w:r w:rsidRPr="005D5D18">
        <w:t>OMPI</w:t>
      </w:r>
    </w:p>
    <w:p w14:paraId="6BE6566D" w14:textId="14D11CC6" w:rsidR="008F0282" w:rsidRPr="005D5D18" w:rsidRDefault="008F0282" w:rsidP="00AA20ED">
      <w:pPr>
        <w:pStyle w:val="ONUMFS"/>
        <w:rPr>
          <w:rFonts w:eastAsia="Arial"/>
          <w:lang w:val="fr-FR"/>
        </w:rPr>
      </w:pPr>
      <w:r w:rsidRPr="005D5D18">
        <w:rPr>
          <w:lang w:val="fr-FR"/>
        </w:rPr>
        <w:t>Une seule modification de la norme</w:t>
      </w:r>
      <w:r w:rsidR="004242C8" w:rsidRPr="005D5D18">
        <w:rPr>
          <w:lang w:val="fr-FR"/>
        </w:rPr>
        <w:t> </w:t>
      </w:r>
      <w:r w:rsidRPr="005D5D18">
        <w:rPr>
          <w:lang w:val="fr-FR"/>
        </w:rPr>
        <w:t>ST.9 de l</w:t>
      </w:r>
      <w:r w:rsidR="003F30A0">
        <w:rPr>
          <w:lang w:val="fr-FR"/>
        </w:rPr>
        <w:t>’</w:t>
      </w:r>
      <w:r w:rsidRPr="005D5D18">
        <w:rPr>
          <w:lang w:val="fr-FR"/>
        </w:rPr>
        <w:t>OMPI est proposée pour corriger le code (33) qui doit être utilisé pour identifier l</w:t>
      </w:r>
      <w:r w:rsidR="003F30A0">
        <w:rPr>
          <w:lang w:val="fr-FR"/>
        </w:rPr>
        <w:t>’</w:t>
      </w:r>
      <w:r w:rsidRPr="005D5D18">
        <w:rPr>
          <w:lang w:val="fr-FR"/>
        </w:rPr>
        <w:t>office auprès duquel une demande internationale selon</w:t>
      </w:r>
      <w:r w:rsidR="00DA77D5" w:rsidRPr="005D5D18">
        <w:rPr>
          <w:lang w:val="fr-FR"/>
        </w:rPr>
        <w:t xml:space="preserve"> le PCT</w:t>
      </w:r>
      <w:r w:rsidRPr="005D5D18">
        <w:rPr>
          <w:lang w:val="fr-FR"/>
        </w:rPr>
        <w:t xml:space="preserve"> a été dépos</w:t>
      </w:r>
      <w:r w:rsidR="001A2DC8" w:rsidRPr="005D5D18">
        <w:rPr>
          <w:lang w:val="fr-FR"/>
        </w:rPr>
        <w:t>ée</w:t>
      </w:r>
      <w:r w:rsidR="001A2DC8">
        <w:rPr>
          <w:lang w:val="fr-FR"/>
        </w:rPr>
        <w:t xml:space="preserve">.  </w:t>
      </w:r>
      <w:r w:rsidR="001A2DC8" w:rsidRPr="005D5D18">
        <w:rPr>
          <w:lang w:val="fr-FR"/>
        </w:rPr>
        <w:t>Le</w:t>
      </w:r>
      <w:r w:rsidRPr="005D5D18">
        <w:rPr>
          <w:lang w:val="fr-FR"/>
        </w:rPr>
        <w:t xml:space="preserve"> code identifiant cet office doit être indiqué dans une revendication de priorité pour une demande internationale selon</w:t>
      </w:r>
      <w:r w:rsidR="00DA77D5" w:rsidRPr="005D5D18">
        <w:rPr>
          <w:lang w:val="fr-FR"/>
        </w:rPr>
        <w:t xml:space="preserve"> le PCT</w:t>
      </w:r>
      <w:r w:rsidRPr="005D5D18">
        <w:rPr>
          <w:lang w:val="fr-FR"/>
        </w:rPr>
        <w:t>.</w:t>
      </w:r>
    </w:p>
    <w:p w14:paraId="7E8E8137" w14:textId="48B034BB" w:rsidR="008F0282" w:rsidRPr="005D5D18" w:rsidRDefault="008F0282" w:rsidP="00AA20ED">
      <w:pPr>
        <w:pStyle w:val="ONUMFS"/>
        <w:rPr>
          <w:rFonts w:eastAsia="Arial"/>
          <w:lang w:val="fr-FR"/>
        </w:rPr>
      </w:pPr>
      <w:r w:rsidRPr="005D5D18">
        <w:rPr>
          <w:lang w:val="fr-FR"/>
        </w:rPr>
        <w:t>Le code révisé (33) se lirait comme suit</w:t>
      </w:r>
      <w:r w:rsidR="003F30A0">
        <w:rPr>
          <w:lang w:val="fr-FR"/>
        </w:rPr>
        <w:t> :</w:t>
      </w:r>
    </w:p>
    <w:p w14:paraId="17605EFF" w14:textId="24731D93" w:rsidR="00DA77D5" w:rsidRPr="005D5D18" w:rsidRDefault="00CD0361" w:rsidP="00CD0361">
      <w:pPr>
        <w:widowControl w:val="0"/>
        <w:autoSpaceDE w:val="0"/>
        <w:autoSpaceDN w:val="0"/>
        <w:ind w:left="1134" w:right="114" w:hanging="567"/>
        <w:rPr>
          <w:i/>
          <w:iCs/>
          <w:szCs w:val="22"/>
          <w:lang w:val="fr-FR"/>
        </w:rPr>
      </w:pPr>
      <w:r w:rsidRPr="005D5D18">
        <w:rPr>
          <w:szCs w:val="22"/>
          <w:lang w:val="fr-FR"/>
        </w:rPr>
        <w:t>“</w:t>
      </w:r>
      <w:r w:rsidR="008F0282" w:rsidRPr="005D5D18">
        <w:rPr>
          <w:i/>
          <w:iCs/>
          <w:szCs w:val="22"/>
          <w:lang w:val="fr-FR"/>
        </w:rPr>
        <w:t>(30)</w:t>
      </w:r>
      <w:r w:rsidR="008F0282" w:rsidRPr="005D5D18">
        <w:rPr>
          <w:i/>
          <w:iCs/>
          <w:szCs w:val="22"/>
          <w:lang w:val="fr-FR"/>
        </w:rPr>
        <w:tab/>
        <w:t>Données relatives à la priorité selon la Convention de Paris ou l</w:t>
      </w:r>
      <w:r w:rsidR="003F30A0">
        <w:rPr>
          <w:i/>
          <w:iCs/>
          <w:szCs w:val="22"/>
          <w:lang w:val="fr-FR"/>
        </w:rPr>
        <w:t>’</w:t>
      </w:r>
      <w:r w:rsidR="008F0282" w:rsidRPr="005D5D18">
        <w:rPr>
          <w:i/>
          <w:iCs/>
          <w:szCs w:val="22"/>
          <w:lang w:val="fr-FR"/>
        </w:rPr>
        <w:t>Accord sur les aspects des droits de propriété intellectuelle qui touchent au commerce (Accord sur</w:t>
      </w:r>
      <w:r w:rsidR="00DA77D5" w:rsidRPr="005D5D18">
        <w:rPr>
          <w:i/>
          <w:iCs/>
          <w:szCs w:val="22"/>
          <w:lang w:val="fr-FR"/>
        </w:rPr>
        <w:t xml:space="preserve"> les ADP</w:t>
      </w:r>
      <w:r w:rsidR="008F0282" w:rsidRPr="005D5D18">
        <w:rPr>
          <w:i/>
          <w:iCs/>
          <w:szCs w:val="22"/>
          <w:lang w:val="fr-FR"/>
        </w:rPr>
        <w:t>IC)</w:t>
      </w:r>
    </w:p>
    <w:p w14:paraId="2517AC91" w14:textId="6EB489E3" w:rsidR="008F0282" w:rsidRPr="005D5D18" w:rsidRDefault="008F0282" w:rsidP="00C633E6">
      <w:pPr>
        <w:widowControl w:val="0"/>
        <w:numPr>
          <w:ilvl w:val="0"/>
          <w:numId w:val="7"/>
        </w:numPr>
        <w:autoSpaceDE w:val="0"/>
        <w:autoSpaceDN w:val="0"/>
        <w:ind w:left="1701" w:right="114" w:hanging="567"/>
        <w:rPr>
          <w:szCs w:val="22"/>
          <w:lang w:val="fr-FR"/>
        </w:rPr>
      </w:pPr>
      <w:r w:rsidRPr="005D5D18">
        <w:rPr>
          <w:szCs w:val="22"/>
          <w:lang w:val="fr-FR"/>
        </w:rPr>
        <w:t>Code de la norme ST.3 de l</w:t>
      </w:r>
      <w:r w:rsidR="003F30A0">
        <w:rPr>
          <w:szCs w:val="22"/>
          <w:lang w:val="fr-FR"/>
        </w:rPr>
        <w:t>’</w:t>
      </w:r>
      <w:r w:rsidRPr="005D5D18">
        <w:rPr>
          <w:szCs w:val="22"/>
          <w:lang w:val="fr-FR"/>
        </w:rPr>
        <w:t>OMPI permettant d</w:t>
      </w:r>
      <w:r w:rsidR="003F30A0">
        <w:rPr>
          <w:szCs w:val="22"/>
          <w:lang w:val="fr-FR"/>
        </w:rPr>
        <w:t>’</w:t>
      </w:r>
      <w:r w:rsidRPr="005D5D18">
        <w:rPr>
          <w:szCs w:val="22"/>
          <w:lang w:val="fr-FR"/>
        </w:rPr>
        <w:t>identifier l</w:t>
      </w:r>
      <w:r w:rsidR="003F30A0">
        <w:rPr>
          <w:szCs w:val="22"/>
          <w:lang w:val="fr-FR"/>
        </w:rPr>
        <w:t>’</w:t>
      </w:r>
      <w:r w:rsidRPr="005D5D18">
        <w:rPr>
          <w:szCs w:val="22"/>
          <w:lang w:val="fr-FR"/>
        </w:rPr>
        <w:t>office national de</w:t>
      </w:r>
      <w:r w:rsidR="00CD0361" w:rsidRPr="005D5D18">
        <w:rPr>
          <w:szCs w:val="22"/>
          <w:lang w:val="fr-FR"/>
        </w:rPr>
        <w:t xml:space="preserve"> </w:t>
      </w:r>
      <w:r w:rsidRPr="005D5D18">
        <w:rPr>
          <w:szCs w:val="22"/>
          <w:lang w:val="fr-FR"/>
        </w:rPr>
        <w:t>propriété industrielle qui attribue le numéro de demande établissant la priorité ou l</w:t>
      </w:r>
      <w:r w:rsidR="003F30A0">
        <w:rPr>
          <w:szCs w:val="22"/>
          <w:lang w:val="fr-FR"/>
        </w:rPr>
        <w:t>’</w:t>
      </w:r>
      <w:r w:rsidRPr="005D5D18">
        <w:rPr>
          <w:szCs w:val="22"/>
          <w:lang w:val="fr-FR"/>
        </w:rPr>
        <w:t>organisation qui attribu</w:t>
      </w:r>
      <w:r w:rsidR="00CD0361" w:rsidRPr="005D5D18">
        <w:rPr>
          <w:szCs w:val="22"/>
          <w:lang w:val="fr-FR"/>
        </w:rPr>
        <w:t xml:space="preserve">e </w:t>
      </w:r>
      <w:r w:rsidRPr="005D5D18">
        <w:rPr>
          <w:szCs w:val="22"/>
          <w:lang w:val="fr-FR"/>
        </w:rPr>
        <w:t>le numéro de demande régionale établissant la priorité;  pour les demandes internationales déposées en vertu</w:t>
      </w:r>
      <w:r w:rsidR="00DA77D5" w:rsidRPr="005D5D18">
        <w:rPr>
          <w:szCs w:val="22"/>
          <w:lang w:val="fr-FR"/>
        </w:rPr>
        <w:t xml:space="preserve"> du PCT</w:t>
      </w:r>
      <w:r w:rsidRPr="005D5D18">
        <w:rPr>
          <w:szCs w:val="22"/>
          <w:lang w:val="fr-FR"/>
        </w:rPr>
        <w:t>, c</w:t>
      </w:r>
      <w:r w:rsidR="003F30A0">
        <w:rPr>
          <w:szCs w:val="22"/>
          <w:lang w:val="fr-FR"/>
        </w:rPr>
        <w:t>’</w:t>
      </w:r>
      <w:r w:rsidRPr="005D5D18">
        <w:rPr>
          <w:szCs w:val="22"/>
          <w:lang w:val="fr-FR"/>
        </w:rPr>
        <w:t xml:space="preserve">est le code </w:t>
      </w:r>
      <w:r w:rsidRPr="005D5D18">
        <w:rPr>
          <w:strike/>
          <w:szCs w:val="22"/>
          <w:lang w:val="fr-FR"/>
        </w:rPr>
        <w:t xml:space="preserve">“WO” </w:t>
      </w:r>
      <w:r w:rsidRPr="005D5D18">
        <w:rPr>
          <w:szCs w:val="22"/>
          <w:u w:val="single"/>
          <w:lang w:val="fr-FR"/>
        </w:rPr>
        <w:t>pour l</w:t>
      </w:r>
      <w:r w:rsidR="003F30A0">
        <w:rPr>
          <w:szCs w:val="22"/>
          <w:u w:val="single"/>
          <w:lang w:val="fr-FR"/>
        </w:rPr>
        <w:t>’</w:t>
      </w:r>
      <w:r w:rsidRPr="005D5D18">
        <w:rPr>
          <w:szCs w:val="22"/>
          <w:u w:val="single"/>
          <w:lang w:val="fr-FR"/>
        </w:rPr>
        <w:t>office récepteur</w:t>
      </w:r>
      <w:r w:rsidRPr="005D5D18">
        <w:rPr>
          <w:szCs w:val="22"/>
          <w:lang w:val="fr-FR"/>
        </w:rPr>
        <w:t xml:space="preserve"> qui doit être utilisé.</w:t>
      </w:r>
      <w:r w:rsidR="00CD0361" w:rsidRPr="005D5D18">
        <w:rPr>
          <w:szCs w:val="22"/>
          <w:lang w:val="fr-FR"/>
        </w:rPr>
        <w:t>”</w:t>
      </w:r>
    </w:p>
    <w:p w14:paraId="1843FB3D" w14:textId="5DC3A464" w:rsidR="008F0282" w:rsidRPr="005D5D18" w:rsidRDefault="00423BAF" w:rsidP="0041712B">
      <w:pPr>
        <w:pStyle w:val="Heading2"/>
        <w:rPr>
          <w:rFonts w:eastAsia="Arial"/>
        </w:rPr>
      </w:pPr>
      <w:r w:rsidRPr="005D5D18">
        <w:t>Proposition de révision de la norme</w:t>
      </w:r>
      <w:r w:rsidR="009C0891" w:rsidRPr="005D5D18">
        <w:t> </w:t>
      </w:r>
      <w:r w:rsidRPr="005D5D18">
        <w:t>ST.80 de l</w:t>
      </w:r>
      <w:r w:rsidR="003F30A0">
        <w:t>’</w:t>
      </w:r>
      <w:r w:rsidRPr="005D5D18">
        <w:t>OMPI</w:t>
      </w:r>
    </w:p>
    <w:p w14:paraId="030A0E5C" w14:textId="7F8F6C73" w:rsidR="008F0282" w:rsidRPr="005D5D18" w:rsidRDefault="008F0282" w:rsidP="00AA20ED">
      <w:pPr>
        <w:pStyle w:val="ONUMFS"/>
        <w:rPr>
          <w:rFonts w:eastAsia="Arial"/>
          <w:lang w:val="fr-FR"/>
        </w:rPr>
      </w:pPr>
      <w:r w:rsidRPr="005D5D18">
        <w:rPr>
          <w:lang w:val="fr-FR"/>
        </w:rPr>
        <w:t>Les propositions de modification de la norme</w:t>
      </w:r>
      <w:r w:rsidR="004242C8" w:rsidRPr="005D5D18">
        <w:rPr>
          <w:lang w:val="fr-FR"/>
        </w:rPr>
        <w:t> </w:t>
      </w:r>
      <w:r w:rsidRPr="005D5D18">
        <w:rPr>
          <w:lang w:val="fr-FR"/>
        </w:rPr>
        <w:t>ST.80 peuvent être résumées comme suit</w:t>
      </w:r>
      <w:r w:rsidR="003F30A0">
        <w:rPr>
          <w:lang w:val="fr-FR"/>
        </w:rPr>
        <w:t> :</w:t>
      </w:r>
    </w:p>
    <w:p w14:paraId="1E3DCC80" w14:textId="77777777" w:rsidR="00DA77D5" w:rsidRPr="005D5D18" w:rsidRDefault="008F0282" w:rsidP="004609A8">
      <w:pPr>
        <w:pStyle w:val="Heading3"/>
        <w:rPr>
          <w:lang w:val="fr-FR"/>
        </w:rPr>
      </w:pPr>
      <w:r w:rsidRPr="005D5D18">
        <w:rPr>
          <w:lang w:val="fr-FR"/>
        </w:rPr>
        <w:t>a)</w:t>
      </w:r>
      <w:r w:rsidRPr="005D5D18">
        <w:rPr>
          <w:lang w:val="fr-FR"/>
        </w:rPr>
        <w:tab/>
        <w:t>Révision des notes suivant le code de catégorie (30)</w:t>
      </w:r>
    </w:p>
    <w:p w14:paraId="46DA88A0" w14:textId="6B524ED5" w:rsidR="00DA77D5" w:rsidRPr="005D5D18" w:rsidRDefault="008F0282" w:rsidP="00AA20ED">
      <w:pPr>
        <w:pStyle w:val="ONUMFS"/>
        <w:rPr>
          <w:lang w:val="fr-FR"/>
        </w:rPr>
      </w:pPr>
      <w:r w:rsidRPr="005D5D18">
        <w:rPr>
          <w:lang w:val="fr-FR"/>
        </w:rPr>
        <w:t>Premièrement, il est proposé d</w:t>
      </w:r>
      <w:r w:rsidR="003F30A0">
        <w:rPr>
          <w:lang w:val="fr-FR"/>
        </w:rPr>
        <w:t>’</w:t>
      </w:r>
      <w:r w:rsidRPr="005D5D18">
        <w:rPr>
          <w:lang w:val="fr-FR"/>
        </w:rPr>
        <w:t xml:space="preserve">aligner le texte de la note ii) sur la terminologie introduite dans le système de </w:t>
      </w:r>
      <w:r w:rsidR="003F30A0">
        <w:rPr>
          <w:lang w:val="fr-FR"/>
        </w:rPr>
        <w:t>La Haye</w:t>
      </w:r>
      <w:r w:rsidRPr="005D5D18">
        <w:rPr>
          <w:lang w:val="fr-FR"/>
        </w:rPr>
        <w:t xml:space="preserve"> par l</w:t>
      </w:r>
      <w:r w:rsidR="003F30A0">
        <w:rPr>
          <w:lang w:val="fr-FR"/>
        </w:rPr>
        <w:t>’</w:t>
      </w:r>
      <w:r w:rsidRPr="005D5D18">
        <w:rPr>
          <w:lang w:val="fr-FR"/>
        </w:rPr>
        <w:t>entrée en vigueur de l</w:t>
      </w:r>
      <w:r w:rsidR="003F30A0">
        <w:rPr>
          <w:lang w:val="fr-FR"/>
        </w:rPr>
        <w:t>’</w:t>
      </w:r>
      <w:r w:rsidRPr="005D5D18">
        <w:rPr>
          <w:lang w:val="fr-FR"/>
        </w:rPr>
        <w:t xml:space="preserve">Acte </w:t>
      </w:r>
      <w:r w:rsidR="00DA77D5" w:rsidRPr="005D5D18">
        <w:rPr>
          <w:lang w:val="fr-FR"/>
        </w:rPr>
        <w:t>de 1999</w:t>
      </w:r>
      <w:r w:rsidRPr="005D5D18">
        <w:rPr>
          <w:lang w:val="fr-FR"/>
        </w:rPr>
        <w:t xml:space="preserve"> (le terme </w:t>
      </w:r>
      <w:r w:rsidR="003F30A0">
        <w:rPr>
          <w:lang w:val="fr-FR"/>
        </w:rPr>
        <w:t>‘</w:t>
      </w:r>
      <w:r w:rsidRPr="005D5D18">
        <w:rPr>
          <w:lang w:val="fr-FR"/>
        </w:rPr>
        <w:t>demande</w:t>
      </w:r>
      <w:r w:rsidR="003F30A0">
        <w:rPr>
          <w:lang w:val="fr-FR"/>
        </w:rPr>
        <w:t>’</w:t>
      </w:r>
      <w:r w:rsidRPr="005D5D18">
        <w:rPr>
          <w:lang w:val="fr-FR"/>
        </w:rPr>
        <w:t xml:space="preserve"> remplace le terme </w:t>
      </w:r>
      <w:r w:rsidR="003F30A0">
        <w:rPr>
          <w:lang w:val="fr-FR"/>
        </w:rPr>
        <w:t>‘</w:t>
      </w:r>
      <w:r w:rsidRPr="005D5D18">
        <w:rPr>
          <w:lang w:val="fr-FR"/>
        </w:rPr>
        <w:t>dépôt</w:t>
      </w:r>
      <w:r w:rsidR="003F30A0">
        <w:rPr>
          <w:lang w:val="fr-FR"/>
        </w:rPr>
        <w:t>’</w:t>
      </w:r>
      <w:r w:rsidRPr="005D5D18">
        <w:rPr>
          <w:lang w:val="fr-FR"/>
        </w:rPr>
        <w:t>).  Deuxièmement, il est proposé de remplacer le code à deux</w:t>
      </w:r>
      <w:r w:rsidR="009C0891" w:rsidRPr="005D5D18">
        <w:rPr>
          <w:lang w:val="fr-FR"/>
        </w:rPr>
        <w:t> </w:t>
      </w:r>
      <w:r w:rsidRPr="005D5D18">
        <w:rPr>
          <w:lang w:val="fr-FR"/>
        </w:rPr>
        <w:t xml:space="preserve">lettres </w:t>
      </w:r>
      <w:r w:rsidR="003F30A0">
        <w:rPr>
          <w:lang w:val="fr-FR"/>
        </w:rPr>
        <w:t>‘</w:t>
      </w:r>
      <w:r w:rsidRPr="005D5D18">
        <w:rPr>
          <w:lang w:val="fr-FR"/>
        </w:rPr>
        <w:t>WO</w:t>
      </w:r>
      <w:r w:rsidR="003F30A0">
        <w:rPr>
          <w:lang w:val="fr-FR"/>
        </w:rPr>
        <w:t>’</w:t>
      </w:r>
      <w:r w:rsidRPr="005D5D18">
        <w:rPr>
          <w:lang w:val="fr-FR"/>
        </w:rPr>
        <w:t xml:space="preserve"> par </w:t>
      </w:r>
      <w:r w:rsidR="003F30A0">
        <w:rPr>
          <w:lang w:val="fr-FR"/>
        </w:rPr>
        <w:t>‘</w:t>
      </w:r>
      <w:r w:rsidRPr="005D5D18">
        <w:rPr>
          <w:lang w:val="fr-FR"/>
        </w:rPr>
        <w:t>IB</w:t>
      </w:r>
      <w:r w:rsidR="003F30A0">
        <w:rPr>
          <w:lang w:val="fr-FR"/>
        </w:rPr>
        <w:t>’</w:t>
      </w:r>
      <w:r w:rsidRPr="005D5D18">
        <w:rPr>
          <w:lang w:val="fr-FR"/>
        </w:rPr>
        <w:t>, car il s</w:t>
      </w:r>
      <w:r w:rsidR="003F30A0">
        <w:rPr>
          <w:lang w:val="fr-FR"/>
        </w:rPr>
        <w:t>’</w:t>
      </w:r>
      <w:r w:rsidRPr="005D5D18">
        <w:rPr>
          <w:lang w:val="fr-FR"/>
        </w:rPr>
        <w:t>agit du code correct utilisé par l</w:t>
      </w:r>
      <w:r w:rsidR="003F30A0">
        <w:rPr>
          <w:lang w:val="fr-FR"/>
        </w:rPr>
        <w:t>’</w:t>
      </w:r>
      <w:r w:rsidRPr="005D5D18">
        <w:rPr>
          <w:lang w:val="fr-FR"/>
        </w:rPr>
        <w:t xml:space="preserve">OMPI pour les demandes internationales déposées dans le cadre du système de </w:t>
      </w:r>
      <w:r w:rsidR="003F30A0">
        <w:rPr>
          <w:lang w:val="fr-FR"/>
        </w:rPr>
        <w:t>La Haye</w:t>
      </w:r>
      <w:r w:rsidRPr="005D5D18">
        <w:rPr>
          <w:rFonts w:eastAsia="Arial"/>
          <w:vertAlign w:val="superscript"/>
          <w:lang w:val="fr-FR"/>
        </w:rPr>
        <w:footnoteReference w:id="3"/>
      </w:r>
      <w:r w:rsidRPr="005D5D18">
        <w:rPr>
          <w:lang w:val="fr-FR"/>
        </w:rPr>
        <w:t xml:space="preserve">.  Par conséquent, le code </w:t>
      </w:r>
      <w:r w:rsidR="003F30A0">
        <w:rPr>
          <w:lang w:val="fr-FR"/>
        </w:rPr>
        <w:t>‘</w:t>
      </w:r>
      <w:r w:rsidRPr="005D5D18">
        <w:rPr>
          <w:lang w:val="fr-FR"/>
        </w:rPr>
        <w:t>IB</w:t>
      </w:r>
      <w:r w:rsidR="003F30A0">
        <w:rPr>
          <w:lang w:val="fr-FR"/>
        </w:rPr>
        <w:t>’</w:t>
      </w:r>
      <w:r w:rsidRPr="005D5D18">
        <w:rPr>
          <w:lang w:val="fr-FR"/>
        </w:rPr>
        <w:t xml:space="preserve"> doit être utilisé pour identifier le Bureau international de l</w:t>
      </w:r>
      <w:r w:rsidR="003F30A0">
        <w:rPr>
          <w:lang w:val="fr-FR"/>
        </w:rPr>
        <w:t>’</w:t>
      </w:r>
      <w:r w:rsidRPr="005D5D18">
        <w:rPr>
          <w:lang w:val="fr-FR"/>
        </w:rPr>
        <w:t>OMPI comme l</w:t>
      </w:r>
      <w:r w:rsidR="003F30A0">
        <w:rPr>
          <w:lang w:val="fr-FR"/>
        </w:rPr>
        <w:t>’</w:t>
      </w:r>
      <w:r w:rsidRPr="005D5D18">
        <w:rPr>
          <w:lang w:val="fr-FR"/>
        </w:rPr>
        <w:t>administration auprès de laquelle la demande antérieure a été déposée dans le cadre de la revendication de priorité d</w:t>
      </w:r>
      <w:r w:rsidR="003F30A0">
        <w:rPr>
          <w:lang w:val="fr-FR"/>
        </w:rPr>
        <w:t>’</w:t>
      </w:r>
      <w:r w:rsidRPr="005D5D18">
        <w:rPr>
          <w:lang w:val="fr-FR"/>
        </w:rPr>
        <w:t xml:space="preserve">une demande internationale selon le système de </w:t>
      </w:r>
      <w:r w:rsidR="003F30A0">
        <w:rPr>
          <w:lang w:val="fr-FR"/>
        </w:rPr>
        <w:t>La Haye</w:t>
      </w:r>
      <w:r w:rsidRPr="005D5D18">
        <w:rPr>
          <w:lang w:val="fr-FR"/>
        </w:rPr>
        <w:t>.</w:t>
      </w:r>
    </w:p>
    <w:p w14:paraId="2A9C10AC" w14:textId="118C7B3F" w:rsidR="008F0282" w:rsidRPr="005D5D18" w:rsidRDefault="008F0282" w:rsidP="00AA20ED">
      <w:pPr>
        <w:pStyle w:val="ONUMFS"/>
        <w:rPr>
          <w:rFonts w:eastAsia="Arial"/>
          <w:lang w:val="fr-FR"/>
        </w:rPr>
      </w:pPr>
      <w:r w:rsidRPr="005D5D18">
        <w:rPr>
          <w:lang w:val="fr-FR"/>
        </w:rPr>
        <w:t>Les notes révisées du code de catégorie (30) se lisent comme suit</w:t>
      </w:r>
      <w:r w:rsidR="003F30A0">
        <w:rPr>
          <w:lang w:val="fr-FR"/>
        </w:rPr>
        <w:t> :</w:t>
      </w:r>
    </w:p>
    <w:p w14:paraId="5F20818E" w14:textId="593850BE" w:rsidR="00DA77D5" w:rsidRPr="005D5D18" w:rsidRDefault="004609A8" w:rsidP="004609A8">
      <w:pPr>
        <w:widowControl w:val="0"/>
        <w:autoSpaceDE w:val="0"/>
        <w:autoSpaceDN w:val="0"/>
        <w:ind w:left="1134" w:right="114" w:hanging="567"/>
        <w:rPr>
          <w:szCs w:val="22"/>
          <w:lang w:val="fr-FR"/>
        </w:rPr>
      </w:pPr>
      <w:r w:rsidRPr="005D5D18">
        <w:rPr>
          <w:szCs w:val="22"/>
          <w:lang w:val="fr-FR"/>
        </w:rPr>
        <w:t>“</w:t>
      </w:r>
      <w:r w:rsidR="008F0282" w:rsidRPr="005D5D18">
        <w:rPr>
          <w:i/>
          <w:iCs/>
          <w:szCs w:val="22"/>
          <w:lang w:val="fr-FR"/>
        </w:rPr>
        <w:t>(30)</w:t>
      </w:r>
      <w:r w:rsidR="008F0282" w:rsidRPr="005D5D18">
        <w:rPr>
          <w:i/>
          <w:iCs/>
          <w:szCs w:val="22"/>
          <w:lang w:val="fr-FR"/>
        </w:rPr>
        <w:tab/>
        <w:t>Données relatives à la priorité selon la Convention de Paris</w:t>
      </w:r>
    </w:p>
    <w:p w14:paraId="4FE3B5B4" w14:textId="5D4F911A" w:rsidR="008F0282" w:rsidRPr="005D5D18" w:rsidRDefault="008F0282" w:rsidP="004609A8">
      <w:pPr>
        <w:widowControl w:val="0"/>
        <w:autoSpaceDE w:val="0"/>
        <w:autoSpaceDN w:val="0"/>
        <w:ind w:left="1701" w:right="114" w:hanging="567"/>
        <w:rPr>
          <w:rFonts w:eastAsia="Arial"/>
          <w:szCs w:val="22"/>
          <w:lang w:val="fr-FR"/>
        </w:rPr>
      </w:pPr>
      <w:r w:rsidRPr="005D5D18">
        <w:rPr>
          <w:szCs w:val="22"/>
          <w:lang w:val="fr-FR"/>
        </w:rPr>
        <w:t>(31)</w:t>
      </w:r>
      <w:r w:rsidRPr="005D5D18">
        <w:rPr>
          <w:szCs w:val="22"/>
          <w:lang w:val="fr-FR"/>
        </w:rPr>
        <w:tab/>
        <w:t>Numéro d</w:t>
      </w:r>
      <w:r w:rsidR="003F30A0">
        <w:rPr>
          <w:szCs w:val="22"/>
          <w:lang w:val="fr-FR"/>
        </w:rPr>
        <w:t>’</w:t>
      </w:r>
      <w:r w:rsidRPr="005D5D18">
        <w:rPr>
          <w:szCs w:val="22"/>
          <w:lang w:val="fr-FR"/>
        </w:rPr>
        <w:t>ordre attribué à la demande établissant la priorité</w:t>
      </w:r>
    </w:p>
    <w:p w14:paraId="79C343E2" w14:textId="77777777" w:rsidR="00DA77D5" w:rsidRPr="005D5D18" w:rsidRDefault="008F0282" w:rsidP="004609A8">
      <w:pPr>
        <w:widowControl w:val="0"/>
        <w:numPr>
          <w:ilvl w:val="0"/>
          <w:numId w:val="8"/>
        </w:numPr>
        <w:autoSpaceDE w:val="0"/>
        <w:autoSpaceDN w:val="0"/>
        <w:ind w:left="1701" w:right="114" w:hanging="567"/>
        <w:rPr>
          <w:szCs w:val="22"/>
          <w:lang w:val="fr-FR"/>
        </w:rPr>
      </w:pPr>
      <w:r w:rsidRPr="005D5D18">
        <w:rPr>
          <w:szCs w:val="22"/>
          <w:lang w:val="fr-FR"/>
        </w:rPr>
        <w:t>Date de dépôt de la demande établissant la priorité</w:t>
      </w:r>
    </w:p>
    <w:p w14:paraId="338CCE65" w14:textId="61BDFC3D" w:rsidR="008F0282" w:rsidRPr="005D5D18" w:rsidRDefault="008F0282" w:rsidP="004609A8">
      <w:pPr>
        <w:widowControl w:val="0"/>
        <w:numPr>
          <w:ilvl w:val="0"/>
          <w:numId w:val="8"/>
        </w:numPr>
        <w:autoSpaceDE w:val="0"/>
        <w:autoSpaceDN w:val="0"/>
        <w:spacing w:after="220"/>
        <w:ind w:left="1701" w:right="114" w:hanging="567"/>
        <w:rPr>
          <w:szCs w:val="22"/>
          <w:lang w:val="fr-FR"/>
        </w:rPr>
      </w:pPr>
      <w:r w:rsidRPr="005D5D18">
        <w:rPr>
          <w:szCs w:val="22"/>
          <w:lang w:val="fr-FR"/>
        </w:rPr>
        <w:t>Code à deux</w:t>
      </w:r>
      <w:r w:rsidR="009C0891" w:rsidRPr="005D5D18">
        <w:rPr>
          <w:szCs w:val="22"/>
          <w:lang w:val="fr-FR"/>
        </w:rPr>
        <w:t> </w:t>
      </w:r>
      <w:r w:rsidRPr="005D5D18">
        <w:rPr>
          <w:szCs w:val="22"/>
          <w:lang w:val="fr-FR"/>
        </w:rPr>
        <w:t>lettres, selon la norme ST.3 de l</w:t>
      </w:r>
      <w:r w:rsidR="003F30A0">
        <w:rPr>
          <w:szCs w:val="22"/>
          <w:lang w:val="fr-FR"/>
        </w:rPr>
        <w:t>’</w:t>
      </w:r>
      <w:r w:rsidRPr="005D5D18">
        <w:rPr>
          <w:szCs w:val="22"/>
          <w:lang w:val="fr-FR"/>
        </w:rPr>
        <w:t>OMPI, permettant d</w:t>
      </w:r>
      <w:r w:rsidR="003F30A0">
        <w:rPr>
          <w:szCs w:val="22"/>
          <w:lang w:val="fr-FR"/>
        </w:rPr>
        <w:t>’</w:t>
      </w:r>
      <w:r w:rsidRPr="005D5D18">
        <w:rPr>
          <w:szCs w:val="22"/>
          <w:lang w:val="fr-FR"/>
        </w:rPr>
        <w:t>identifier l</w:t>
      </w:r>
      <w:r w:rsidR="003F30A0">
        <w:rPr>
          <w:szCs w:val="22"/>
          <w:lang w:val="fr-FR"/>
        </w:rPr>
        <w:t>’</w:t>
      </w:r>
      <w:r w:rsidRPr="005D5D18">
        <w:rPr>
          <w:szCs w:val="22"/>
          <w:lang w:val="fr-FR"/>
        </w:rPr>
        <w:t>administration auprès de laquelle a été déposée la demande établissant la priorité</w:t>
      </w:r>
    </w:p>
    <w:p w14:paraId="38831DAB" w14:textId="35DC116B" w:rsidR="008F0282" w:rsidRPr="005D5D18" w:rsidRDefault="008F0282" w:rsidP="00912A83">
      <w:pPr>
        <w:widowControl w:val="0"/>
        <w:tabs>
          <w:tab w:val="left" w:pos="1701"/>
        </w:tabs>
        <w:autoSpaceDE w:val="0"/>
        <w:autoSpaceDN w:val="0"/>
        <w:ind w:left="2268" w:right="114" w:hanging="1701"/>
        <w:rPr>
          <w:szCs w:val="22"/>
          <w:lang w:val="fr-FR"/>
        </w:rPr>
      </w:pPr>
      <w:r w:rsidRPr="005D5D18">
        <w:rPr>
          <w:i/>
          <w:iCs/>
          <w:szCs w:val="22"/>
          <w:lang w:val="fr-FR"/>
        </w:rPr>
        <w:t>Notes</w:t>
      </w:r>
      <w:r w:rsidR="003F30A0">
        <w:rPr>
          <w:i/>
          <w:iCs/>
          <w:szCs w:val="22"/>
          <w:lang w:val="fr-FR"/>
        </w:rPr>
        <w:t> :</w:t>
      </w:r>
      <w:r w:rsidR="00912A83" w:rsidRPr="001A2DC8">
        <w:rPr>
          <w:szCs w:val="22"/>
          <w:lang w:val="fr-FR"/>
        </w:rPr>
        <w:tab/>
      </w:r>
      <w:r w:rsidRPr="005D5D18">
        <w:rPr>
          <w:szCs w:val="22"/>
          <w:lang w:val="fr-FR"/>
        </w:rPr>
        <w:t>i)</w:t>
      </w:r>
      <w:r w:rsidR="00E569B6">
        <w:rPr>
          <w:i/>
          <w:iCs/>
          <w:szCs w:val="22"/>
          <w:lang w:val="fr-FR"/>
        </w:rPr>
        <w:tab/>
      </w:r>
      <w:r w:rsidRPr="005D5D18">
        <w:rPr>
          <w:szCs w:val="22"/>
          <w:lang w:val="fr-FR"/>
        </w:rPr>
        <w:t>Le code générique (30) peut être utilisé, pour autant que</w:t>
      </w:r>
      <w:r w:rsidR="00CD0361" w:rsidRPr="005D5D18">
        <w:rPr>
          <w:szCs w:val="22"/>
          <w:lang w:val="fr-FR"/>
        </w:rPr>
        <w:t xml:space="preserve"> </w:t>
      </w:r>
      <w:r w:rsidRPr="005D5D18">
        <w:rPr>
          <w:szCs w:val="22"/>
          <w:lang w:val="fr-FR"/>
        </w:rPr>
        <w:t>les données</w:t>
      </w:r>
      <w:r w:rsidR="004609A8" w:rsidRPr="005D5D18">
        <w:rPr>
          <w:szCs w:val="22"/>
          <w:lang w:val="fr-FR"/>
        </w:rPr>
        <w:t xml:space="preserve"> </w:t>
      </w:r>
      <w:r w:rsidRPr="005D5D18">
        <w:rPr>
          <w:szCs w:val="22"/>
          <w:lang w:val="fr-FR"/>
        </w:rPr>
        <w:t>portant les codes (31), (32) et (33) soient présentées ensemble.</w:t>
      </w:r>
    </w:p>
    <w:p w14:paraId="3816E6BE" w14:textId="3FCBDBEF" w:rsidR="008F0282" w:rsidRPr="005D5D18" w:rsidRDefault="008F0282" w:rsidP="00912A83">
      <w:pPr>
        <w:widowControl w:val="0"/>
        <w:tabs>
          <w:tab w:val="left" w:pos="684"/>
        </w:tabs>
        <w:autoSpaceDE w:val="0"/>
        <w:autoSpaceDN w:val="0"/>
        <w:ind w:left="2268" w:right="114" w:hanging="567"/>
        <w:rPr>
          <w:szCs w:val="22"/>
          <w:lang w:val="fr-FR"/>
        </w:rPr>
      </w:pPr>
      <w:r w:rsidRPr="005D5D18">
        <w:rPr>
          <w:szCs w:val="22"/>
          <w:lang w:val="fr-FR"/>
        </w:rPr>
        <w:t>ii)</w:t>
      </w:r>
      <w:r w:rsidR="00E569B6">
        <w:rPr>
          <w:szCs w:val="22"/>
          <w:lang w:val="fr-FR"/>
        </w:rPr>
        <w:tab/>
      </w:r>
      <w:r w:rsidRPr="005D5D18">
        <w:rPr>
          <w:szCs w:val="22"/>
          <w:lang w:val="fr-FR"/>
        </w:rPr>
        <w:t>Pour les</w:t>
      </w:r>
      <w:r w:rsidR="004242C8" w:rsidRPr="005D5D18">
        <w:rPr>
          <w:strike/>
          <w:szCs w:val="22"/>
          <w:lang w:val="fr-FR"/>
        </w:rPr>
        <w:t xml:space="preserve"> </w:t>
      </w:r>
      <w:r w:rsidRPr="005D5D18">
        <w:rPr>
          <w:strike/>
          <w:szCs w:val="22"/>
          <w:lang w:val="fr-FR"/>
        </w:rPr>
        <w:t>dépôts internationaux effectués</w:t>
      </w:r>
      <w:r w:rsidR="004242C8" w:rsidRPr="005D5D18">
        <w:rPr>
          <w:szCs w:val="22"/>
          <w:lang w:val="fr-FR"/>
        </w:rPr>
        <w:t xml:space="preserve"> </w:t>
      </w:r>
      <w:r w:rsidRPr="005D5D18">
        <w:rPr>
          <w:szCs w:val="22"/>
          <w:u w:val="single"/>
          <w:lang w:val="fr-FR"/>
        </w:rPr>
        <w:t>demandes internationales déposées</w:t>
      </w:r>
      <w:r w:rsidRPr="005D5D18">
        <w:rPr>
          <w:szCs w:val="22"/>
          <w:lang w:val="fr-FR"/>
        </w:rPr>
        <w:t xml:space="preserve"> en vertu de l</w:t>
      </w:r>
      <w:r w:rsidR="003F30A0">
        <w:rPr>
          <w:szCs w:val="22"/>
          <w:lang w:val="fr-FR"/>
        </w:rPr>
        <w:t>’</w:t>
      </w:r>
      <w:r w:rsidRPr="005D5D18">
        <w:rPr>
          <w:szCs w:val="22"/>
          <w:lang w:val="fr-FR"/>
        </w:rPr>
        <w:t>Arrangement</w:t>
      </w:r>
      <w:r w:rsidR="004609A8" w:rsidRPr="005D5D18">
        <w:rPr>
          <w:szCs w:val="22"/>
          <w:lang w:val="fr-FR"/>
        </w:rPr>
        <w:t xml:space="preserve"> </w:t>
      </w:r>
      <w:r w:rsidRPr="005D5D18">
        <w:rPr>
          <w:szCs w:val="22"/>
          <w:lang w:val="fr-FR"/>
        </w:rPr>
        <w:t xml:space="preserve">de </w:t>
      </w:r>
      <w:r w:rsidR="003F30A0">
        <w:rPr>
          <w:szCs w:val="22"/>
          <w:lang w:val="fr-FR"/>
        </w:rPr>
        <w:t>La Haye</w:t>
      </w:r>
      <w:r w:rsidRPr="005D5D18">
        <w:rPr>
          <w:szCs w:val="22"/>
          <w:lang w:val="fr-FR"/>
        </w:rPr>
        <w:t>, le code à deux</w:t>
      </w:r>
      <w:r w:rsidR="009C0891" w:rsidRPr="005D5D18">
        <w:rPr>
          <w:szCs w:val="22"/>
          <w:lang w:val="fr-FR"/>
        </w:rPr>
        <w:t> </w:t>
      </w:r>
      <w:r w:rsidRPr="005D5D18">
        <w:rPr>
          <w:szCs w:val="22"/>
          <w:lang w:val="fr-FR"/>
        </w:rPr>
        <w:t>lettres “</w:t>
      </w:r>
      <w:r w:rsidRPr="005D5D18">
        <w:rPr>
          <w:strike/>
          <w:szCs w:val="22"/>
          <w:lang w:val="fr-FR"/>
        </w:rPr>
        <w:t>WO</w:t>
      </w:r>
      <w:r w:rsidRPr="005D5D18">
        <w:rPr>
          <w:szCs w:val="22"/>
          <w:u w:val="single"/>
          <w:lang w:val="fr-FR"/>
        </w:rPr>
        <w:t>IB</w:t>
      </w:r>
      <w:r w:rsidRPr="005D5D18">
        <w:rPr>
          <w:szCs w:val="22"/>
          <w:lang w:val="fr-FR"/>
        </w:rPr>
        <w:t>” doit être utilisé.</w:t>
      </w:r>
      <w:r w:rsidR="004609A8" w:rsidRPr="005D5D18">
        <w:rPr>
          <w:szCs w:val="22"/>
          <w:lang w:val="fr-FR"/>
        </w:rPr>
        <w:t>”</w:t>
      </w:r>
    </w:p>
    <w:p w14:paraId="52CBFA08" w14:textId="77777777" w:rsidR="00DA77D5" w:rsidRPr="005D5D18" w:rsidRDefault="008F0282" w:rsidP="004609A8">
      <w:pPr>
        <w:pStyle w:val="Heading3"/>
        <w:rPr>
          <w:lang w:val="fr-FR"/>
        </w:rPr>
      </w:pPr>
      <w:r w:rsidRPr="005D5D18">
        <w:rPr>
          <w:lang w:val="fr-FR"/>
        </w:rPr>
        <w:t>b)</w:t>
      </w:r>
      <w:r w:rsidRPr="005D5D18">
        <w:rPr>
          <w:lang w:val="fr-FR"/>
        </w:rPr>
        <w:tab/>
        <w:t>Révision du code de catégorie (50)</w:t>
      </w:r>
    </w:p>
    <w:p w14:paraId="2719D07A" w14:textId="06E50AA4" w:rsidR="008F0282" w:rsidRPr="005D5D18" w:rsidRDefault="008F0282" w:rsidP="006C46E2">
      <w:pPr>
        <w:pStyle w:val="ONUMFS"/>
        <w:rPr>
          <w:rFonts w:eastAsia="Arial"/>
          <w:lang w:val="fr-FR"/>
        </w:rPr>
      </w:pPr>
      <w:r w:rsidRPr="005D5D18">
        <w:rPr>
          <w:lang w:val="fr-FR"/>
        </w:rPr>
        <w:t xml:space="preserve">Il est proposé de modifier le libellé du code (53) en supprimant les mots </w:t>
      </w:r>
      <w:r w:rsidR="003F30A0">
        <w:rPr>
          <w:lang w:val="fr-FR"/>
        </w:rPr>
        <w:t>‘</w:t>
      </w:r>
      <w:r w:rsidRPr="005D5D18">
        <w:rPr>
          <w:lang w:val="fr-FR"/>
        </w:rPr>
        <w:t>alors que la totalité ne l</w:t>
      </w:r>
      <w:r w:rsidR="003F30A0">
        <w:rPr>
          <w:lang w:val="fr-FR"/>
        </w:rPr>
        <w:t>’</w:t>
      </w:r>
      <w:r w:rsidRPr="005D5D18">
        <w:rPr>
          <w:lang w:val="fr-FR"/>
        </w:rPr>
        <w:t>est pas</w:t>
      </w:r>
      <w:r w:rsidR="003F30A0">
        <w:rPr>
          <w:lang w:val="fr-FR"/>
        </w:rPr>
        <w:t>’</w:t>
      </w:r>
      <w:r w:rsidRPr="005D5D18">
        <w:rPr>
          <w:lang w:val="fr-FR"/>
        </w:rPr>
        <w:t>.  Cette modification élargirait le champ d</w:t>
      </w:r>
      <w:r w:rsidR="003F30A0">
        <w:rPr>
          <w:lang w:val="fr-FR"/>
        </w:rPr>
        <w:t>’</w:t>
      </w:r>
      <w:r w:rsidRPr="005D5D18">
        <w:rPr>
          <w:lang w:val="fr-FR"/>
        </w:rPr>
        <w:t>application du code et permettrait d</w:t>
      </w:r>
      <w:r w:rsidR="003F30A0">
        <w:rPr>
          <w:lang w:val="fr-FR"/>
        </w:rPr>
        <w:t>’</w:t>
      </w:r>
      <w:r w:rsidRPr="005D5D18">
        <w:rPr>
          <w:lang w:val="fr-FR"/>
        </w:rPr>
        <w:t xml:space="preserve">indiquer les dessins ou modèles industriels concernés par une transaction particulière, </w:t>
      </w:r>
      <w:r w:rsidR="003F30A0">
        <w:rPr>
          <w:lang w:val="fr-FR"/>
        </w:rPr>
        <w:lastRenderedPageBreak/>
        <w:t>y compris</w:t>
      </w:r>
      <w:r w:rsidRPr="005D5D18">
        <w:rPr>
          <w:lang w:val="fr-FR"/>
        </w:rPr>
        <w:t xml:space="preserve"> dans le cas où tous les dessins ou modèles industriels sont concernés par une transaction particulière (par exemple, en cas de changement de titulai</w:t>
      </w:r>
      <w:r w:rsidR="001A2DC8" w:rsidRPr="005D5D18">
        <w:rPr>
          <w:lang w:val="fr-FR"/>
        </w:rPr>
        <w:t>re)</w:t>
      </w:r>
      <w:r w:rsidR="001A2DC8">
        <w:rPr>
          <w:lang w:val="fr-FR"/>
        </w:rPr>
        <w:t xml:space="preserve">.  </w:t>
      </w:r>
      <w:r w:rsidR="001A2DC8" w:rsidRPr="005D5D18">
        <w:rPr>
          <w:lang w:val="fr-FR"/>
        </w:rPr>
        <w:t>Ce</w:t>
      </w:r>
      <w:r w:rsidRPr="005D5D18">
        <w:rPr>
          <w:lang w:val="fr-FR"/>
        </w:rPr>
        <w:t>tte modification clarifierait la situation pour les utilisateurs, puisque les dessins ou modèles concernés seraient toujours indiqués en même temps que la transaction correspondan</w:t>
      </w:r>
      <w:r w:rsidR="001A2DC8" w:rsidRPr="005D5D18">
        <w:rPr>
          <w:lang w:val="fr-FR"/>
        </w:rPr>
        <w:t>te</w:t>
      </w:r>
      <w:r w:rsidR="001A2DC8">
        <w:rPr>
          <w:lang w:val="fr-FR"/>
        </w:rPr>
        <w:t xml:space="preserve">.  </w:t>
      </w:r>
      <w:r w:rsidR="001A2DC8" w:rsidRPr="005D5D18">
        <w:rPr>
          <w:lang w:val="fr-FR"/>
        </w:rPr>
        <w:t>Ce</w:t>
      </w:r>
      <w:r w:rsidRPr="005D5D18">
        <w:rPr>
          <w:lang w:val="fr-FR"/>
        </w:rPr>
        <w:t>la simplifierait également les transactions électroniques, car le système serait configuré de manière à toujours indiquer les dessins ou modèles concernés, au lieu de devoir déterminer si la totalité ou une partie des dessins ou modèles sont concernés.</w:t>
      </w:r>
    </w:p>
    <w:p w14:paraId="245F9BD5" w14:textId="39E4E4CE" w:rsidR="008F0282" w:rsidRPr="005D5D18" w:rsidRDefault="008F0282" w:rsidP="006C46E2">
      <w:pPr>
        <w:pStyle w:val="ONUMFS"/>
        <w:rPr>
          <w:rFonts w:eastAsia="Arial"/>
          <w:lang w:val="fr-FR"/>
        </w:rPr>
      </w:pPr>
      <w:r w:rsidRPr="005D5D18">
        <w:rPr>
          <w:lang w:val="fr-FR"/>
        </w:rPr>
        <w:t>Le code révisé (53) se lirait comme suit</w:t>
      </w:r>
      <w:r w:rsidR="003F30A0">
        <w:rPr>
          <w:lang w:val="fr-FR"/>
        </w:rPr>
        <w:t> :</w:t>
      </w:r>
    </w:p>
    <w:p w14:paraId="02EA071C" w14:textId="0F9C90C5" w:rsidR="008F0282" w:rsidRPr="005D5D18" w:rsidRDefault="004609A8" w:rsidP="004609A8">
      <w:pPr>
        <w:widowControl w:val="0"/>
        <w:autoSpaceDE w:val="0"/>
        <w:autoSpaceDN w:val="0"/>
        <w:ind w:left="1134" w:right="114" w:hanging="567"/>
        <w:rPr>
          <w:rFonts w:eastAsia="Arial"/>
          <w:i/>
          <w:szCs w:val="22"/>
          <w:lang w:val="fr-FR"/>
        </w:rPr>
      </w:pPr>
      <w:r w:rsidRPr="005D5D18">
        <w:rPr>
          <w:szCs w:val="22"/>
          <w:lang w:val="fr-FR"/>
        </w:rPr>
        <w:t>“</w:t>
      </w:r>
      <w:r w:rsidR="008F0282" w:rsidRPr="005D5D18">
        <w:rPr>
          <w:i/>
          <w:szCs w:val="22"/>
          <w:lang w:val="fr-FR"/>
        </w:rPr>
        <w:t>(50)</w:t>
      </w:r>
      <w:r w:rsidR="008F0282" w:rsidRPr="005D5D18">
        <w:rPr>
          <w:i/>
          <w:szCs w:val="22"/>
          <w:lang w:val="fr-FR"/>
        </w:rPr>
        <w:tab/>
        <w:t>Informations diverses</w:t>
      </w:r>
    </w:p>
    <w:p w14:paraId="0E109725" w14:textId="6A8E2BC1" w:rsidR="008F0282" w:rsidRPr="00912A83" w:rsidRDefault="008F0282" w:rsidP="00912A83">
      <w:pPr>
        <w:widowControl w:val="0"/>
        <w:numPr>
          <w:ilvl w:val="0"/>
          <w:numId w:val="9"/>
        </w:numPr>
        <w:autoSpaceDE w:val="0"/>
        <w:autoSpaceDN w:val="0"/>
        <w:spacing w:after="240"/>
        <w:ind w:left="1701" w:right="114" w:hanging="567"/>
        <w:rPr>
          <w:szCs w:val="22"/>
          <w:lang w:val="fr-FR"/>
        </w:rPr>
      </w:pPr>
      <w:r w:rsidRPr="005D5D18">
        <w:rPr>
          <w:szCs w:val="22"/>
          <w:lang w:val="fr-FR"/>
        </w:rPr>
        <w:t>Identification du ou des dessins ou modèles inclus dans une demande</w:t>
      </w:r>
      <w:r w:rsidR="00CD0361" w:rsidRPr="005D5D18">
        <w:rPr>
          <w:szCs w:val="22"/>
          <w:lang w:val="fr-FR"/>
        </w:rPr>
        <w:t xml:space="preserve"> </w:t>
      </w:r>
      <w:r w:rsidRPr="005D5D18">
        <w:rPr>
          <w:szCs w:val="22"/>
          <w:lang w:val="fr-FR"/>
        </w:rPr>
        <w:t>ou un enregistrement multiple qui est ou sont affectés par une transaction</w:t>
      </w:r>
      <w:r w:rsidR="00CD0361" w:rsidRPr="005D5D18">
        <w:rPr>
          <w:szCs w:val="22"/>
          <w:lang w:val="fr-FR"/>
        </w:rPr>
        <w:t xml:space="preserve"> </w:t>
      </w:r>
      <w:r w:rsidRPr="005D5D18">
        <w:rPr>
          <w:szCs w:val="22"/>
          <w:lang w:val="fr-FR"/>
        </w:rPr>
        <w:t>déterminée</w:t>
      </w:r>
      <w:r w:rsidR="004609A8" w:rsidRPr="005D5D18">
        <w:rPr>
          <w:strike/>
          <w:szCs w:val="22"/>
          <w:lang w:val="fr-FR"/>
        </w:rPr>
        <w:t xml:space="preserve"> </w:t>
      </w:r>
      <w:r w:rsidRPr="005D5D18">
        <w:rPr>
          <w:strike/>
          <w:szCs w:val="22"/>
          <w:lang w:val="fr-FR"/>
        </w:rPr>
        <w:t>alors que la totalité ne l</w:t>
      </w:r>
      <w:r w:rsidR="003F30A0">
        <w:rPr>
          <w:strike/>
          <w:szCs w:val="22"/>
          <w:lang w:val="fr-FR"/>
        </w:rPr>
        <w:t>’</w:t>
      </w:r>
      <w:r w:rsidRPr="005D5D18">
        <w:rPr>
          <w:strike/>
          <w:szCs w:val="22"/>
          <w:lang w:val="fr-FR"/>
        </w:rPr>
        <w:t>est pas</w:t>
      </w:r>
      <w:r w:rsidR="004609A8" w:rsidRPr="005D5D18">
        <w:rPr>
          <w:szCs w:val="22"/>
          <w:lang w:val="fr-FR"/>
        </w:rPr>
        <w:t>”</w:t>
      </w:r>
    </w:p>
    <w:p w14:paraId="2D830CA8" w14:textId="6368A7C3" w:rsidR="008F0282" w:rsidRPr="005D5D18" w:rsidRDefault="008F0282" w:rsidP="006C46E2">
      <w:pPr>
        <w:pStyle w:val="ONUMFS"/>
        <w:rPr>
          <w:rFonts w:eastAsia="Arial"/>
          <w:lang w:val="fr-FR"/>
        </w:rPr>
      </w:pPr>
      <w:r w:rsidRPr="005D5D18">
        <w:rPr>
          <w:lang w:val="fr-FR"/>
        </w:rPr>
        <w:t>Le Bureau international est parfois amené à publier des corrections, par exemple des corrections nécessitant la suppression d</w:t>
      </w:r>
      <w:r w:rsidR="003F30A0">
        <w:rPr>
          <w:lang w:val="fr-FR"/>
        </w:rPr>
        <w:t>’</w:t>
      </w:r>
      <w:r w:rsidRPr="005D5D18">
        <w:rPr>
          <w:lang w:val="fr-FR"/>
        </w:rPr>
        <w:t>un code publié et de l</w:t>
      </w:r>
      <w:r w:rsidR="003F30A0">
        <w:rPr>
          <w:lang w:val="fr-FR"/>
        </w:rPr>
        <w:t>’</w:t>
      </w:r>
      <w:r w:rsidRPr="005D5D18">
        <w:rPr>
          <w:lang w:val="fr-FR"/>
        </w:rPr>
        <w:t>ensemble de son contenu bibliographiq</w:t>
      </w:r>
      <w:r w:rsidR="001A2DC8" w:rsidRPr="005D5D18">
        <w:rPr>
          <w:lang w:val="fr-FR"/>
        </w:rPr>
        <w:t>ue</w:t>
      </w:r>
      <w:r w:rsidR="001A2DC8">
        <w:rPr>
          <w:lang w:val="fr-FR"/>
        </w:rPr>
        <w:t xml:space="preserve">.  </w:t>
      </w:r>
      <w:r w:rsidR="001A2DC8" w:rsidRPr="005D5D18">
        <w:rPr>
          <w:lang w:val="fr-FR"/>
        </w:rPr>
        <w:t>Ce</w:t>
      </w:r>
      <w:r w:rsidRPr="005D5D18">
        <w:rPr>
          <w:lang w:val="fr-FR"/>
        </w:rPr>
        <w:t>s corrections ne peuvent pas être suffisamment bien indiquées avec les codes existan</w:t>
      </w:r>
      <w:r w:rsidR="001A2DC8" w:rsidRPr="005D5D18">
        <w:rPr>
          <w:lang w:val="fr-FR"/>
        </w:rPr>
        <w:t>ts</w:t>
      </w:r>
      <w:r w:rsidR="001A2DC8">
        <w:rPr>
          <w:lang w:val="fr-FR"/>
        </w:rPr>
        <w:t xml:space="preserve">.  </w:t>
      </w:r>
      <w:r w:rsidR="001A2DC8" w:rsidRPr="005D5D18">
        <w:rPr>
          <w:lang w:val="fr-FR"/>
        </w:rPr>
        <w:t>Il</w:t>
      </w:r>
      <w:r w:rsidRPr="005D5D18">
        <w:rPr>
          <w:lang w:val="fr-FR"/>
        </w:rPr>
        <w:t xml:space="preserve"> est donc proposé d</w:t>
      </w:r>
      <w:r w:rsidR="003F30A0">
        <w:rPr>
          <w:lang w:val="fr-FR"/>
        </w:rPr>
        <w:t>’</w:t>
      </w:r>
      <w:r w:rsidRPr="005D5D18">
        <w:rPr>
          <w:lang w:val="fr-FR"/>
        </w:rPr>
        <w:t>introduire un nouveau code (59) accompagné d</w:t>
      </w:r>
      <w:r w:rsidR="003F30A0">
        <w:rPr>
          <w:lang w:val="fr-FR"/>
        </w:rPr>
        <w:t>’</w:t>
      </w:r>
      <w:r w:rsidRPr="005D5D18">
        <w:rPr>
          <w:lang w:val="fr-FR"/>
        </w:rPr>
        <w:t>une note en texte libre pour permettre d</w:t>
      </w:r>
      <w:r w:rsidR="003F30A0">
        <w:rPr>
          <w:lang w:val="fr-FR"/>
        </w:rPr>
        <w:t>’</w:t>
      </w:r>
      <w:r w:rsidRPr="005D5D18">
        <w:rPr>
          <w:lang w:val="fr-FR"/>
        </w:rPr>
        <w:t>indiquer les corrections ou les modifications qui ne relèvent d</w:t>
      </w:r>
      <w:r w:rsidR="003F30A0">
        <w:rPr>
          <w:lang w:val="fr-FR"/>
        </w:rPr>
        <w:t>’</w:t>
      </w:r>
      <w:r w:rsidRPr="005D5D18">
        <w:rPr>
          <w:lang w:val="fr-FR"/>
        </w:rPr>
        <w:t>aucun des codes existants ou qui ne peuvent pas être suffisamment bien indiquées avec les codes existants, par exemple les corrections entraînant la suppression du contenu bibliographique</w:t>
      </w:r>
      <w:r w:rsidRPr="005D5D18">
        <w:rPr>
          <w:rFonts w:eastAsia="Arial"/>
          <w:vertAlign w:val="superscript"/>
          <w:lang w:val="fr-FR"/>
        </w:rPr>
        <w:footnoteReference w:id="4"/>
      </w:r>
      <w:r w:rsidRPr="005D5D18">
        <w:rPr>
          <w:lang w:val="fr-FR"/>
        </w:rPr>
        <w:t>.  La modification permettrait aux offices et aux utilisateurs de mieux comprendre les informations publiées et les changements apportés aux informations publiées.</w:t>
      </w:r>
    </w:p>
    <w:p w14:paraId="178954F0" w14:textId="02ABCE4F" w:rsidR="008F0282" w:rsidRPr="005D5D18" w:rsidRDefault="008F0282" w:rsidP="006C46E2">
      <w:pPr>
        <w:pStyle w:val="ONUMFS"/>
        <w:rPr>
          <w:rFonts w:eastAsia="Arial"/>
          <w:lang w:val="fr-FR"/>
        </w:rPr>
      </w:pPr>
      <w:r w:rsidRPr="005D5D18">
        <w:rPr>
          <w:lang w:val="fr-FR"/>
        </w:rPr>
        <w:t>Le nouveau code (59) et la note au code (59) se lisent comme suit</w:t>
      </w:r>
      <w:r w:rsidR="003F30A0">
        <w:rPr>
          <w:lang w:val="fr-FR"/>
        </w:rPr>
        <w:t> :</w:t>
      </w:r>
    </w:p>
    <w:p w14:paraId="0A8C2EBE" w14:textId="5E98EA63" w:rsidR="008F0282" w:rsidRPr="005D5D18" w:rsidRDefault="004609A8" w:rsidP="004609A8">
      <w:pPr>
        <w:widowControl w:val="0"/>
        <w:autoSpaceDE w:val="0"/>
        <w:autoSpaceDN w:val="0"/>
        <w:spacing w:before="219"/>
        <w:ind w:left="567" w:right="114"/>
        <w:rPr>
          <w:rFonts w:eastAsia="Arial"/>
          <w:szCs w:val="22"/>
          <w:u w:val="single"/>
          <w:lang w:val="fr-FR"/>
        </w:rPr>
      </w:pPr>
      <w:r w:rsidRPr="005D5D18">
        <w:rPr>
          <w:szCs w:val="22"/>
          <w:lang w:val="fr-FR"/>
        </w:rPr>
        <w:t>“</w:t>
      </w:r>
      <w:r w:rsidR="008F0282" w:rsidRPr="005D5D18">
        <w:rPr>
          <w:szCs w:val="22"/>
          <w:u w:val="single"/>
          <w:lang w:val="fr-FR"/>
        </w:rPr>
        <w:t>(59)</w:t>
      </w:r>
      <w:r w:rsidR="008F0282" w:rsidRPr="005D5D18">
        <w:rPr>
          <w:szCs w:val="22"/>
          <w:u w:val="single"/>
          <w:lang w:val="fr-FR"/>
        </w:rPr>
        <w:tab/>
        <w:t>Correction ou modification des informations publiées</w:t>
      </w:r>
      <w:r w:rsidRPr="005D5D18">
        <w:rPr>
          <w:szCs w:val="22"/>
          <w:lang w:val="fr-FR"/>
        </w:rPr>
        <w:t>”</w:t>
      </w:r>
    </w:p>
    <w:p w14:paraId="3EE9E14D" w14:textId="620D3327" w:rsidR="008F0282" w:rsidRPr="005D5D18" w:rsidRDefault="008F0282" w:rsidP="004609A8">
      <w:pPr>
        <w:pStyle w:val="BodyText"/>
        <w:tabs>
          <w:tab w:val="left" w:pos="2268"/>
        </w:tabs>
        <w:spacing w:before="120"/>
        <w:ind w:left="1710" w:right="824" w:hanging="1170"/>
        <w:jc w:val="both"/>
        <w:rPr>
          <w:szCs w:val="22"/>
          <w:lang w:val="fr-FR"/>
        </w:rPr>
      </w:pPr>
      <w:r w:rsidRPr="005D5D18">
        <w:rPr>
          <w:szCs w:val="22"/>
          <w:lang w:val="fr-FR"/>
        </w:rPr>
        <w:t>Notes</w:t>
      </w:r>
      <w:r w:rsidR="003F30A0">
        <w:rPr>
          <w:szCs w:val="22"/>
          <w:lang w:val="fr-FR"/>
        </w:rPr>
        <w:t> :</w:t>
      </w:r>
      <w:r w:rsidR="009C0891" w:rsidRPr="005D5D18">
        <w:rPr>
          <w:szCs w:val="22"/>
          <w:lang w:val="fr-FR"/>
        </w:rPr>
        <w:t xml:space="preserve"> </w:t>
      </w:r>
      <w:r w:rsidRPr="005D5D18">
        <w:rPr>
          <w:szCs w:val="22"/>
          <w:lang w:val="fr-FR"/>
        </w:rPr>
        <w:tab/>
      </w:r>
      <w:bookmarkStart w:id="7" w:name="_Hlk167892715"/>
      <w:r w:rsidRPr="005D5D18">
        <w:rPr>
          <w:szCs w:val="22"/>
          <w:lang w:val="fr-FR"/>
        </w:rPr>
        <w:t>i)</w:t>
      </w:r>
      <w:r w:rsidRPr="005D5D18">
        <w:rPr>
          <w:szCs w:val="22"/>
          <w:lang w:val="fr-FR"/>
        </w:rPr>
        <w:tab/>
        <w:t>Le code (52) doit être précédé du code à deux</w:t>
      </w:r>
      <w:r w:rsidR="009C0891" w:rsidRPr="005D5D18">
        <w:rPr>
          <w:szCs w:val="22"/>
          <w:lang w:val="fr-FR"/>
        </w:rPr>
        <w:t> </w:t>
      </w:r>
      <w:r w:rsidRPr="005D5D18">
        <w:rPr>
          <w:szCs w:val="22"/>
          <w:lang w:val="fr-FR"/>
        </w:rPr>
        <w:t>lettres, conformément à la norme </w:t>
      </w:r>
      <w:hyperlink r:id="rId9">
        <w:r w:rsidRPr="005D5D18">
          <w:rPr>
            <w:color w:val="0000FF"/>
            <w:szCs w:val="22"/>
            <w:u w:val="single" w:color="0000FF"/>
            <w:lang w:val="fr-FR"/>
          </w:rPr>
          <w:t>ST.3</w:t>
        </w:r>
      </w:hyperlink>
      <w:r w:rsidRPr="005D5D18">
        <w:rPr>
          <w:szCs w:val="22"/>
          <w:lang w:val="fr-FR"/>
        </w:rPr>
        <w:t xml:space="preserve"> de l</w:t>
      </w:r>
      <w:r w:rsidR="003F30A0">
        <w:rPr>
          <w:szCs w:val="22"/>
          <w:lang w:val="fr-FR"/>
        </w:rPr>
        <w:t>’</w:t>
      </w:r>
      <w:r w:rsidRPr="005D5D18">
        <w:rPr>
          <w:szCs w:val="22"/>
          <w:lang w:val="fr-FR"/>
        </w:rPr>
        <w:t>OMPI, identifiant le pays dont la classification nationale est utilisée (le code à deux</w:t>
      </w:r>
      <w:r w:rsidR="009C0891" w:rsidRPr="005D5D18">
        <w:rPr>
          <w:szCs w:val="22"/>
          <w:lang w:val="fr-FR"/>
        </w:rPr>
        <w:t> </w:t>
      </w:r>
      <w:r w:rsidRPr="005D5D18">
        <w:rPr>
          <w:szCs w:val="22"/>
          <w:lang w:val="fr-FR"/>
        </w:rPr>
        <w:t>lettres doit être indiqué entre parenthèses).</w:t>
      </w:r>
    </w:p>
    <w:p w14:paraId="2D751C3E" w14:textId="023628A7" w:rsidR="008F0282" w:rsidRPr="005D5D18" w:rsidRDefault="008F0282" w:rsidP="004609A8">
      <w:pPr>
        <w:pStyle w:val="BodyText"/>
        <w:spacing w:before="120"/>
        <w:ind w:left="2268" w:hanging="567"/>
        <w:rPr>
          <w:spacing w:val="-2"/>
          <w:szCs w:val="22"/>
          <w:lang w:val="fr-FR"/>
        </w:rPr>
      </w:pPr>
      <w:r w:rsidRPr="005D5D18">
        <w:rPr>
          <w:szCs w:val="22"/>
          <w:lang w:val="fr-FR"/>
        </w:rPr>
        <w:t>ii)</w:t>
      </w:r>
      <w:r w:rsidRPr="005D5D18">
        <w:rPr>
          <w:szCs w:val="22"/>
          <w:lang w:val="fr-FR"/>
        </w:rPr>
        <w:tab/>
      </w:r>
      <w:hyperlink w:anchor="_bookmark2" w:history="1">
        <w:r w:rsidRPr="005D5D18">
          <w:rPr>
            <w:szCs w:val="22"/>
            <w:lang w:val="fr-FR"/>
          </w:rPr>
          <w:t>**</w:t>
        </w:r>
      </w:hyperlink>
      <w:r w:rsidRPr="005D5D18">
        <w:rPr>
          <w:szCs w:val="22"/>
          <w:lang w:val="fr-FR"/>
        </w:rPr>
        <w:t>Élément de données minimal pour les documents relatifs aux dessins et modèles uniquement, tel que défini au point 4.b).</w:t>
      </w:r>
    </w:p>
    <w:p w14:paraId="00C94521" w14:textId="3BD45337" w:rsidR="008F0282" w:rsidRPr="005D5D18" w:rsidRDefault="008F0282" w:rsidP="004609A8">
      <w:pPr>
        <w:pStyle w:val="BodyText"/>
        <w:tabs>
          <w:tab w:val="left" w:pos="1879"/>
        </w:tabs>
        <w:spacing w:before="120"/>
        <w:ind w:left="2268" w:hanging="567"/>
        <w:rPr>
          <w:spacing w:val="-2"/>
          <w:szCs w:val="22"/>
          <w:lang w:val="fr-FR"/>
        </w:rPr>
      </w:pPr>
      <w:r w:rsidRPr="005D5D18">
        <w:rPr>
          <w:szCs w:val="22"/>
          <w:u w:val="single"/>
          <w:lang w:val="fr-FR"/>
        </w:rPr>
        <w:t>iii)</w:t>
      </w:r>
      <w:r w:rsidRPr="005D5D18">
        <w:rPr>
          <w:szCs w:val="22"/>
          <w:u w:val="single"/>
          <w:lang w:val="fr-FR"/>
        </w:rPr>
        <w:tab/>
        <w:t>Le code (59) indique les informations concernant une correction, une modification ou d</w:t>
      </w:r>
      <w:r w:rsidR="003F30A0">
        <w:rPr>
          <w:szCs w:val="22"/>
          <w:u w:val="single"/>
          <w:lang w:val="fr-FR"/>
        </w:rPr>
        <w:t>’</w:t>
      </w:r>
      <w:r w:rsidRPr="005D5D18">
        <w:rPr>
          <w:szCs w:val="22"/>
          <w:u w:val="single"/>
          <w:lang w:val="fr-FR"/>
        </w:rPr>
        <w:t>autres informations pertinentes relatives à une transaction.</w:t>
      </w:r>
      <w:bookmarkEnd w:id="7"/>
      <w:r w:rsidR="004242C8" w:rsidRPr="005D5D18">
        <w:rPr>
          <w:szCs w:val="22"/>
          <w:u w:val="single"/>
          <w:lang w:val="fr-FR"/>
        </w:rPr>
        <w:t>”</w:t>
      </w:r>
    </w:p>
    <w:p w14:paraId="446DA4DB" w14:textId="77777777" w:rsidR="008F0282" w:rsidRPr="005D5D18" w:rsidRDefault="008F0282" w:rsidP="004609A8">
      <w:pPr>
        <w:pStyle w:val="Heading3"/>
        <w:rPr>
          <w:rFonts w:eastAsia="Arial"/>
          <w:lang w:val="fr-FR"/>
        </w:rPr>
      </w:pPr>
      <w:r w:rsidRPr="005D5D18">
        <w:rPr>
          <w:lang w:val="fr-FR"/>
        </w:rPr>
        <w:t>c)</w:t>
      </w:r>
      <w:r w:rsidRPr="005D5D18">
        <w:rPr>
          <w:lang w:val="fr-FR"/>
        </w:rPr>
        <w:tab/>
        <w:t>Révision du code de catégorie (70)</w:t>
      </w:r>
    </w:p>
    <w:p w14:paraId="63416851" w14:textId="492022B8" w:rsidR="00DA77D5" w:rsidRPr="005D5D18" w:rsidRDefault="008F0282" w:rsidP="004609A8">
      <w:pPr>
        <w:pStyle w:val="ONUMFS"/>
        <w:rPr>
          <w:lang w:val="fr-FR"/>
        </w:rPr>
      </w:pPr>
      <w:r w:rsidRPr="005D5D18">
        <w:rPr>
          <w:lang w:val="fr-FR"/>
        </w:rPr>
        <w:t>Le code actuel (72) ne permet d</w:t>
      </w:r>
      <w:r w:rsidR="003F30A0">
        <w:rPr>
          <w:lang w:val="fr-FR"/>
        </w:rPr>
        <w:t>’</w:t>
      </w:r>
      <w:r w:rsidRPr="005D5D18">
        <w:rPr>
          <w:lang w:val="fr-FR"/>
        </w:rPr>
        <w:t xml:space="preserve">indiquer que le </w:t>
      </w:r>
      <w:r w:rsidR="004242C8" w:rsidRPr="005D5D18">
        <w:rPr>
          <w:lang w:val="fr-FR"/>
        </w:rPr>
        <w:t>“</w:t>
      </w:r>
      <w:r w:rsidRPr="005D5D18">
        <w:rPr>
          <w:lang w:val="fr-FR"/>
        </w:rPr>
        <w:t>nom</w:t>
      </w:r>
      <w:r w:rsidR="004242C8" w:rsidRPr="005D5D18">
        <w:rPr>
          <w:lang w:val="fr-FR"/>
        </w:rPr>
        <w:t>”</w:t>
      </w:r>
      <w:r w:rsidRPr="005D5D18">
        <w:rPr>
          <w:lang w:val="fr-FR"/>
        </w:rPr>
        <w:t xml:space="preserve"> des créateu</w:t>
      </w:r>
      <w:r w:rsidR="001A2DC8" w:rsidRPr="005D5D18">
        <w:rPr>
          <w:lang w:val="fr-FR"/>
        </w:rPr>
        <w:t>rs</w:t>
      </w:r>
      <w:r w:rsidR="001A2DC8">
        <w:rPr>
          <w:lang w:val="fr-FR"/>
        </w:rPr>
        <w:t xml:space="preserve">.  </w:t>
      </w:r>
      <w:r w:rsidR="001A2DC8" w:rsidRPr="005D5D18">
        <w:rPr>
          <w:lang w:val="fr-FR"/>
        </w:rPr>
        <w:t>Il</w:t>
      </w:r>
      <w:r w:rsidRPr="005D5D18">
        <w:rPr>
          <w:lang w:val="fr-FR"/>
        </w:rPr>
        <w:t xml:space="preserve"> est proposé de réviser le code (72) afin de prévoir l</w:t>
      </w:r>
      <w:r w:rsidR="003F30A0">
        <w:rPr>
          <w:lang w:val="fr-FR"/>
        </w:rPr>
        <w:t>’</w:t>
      </w:r>
      <w:r w:rsidRPr="005D5D18">
        <w:rPr>
          <w:lang w:val="fr-FR"/>
        </w:rPr>
        <w:t>indication des “noms et adresses” des créateurs étant donné que l</w:t>
      </w:r>
      <w:r w:rsidR="003F30A0">
        <w:rPr>
          <w:lang w:val="fr-FR"/>
        </w:rPr>
        <w:t>’</w:t>
      </w:r>
      <w:r w:rsidRPr="005D5D18">
        <w:rPr>
          <w:lang w:val="fr-FR"/>
        </w:rPr>
        <w:t>identité du créateur (qui inclut l</w:t>
      </w:r>
      <w:r w:rsidR="003F30A0">
        <w:rPr>
          <w:lang w:val="fr-FR"/>
        </w:rPr>
        <w:t>’</w:t>
      </w:r>
      <w:r w:rsidRPr="005D5D18">
        <w:rPr>
          <w:lang w:val="fr-FR"/>
        </w:rPr>
        <w:t>adresse) est un contenu obligatoire pour une demande internationale désignant certaines parties contractant</w:t>
      </w:r>
      <w:r w:rsidR="001A2DC8" w:rsidRPr="005D5D18">
        <w:rPr>
          <w:lang w:val="fr-FR"/>
        </w:rPr>
        <w:t>es</w:t>
      </w:r>
      <w:r w:rsidR="001A2DC8">
        <w:rPr>
          <w:lang w:val="fr-FR"/>
        </w:rPr>
        <w:t xml:space="preserve">.  </w:t>
      </w:r>
      <w:r w:rsidR="001A2DC8" w:rsidRPr="005D5D18">
        <w:rPr>
          <w:lang w:val="fr-FR"/>
        </w:rPr>
        <w:t>Le</w:t>
      </w:r>
      <w:r w:rsidRPr="005D5D18">
        <w:rPr>
          <w:lang w:val="fr-FR"/>
        </w:rPr>
        <w:t xml:space="preserve"> Bureau international est tenu de publier ces informations (voir les règles 8, 15.2), 17.2) et 26.1) du règlement d</w:t>
      </w:r>
      <w:r w:rsidR="003F30A0">
        <w:rPr>
          <w:lang w:val="fr-FR"/>
        </w:rPr>
        <w:t>’</w:t>
      </w:r>
      <w:r w:rsidRPr="005D5D18">
        <w:rPr>
          <w:lang w:val="fr-FR"/>
        </w:rPr>
        <w:t>exécution commun à l</w:t>
      </w:r>
      <w:r w:rsidR="003F30A0">
        <w:rPr>
          <w:lang w:val="fr-FR"/>
        </w:rPr>
        <w:t>’</w:t>
      </w:r>
      <w:r w:rsidRPr="005D5D18">
        <w:rPr>
          <w:lang w:val="fr-FR"/>
        </w:rPr>
        <w:t xml:space="preserve">Acte </w:t>
      </w:r>
      <w:r w:rsidR="00DA77D5" w:rsidRPr="005D5D18">
        <w:rPr>
          <w:lang w:val="fr-FR"/>
        </w:rPr>
        <w:t>de 1999</w:t>
      </w:r>
      <w:r w:rsidRPr="005D5D18">
        <w:rPr>
          <w:lang w:val="fr-FR"/>
        </w:rPr>
        <w:t xml:space="preserve"> et l</w:t>
      </w:r>
      <w:r w:rsidR="003F30A0">
        <w:rPr>
          <w:lang w:val="fr-FR"/>
        </w:rPr>
        <w:t>’</w:t>
      </w:r>
      <w:r w:rsidRPr="005D5D18">
        <w:rPr>
          <w:lang w:val="fr-FR"/>
        </w:rPr>
        <w:t xml:space="preserve">Acte </w:t>
      </w:r>
      <w:r w:rsidR="00DA77D5" w:rsidRPr="005D5D18">
        <w:rPr>
          <w:lang w:val="fr-FR"/>
        </w:rPr>
        <w:t>de 1960</w:t>
      </w:r>
      <w:r w:rsidRPr="005D5D18">
        <w:rPr>
          <w:lang w:val="fr-FR"/>
        </w:rPr>
        <w:t xml:space="preserve"> de l</w:t>
      </w:r>
      <w:r w:rsidR="003F30A0">
        <w:rPr>
          <w:lang w:val="fr-FR"/>
        </w:rPr>
        <w:t>’</w:t>
      </w:r>
      <w:r w:rsidRPr="005D5D18">
        <w:rPr>
          <w:lang w:val="fr-FR"/>
        </w:rPr>
        <w:t xml:space="preserve">Arrangement de </w:t>
      </w:r>
      <w:r w:rsidR="003F30A0">
        <w:rPr>
          <w:lang w:val="fr-FR"/>
        </w:rPr>
        <w:t>La Haye</w:t>
      </w:r>
      <w:r w:rsidRPr="005D5D18">
        <w:rPr>
          <w:lang w:val="fr-FR"/>
        </w:rPr>
        <w:t xml:space="preserve"> (ci</w:t>
      </w:r>
      <w:r w:rsidR="003F30A0">
        <w:rPr>
          <w:lang w:val="fr-FR"/>
        </w:rPr>
        <w:t>-</w:t>
      </w:r>
      <w:r w:rsidRPr="005D5D18">
        <w:rPr>
          <w:lang w:val="fr-FR"/>
        </w:rPr>
        <w:t>après dénommé “règlement d</w:t>
      </w:r>
      <w:r w:rsidR="003F30A0">
        <w:rPr>
          <w:lang w:val="fr-FR"/>
        </w:rPr>
        <w:t>’</w:t>
      </w:r>
      <w:r w:rsidRPr="005D5D18">
        <w:rPr>
          <w:lang w:val="fr-FR"/>
        </w:rPr>
        <w:t>exécution commun”)).</w:t>
      </w:r>
    </w:p>
    <w:p w14:paraId="271FBC69" w14:textId="28779331" w:rsidR="008F0282" w:rsidRPr="005D5D18" w:rsidRDefault="008F0282" w:rsidP="00912A83">
      <w:pPr>
        <w:pStyle w:val="ONUMFS"/>
        <w:keepNext/>
        <w:keepLines/>
        <w:rPr>
          <w:rFonts w:eastAsia="Arial"/>
          <w:lang w:val="fr-FR"/>
        </w:rPr>
      </w:pPr>
      <w:r w:rsidRPr="005D5D18">
        <w:rPr>
          <w:lang w:val="fr-FR"/>
        </w:rPr>
        <w:lastRenderedPageBreak/>
        <w:t>Le</w:t>
      </w:r>
      <w:r w:rsidR="003F30A0">
        <w:rPr>
          <w:lang w:val="fr-FR"/>
        </w:rPr>
        <w:t xml:space="preserve"> 1</w:t>
      </w:r>
      <w:r w:rsidR="003F30A0" w:rsidRPr="003F30A0">
        <w:rPr>
          <w:vertAlign w:val="superscript"/>
          <w:lang w:val="fr-FR"/>
        </w:rPr>
        <w:t>er</w:t>
      </w:r>
      <w:r w:rsidR="003F30A0">
        <w:rPr>
          <w:lang w:val="fr-FR"/>
        </w:rPr>
        <w:t> </w:t>
      </w:r>
      <w:r w:rsidR="00DA77D5" w:rsidRPr="005D5D18">
        <w:rPr>
          <w:lang w:val="fr-FR"/>
        </w:rPr>
        <w:t>janvier 20</w:t>
      </w:r>
      <w:r w:rsidRPr="005D5D18">
        <w:rPr>
          <w:lang w:val="fr-FR"/>
        </w:rPr>
        <w:t>12, une nouvelle règle 21</w:t>
      </w:r>
      <w:r w:rsidRPr="005D5D18">
        <w:rPr>
          <w:i/>
          <w:iCs/>
          <w:lang w:val="fr-FR"/>
        </w:rPr>
        <w:t>bis</w:t>
      </w:r>
      <w:r w:rsidRPr="005D5D18">
        <w:rPr>
          <w:lang w:val="fr-FR"/>
        </w:rPr>
        <w:t>, intitulée “Déclaration selon laquelle un changement de titulaire est sans effet”, a été introduite dans le règlement d</w:t>
      </w:r>
      <w:r w:rsidR="003F30A0">
        <w:rPr>
          <w:lang w:val="fr-FR"/>
        </w:rPr>
        <w:t>’</w:t>
      </w:r>
      <w:r w:rsidRPr="005D5D18">
        <w:rPr>
          <w:lang w:val="fr-FR"/>
        </w:rPr>
        <w:t>exécution commun</w:t>
      </w:r>
      <w:r w:rsidRPr="005D5D18">
        <w:rPr>
          <w:rFonts w:eastAsia="Arial"/>
          <w:vertAlign w:val="superscript"/>
          <w:lang w:val="fr-FR"/>
        </w:rPr>
        <w:footnoteReference w:id="5"/>
      </w:r>
      <w:r w:rsidRPr="005D5D18">
        <w:rPr>
          <w:lang w:val="fr-FR"/>
        </w:rPr>
        <w:t>.  La règle 21</w:t>
      </w:r>
      <w:r w:rsidRPr="005D5D18">
        <w:rPr>
          <w:i/>
          <w:iCs/>
          <w:lang w:val="fr-FR"/>
        </w:rPr>
        <w:t>bis</w:t>
      </w:r>
      <w:r w:rsidRPr="005D5D18">
        <w:rPr>
          <w:lang w:val="fr-FR"/>
        </w:rPr>
        <w:t xml:space="preserve"> du règlement d</w:t>
      </w:r>
      <w:r w:rsidR="003F30A0">
        <w:rPr>
          <w:lang w:val="fr-FR"/>
        </w:rPr>
        <w:t>’</w:t>
      </w:r>
      <w:r w:rsidRPr="005D5D18">
        <w:rPr>
          <w:lang w:val="fr-FR"/>
        </w:rPr>
        <w:t>exécution commun s</w:t>
      </w:r>
      <w:r w:rsidR="003F30A0">
        <w:rPr>
          <w:lang w:val="fr-FR"/>
        </w:rPr>
        <w:t>’</w:t>
      </w:r>
      <w:r w:rsidRPr="005D5D18">
        <w:rPr>
          <w:lang w:val="fr-FR"/>
        </w:rPr>
        <w:t>inspire de la règle 27.4) du règlement d</w:t>
      </w:r>
      <w:r w:rsidR="003F30A0">
        <w:rPr>
          <w:lang w:val="fr-FR"/>
        </w:rPr>
        <w:t>’</w:t>
      </w:r>
      <w:r w:rsidRPr="005D5D18">
        <w:rPr>
          <w:lang w:val="fr-FR"/>
        </w:rPr>
        <w:t>exécution commun à l</w:t>
      </w:r>
      <w:r w:rsidR="003F30A0">
        <w:rPr>
          <w:lang w:val="fr-FR"/>
        </w:rPr>
        <w:t>’</w:t>
      </w:r>
      <w:r w:rsidRPr="005D5D18">
        <w:rPr>
          <w:lang w:val="fr-FR"/>
        </w:rPr>
        <w:t>Arrangement et au Protocole de Madrid (ci</w:t>
      </w:r>
      <w:r w:rsidR="003F30A0">
        <w:rPr>
          <w:lang w:val="fr-FR"/>
        </w:rPr>
        <w:t>-</w:t>
      </w:r>
      <w:r w:rsidRPr="005D5D18">
        <w:rPr>
          <w:lang w:val="fr-FR"/>
        </w:rPr>
        <w:t>après dénommé “règlement d</w:t>
      </w:r>
      <w:r w:rsidR="003F30A0">
        <w:rPr>
          <w:lang w:val="fr-FR"/>
        </w:rPr>
        <w:t>’</w:t>
      </w:r>
      <w:r w:rsidRPr="005D5D18">
        <w:rPr>
          <w:lang w:val="fr-FR"/>
        </w:rPr>
        <w:t>exécution de Madrid”)</w:t>
      </w:r>
      <w:r w:rsidRPr="005D5D18">
        <w:rPr>
          <w:rFonts w:eastAsia="Arial"/>
          <w:vertAlign w:val="superscript"/>
          <w:lang w:val="fr-FR"/>
        </w:rPr>
        <w:footnoteReference w:id="6"/>
      </w:r>
      <w:r w:rsidRPr="005D5D18">
        <w:rPr>
          <w:lang w:val="fr-FR"/>
        </w:rPr>
        <w:t>.  Suite à l</w:t>
      </w:r>
      <w:r w:rsidR="003F30A0">
        <w:rPr>
          <w:lang w:val="fr-FR"/>
        </w:rPr>
        <w:t>’</w:t>
      </w:r>
      <w:r w:rsidRPr="005D5D18">
        <w:rPr>
          <w:lang w:val="fr-FR"/>
        </w:rPr>
        <w:t>introduction de la règle 27.4) du règlement d</w:t>
      </w:r>
      <w:r w:rsidR="003F30A0">
        <w:rPr>
          <w:lang w:val="fr-FR"/>
        </w:rPr>
        <w:t>’</w:t>
      </w:r>
      <w:r w:rsidRPr="005D5D18">
        <w:rPr>
          <w:lang w:val="fr-FR"/>
        </w:rPr>
        <w:t>exécution de Madrid, la norme ST.60 de l</w:t>
      </w:r>
      <w:r w:rsidR="003F30A0">
        <w:rPr>
          <w:lang w:val="fr-FR"/>
        </w:rPr>
        <w:t>’</w:t>
      </w:r>
      <w:r w:rsidRPr="005D5D18">
        <w:rPr>
          <w:lang w:val="fr-FR"/>
        </w:rPr>
        <w:t xml:space="preserve">OMPI a été modifiée </w:t>
      </w:r>
      <w:r w:rsidR="00DA77D5" w:rsidRPr="005D5D18">
        <w:rPr>
          <w:lang w:val="fr-FR"/>
        </w:rPr>
        <w:t>en 1996</w:t>
      </w:r>
      <w:r w:rsidRPr="005D5D18">
        <w:rPr>
          <w:rFonts w:eastAsia="Arial"/>
          <w:vertAlign w:val="superscript"/>
          <w:lang w:val="fr-FR"/>
        </w:rPr>
        <w:footnoteReference w:id="7"/>
      </w:r>
      <w:r w:rsidRPr="005D5D18">
        <w:rPr>
          <w:lang w:val="fr-FR"/>
        </w:rPr>
        <w:t xml:space="preserve"> pour prévoir deux</w:t>
      </w:r>
      <w:r w:rsidR="009C0891" w:rsidRPr="005D5D18">
        <w:rPr>
          <w:lang w:val="fr-FR"/>
        </w:rPr>
        <w:t> </w:t>
      </w:r>
      <w:r w:rsidRPr="005D5D18">
        <w:rPr>
          <w:lang w:val="fr-FR"/>
        </w:rPr>
        <w:t xml:space="preserve">codes supplémentaires dans ce cadre, </w:t>
      </w:r>
      <w:r w:rsidR="003F30A0">
        <w:rPr>
          <w:lang w:val="fr-FR"/>
        </w:rPr>
        <w:t>à savoir</w:t>
      </w:r>
      <w:r w:rsidRPr="005D5D18">
        <w:rPr>
          <w:lang w:val="fr-FR"/>
        </w:rPr>
        <w:t xml:space="preserve"> (770) </w:t>
      </w:r>
      <w:r w:rsidR="004242C8" w:rsidRPr="005D5D18">
        <w:rPr>
          <w:lang w:val="fr-FR"/>
        </w:rPr>
        <w:t>“</w:t>
      </w:r>
      <w:r w:rsidRPr="005D5D18">
        <w:rPr>
          <w:lang w:val="fr-FR"/>
        </w:rPr>
        <w:t>Nom et adresse du précédent déposant ou titulaire (en cas de changement de titulaire)</w:t>
      </w:r>
      <w:r w:rsidR="004242C8" w:rsidRPr="005D5D18">
        <w:rPr>
          <w:lang w:val="fr-FR"/>
        </w:rPr>
        <w:t>”</w:t>
      </w:r>
      <w:r w:rsidRPr="005D5D18">
        <w:rPr>
          <w:lang w:val="fr-FR"/>
        </w:rPr>
        <w:t xml:space="preserve"> et (771) </w:t>
      </w:r>
      <w:r w:rsidR="004242C8" w:rsidRPr="005D5D18">
        <w:rPr>
          <w:lang w:val="fr-FR"/>
        </w:rPr>
        <w:t>“</w:t>
      </w:r>
      <w:r w:rsidRPr="005D5D18">
        <w:rPr>
          <w:lang w:val="fr-FR"/>
        </w:rPr>
        <w:t>Précédent nom ou précédente adresse du déposant ou titulaire (sans changement de titulaire)</w:t>
      </w:r>
      <w:r w:rsidR="004242C8" w:rsidRPr="005D5D18">
        <w:rPr>
          <w:lang w:val="fr-FR"/>
        </w:rPr>
        <w:t>”</w:t>
      </w:r>
      <w:r w:rsidRPr="005D5D18">
        <w:rPr>
          <w:lang w:val="fr-FR"/>
        </w:rPr>
        <w:t>.  Cependant, la norme ST.80 de l</w:t>
      </w:r>
      <w:r w:rsidR="003F30A0">
        <w:rPr>
          <w:lang w:val="fr-FR"/>
        </w:rPr>
        <w:t>’</w:t>
      </w:r>
      <w:r w:rsidRPr="005D5D18">
        <w:rPr>
          <w:lang w:val="fr-FR"/>
        </w:rPr>
        <w:t>OMPI contient déjà le code (78) permettant d</w:t>
      </w:r>
      <w:r w:rsidR="003F30A0">
        <w:rPr>
          <w:lang w:val="fr-FR"/>
        </w:rPr>
        <w:t>’</w:t>
      </w:r>
      <w:r w:rsidRPr="005D5D18">
        <w:rPr>
          <w:lang w:val="fr-FR"/>
        </w:rPr>
        <w:t>indiquer le nom et l</w:t>
      </w:r>
      <w:r w:rsidR="003F30A0">
        <w:rPr>
          <w:lang w:val="fr-FR"/>
        </w:rPr>
        <w:t>’</w:t>
      </w:r>
      <w:r w:rsidRPr="005D5D18">
        <w:rPr>
          <w:lang w:val="fr-FR"/>
        </w:rPr>
        <w:t>adresse du nouveau titulaire, en cas de changement de titulai</w:t>
      </w:r>
      <w:r w:rsidR="001A2DC8" w:rsidRPr="005D5D18">
        <w:rPr>
          <w:lang w:val="fr-FR"/>
        </w:rPr>
        <w:t>re</w:t>
      </w:r>
      <w:r w:rsidR="001A2DC8">
        <w:rPr>
          <w:lang w:val="fr-FR"/>
        </w:rPr>
        <w:t xml:space="preserve">.  </w:t>
      </w:r>
      <w:r w:rsidR="001A2DC8" w:rsidRPr="005D5D18">
        <w:rPr>
          <w:lang w:val="fr-FR"/>
        </w:rPr>
        <w:t>Il</w:t>
      </w:r>
      <w:r w:rsidRPr="005D5D18">
        <w:rPr>
          <w:lang w:val="fr-FR"/>
        </w:rPr>
        <w:t xml:space="preserve"> est donc proposé d</w:t>
      </w:r>
      <w:r w:rsidR="003F30A0">
        <w:rPr>
          <w:lang w:val="fr-FR"/>
        </w:rPr>
        <w:t>’</w:t>
      </w:r>
      <w:r w:rsidRPr="005D5D18">
        <w:rPr>
          <w:lang w:val="fr-FR"/>
        </w:rPr>
        <w:t>ajouter une note au code (78) précisant que le code (78) indique également le titulaire en cas de refus de changement de titulaire, ainsi que le nouveau titulaire en cas de retrait du refus de changement de titulaire.</w:t>
      </w:r>
    </w:p>
    <w:p w14:paraId="078BC930" w14:textId="65F9B8C6" w:rsidR="008F0282" w:rsidRPr="005D5D18" w:rsidRDefault="008F0282" w:rsidP="006C46E2">
      <w:pPr>
        <w:pStyle w:val="ONUMFS"/>
        <w:rPr>
          <w:rFonts w:eastAsia="Arial"/>
          <w:lang w:val="fr-FR"/>
        </w:rPr>
      </w:pPr>
      <w:r w:rsidRPr="005D5D18">
        <w:rPr>
          <w:lang w:val="fr-FR"/>
        </w:rPr>
        <w:t>Le code révisé (72) et les notes relatives au code de catégorie (70) se lisent comme suit</w:t>
      </w:r>
      <w:r w:rsidR="003F30A0">
        <w:rPr>
          <w:lang w:val="fr-FR"/>
        </w:rPr>
        <w:t> :</w:t>
      </w:r>
    </w:p>
    <w:p w14:paraId="5C7F9F41" w14:textId="7466A260" w:rsidR="003F30A0" w:rsidRDefault="008F0282" w:rsidP="00912A83">
      <w:pPr>
        <w:widowControl w:val="0"/>
        <w:tabs>
          <w:tab w:val="left" w:pos="1134"/>
        </w:tabs>
        <w:autoSpaceDE w:val="0"/>
        <w:autoSpaceDN w:val="0"/>
        <w:ind w:left="567" w:right="114"/>
        <w:rPr>
          <w:rFonts w:eastAsia="Arial"/>
          <w:i/>
          <w:szCs w:val="22"/>
          <w:lang w:val="fr-FR"/>
        </w:rPr>
      </w:pPr>
      <w:r w:rsidRPr="005D5D18">
        <w:rPr>
          <w:i/>
          <w:szCs w:val="22"/>
          <w:lang w:val="fr-FR"/>
        </w:rPr>
        <w:t>“(70)</w:t>
      </w:r>
      <w:r w:rsidRPr="005D5D18">
        <w:rPr>
          <w:i/>
          <w:szCs w:val="22"/>
          <w:lang w:val="fr-FR"/>
        </w:rPr>
        <w:tab/>
        <w:t>Identification des parties intéressées par la demande ou l</w:t>
      </w:r>
      <w:r w:rsidR="003F30A0">
        <w:rPr>
          <w:i/>
          <w:szCs w:val="22"/>
          <w:lang w:val="fr-FR"/>
        </w:rPr>
        <w:t>’</w:t>
      </w:r>
      <w:r w:rsidRPr="005D5D18">
        <w:rPr>
          <w:i/>
          <w:szCs w:val="22"/>
          <w:lang w:val="fr-FR"/>
        </w:rPr>
        <w:t>enregistrement</w:t>
      </w:r>
    </w:p>
    <w:p w14:paraId="78F04FD9" w14:textId="43FD0397" w:rsidR="00DA77D5" w:rsidRPr="005D5D18" w:rsidRDefault="008F0282" w:rsidP="005D5D18">
      <w:pPr>
        <w:widowControl w:val="0"/>
        <w:autoSpaceDE w:val="0"/>
        <w:autoSpaceDN w:val="0"/>
        <w:ind w:left="838" w:right="114" w:firstLine="602"/>
        <w:rPr>
          <w:rFonts w:eastAsia="Arial"/>
          <w:szCs w:val="22"/>
          <w:lang w:val="fr-FR" w:eastAsia="en-US"/>
        </w:rPr>
      </w:pPr>
      <w:r w:rsidRPr="005D5D18">
        <w:rPr>
          <w:rFonts w:eastAsia="Arial"/>
          <w:szCs w:val="22"/>
          <w:lang w:val="fr-FR" w:eastAsia="en-US"/>
        </w:rPr>
        <w:t>**(71)</w:t>
      </w:r>
      <w:r w:rsidR="004609A8" w:rsidRPr="005D5D18">
        <w:rPr>
          <w:rFonts w:eastAsia="Arial"/>
          <w:szCs w:val="22"/>
          <w:lang w:val="fr-FR" w:eastAsia="en-US"/>
        </w:rPr>
        <w:tab/>
      </w:r>
      <w:r w:rsidRPr="005D5D18">
        <w:rPr>
          <w:rFonts w:eastAsia="Arial"/>
          <w:szCs w:val="22"/>
          <w:lang w:val="fr-FR" w:eastAsia="en-US"/>
        </w:rPr>
        <w:t>Nom et adresse du ou des déposants</w:t>
      </w:r>
    </w:p>
    <w:p w14:paraId="4A2539D7" w14:textId="0D70D39B" w:rsidR="003F30A0" w:rsidRDefault="008F0282" w:rsidP="005D5D18">
      <w:pPr>
        <w:widowControl w:val="0"/>
        <w:autoSpaceDE w:val="0"/>
        <w:autoSpaceDN w:val="0"/>
        <w:ind w:left="1099" w:right="114" w:firstLine="602"/>
        <w:rPr>
          <w:rFonts w:eastAsia="Arial"/>
          <w:szCs w:val="22"/>
          <w:lang w:val="fr-FR" w:eastAsia="en-US"/>
        </w:rPr>
      </w:pPr>
      <w:r w:rsidRPr="005D5D18">
        <w:rPr>
          <w:rFonts w:eastAsia="Arial"/>
          <w:szCs w:val="22"/>
          <w:lang w:val="fr-FR" w:eastAsia="en-US"/>
        </w:rPr>
        <w:t>(72)</w:t>
      </w:r>
      <w:r w:rsidRPr="005D5D18">
        <w:rPr>
          <w:rFonts w:eastAsia="Arial"/>
          <w:szCs w:val="22"/>
          <w:lang w:val="fr-FR" w:eastAsia="en-US"/>
        </w:rPr>
        <w:tab/>
        <w:t>Nom et adresse du ou des créateurs, s</w:t>
      </w:r>
      <w:r w:rsidR="003F30A0">
        <w:rPr>
          <w:rFonts w:eastAsia="Arial"/>
          <w:szCs w:val="22"/>
          <w:lang w:val="fr-FR" w:eastAsia="en-US"/>
        </w:rPr>
        <w:t>’</w:t>
      </w:r>
      <w:r w:rsidRPr="005D5D18">
        <w:rPr>
          <w:rFonts w:eastAsia="Arial"/>
          <w:szCs w:val="22"/>
          <w:lang w:val="fr-FR" w:eastAsia="en-US"/>
        </w:rPr>
        <w:t>ils sont connus en tant que tels</w:t>
      </w:r>
    </w:p>
    <w:p w14:paraId="5CFDBA5E" w14:textId="51A7321F" w:rsidR="008F0282" w:rsidRPr="005D5D18" w:rsidRDefault="004B3DE9" w:rsidP="005D5D18">
      <w:pPr>
        <w:widowControl w:val="0"/>
        <w:autoSpaceDE w:val="0"/>
        <w:autoSpaceDN w:val="0"/>
        <w:ind w:left="838" w:right="114" w:firstLine="602"/>
        <w:rPr>
          <w:rFonts w:eastAsia="Arial"/>
          <w:szCs w:val="22"/>
          <w:lang w:val="fr-FR" w:eastAsia="en-US"/>
        </w:rPr>
      </w:pPr>
      <w:hyperlink w:anchor="_bookmark2" w:history="1">
        <w:r w:rsidR="008F0282" w:rsidRPr="005D5D18">
          <w:rPr>
            <w:rFonts w:eastAsia="Arial"/>
            <w:szCs w:val="22"/>
            <w:lang w:val="fr-FR" w:eastAsia="en-US"/>
          </w:rPr>
          <w:t>**</w:t>
        </w:r>
      </w:hyperlink>
      <w:r w:rsidR="008F0282" w:rsidRPr="005D5D18">
        <w:rPr>
          <w:rFonts w:eastAsia="Arial"/>
          <w:szCs w:val="22"/>
          <w:lang w:val="fr-FR" w:eastAsia="en-US"/>
        </w:rPr>
        <w:t>(73)</w:t>
      </w:r>
      <w:r w:rsidR="004609A8" w:rsidRPr="005D5D18">
        <w:rPr>
          <w:rFonts w:eastAsia="Arial"/>
          <w:szCs w:val="22"/>
          <w:lang w:val="fr-FR" w:eastAsia="en-US"/>
        </w:rPr>
        <w:tab/>
      </w:r>
      <w:r w:rsidR="008F0282" w:rsidRPr="005D5D18">
        <w:rPr>
          <w:rFonts w:eastAsia="Arial"/>
          <w:szCs w:val="22"/>
          <w:lang w:val="fr-FR" w:eastAsia="en-US"/>
        </w:rPr>
        <w:t>Nom et adresse du ou des titulaires</w:t>
      </w:r>
    </w:p>
    <w:p w14:paraId="0CE39925" w14:textId="51455A15" w:rsidR="008F0282" w:rsidRPr="005D5D18" w:rsidRDefault="008F0282" w:rsidP="005D5D18">
      <w:pPr>
        <w:widowControl w:val="0"/>
        <w:autoSpaceDE w:val="0"/>
        <w:autoSpaceDN w:val="0"/>
        <w:ind w:left="2268" w:right="114" w:hanging="567"/>
        <w:rPr>
          <w:rFonts w:eastAsia="Arial"/>
          <w:szCs w:val="22"/>
          <w:lang w:val="fr-FR" w:eastAsia="en-US"/>
        </w:rPr>
      </w:pPr>
      <w:r w:rsidRPr="005D5D18">
        <w:rPr>
          <w:rFonts w:eastAsia="Arial"/>
          <w:szCs w:val="22"/>
          <w:lang w:val="fr-FR" w:eastAsia="en-US"/>
        </w:rPr>
        <w:t>(74)</w:t>
      </w:r>
      <w:r w:rsidRPr="005D5D18">
        <w:rPr>
          <w:rFonts w:eastAsia="Arial"/>
          <w:szCs w:val="22"/>
          <w:lang w:val="fr-FR" w:eastAsia="en-US"/>
        </w:rPr>
        <w:tab/>
        <w:t>Nom et adresse du ou des mandataires</w:t>
      </w:r>
    </w:p>
    <w:p w14:paraId="4ED03C32" w14:textId="419DC014" w:rsidR="008F0282" w:rsidRPr="005D5D18" w:rsidRDefault="008F0282" w:rsidP="005D5D18">
      <w:pPr>
        <w:widowControl w:val="0"/>
        <w:autoSpaceDE w:val="0"/>
        <w:autoSpaceDN w:val="0"/>
        <w:spacing w:after="220"/>
        <w:ind w:left="2268" w:right="114" w:hanging="567"/>
        <w:rPr>
          <w:rFonts w:eastAsia="Arial"/>
          <w:szCs w:val="22"/>
          <w:lang w:val="fr-FR" w:eastAsia="en-US"/>
        </w:rPr>
      </w:pPr>
      <w:r w:rsidRPr="005D5D18">
        <w:rPr>
          <w:rFonts w:eastAsia="Arial"/>
          <w:szCs w:val="22"/>
          <w:lang w:val="fr-FR" w:eastAsia="en-US"/>
        </w:rPr>
        <w:t>(78)</w:t>
      </w:r>
      <w:r w:rsidRPr="005D5D18">
        <w:rPr>
          <w:rFonts w:eastAsia="Arial"/>
          <w:szCs w:val="22"/>
          <w:lang w:val="fr-FR" w:eastAsia="en-US"/>
        </w:rPr>
        <w:tab/>
      </w:r>
      <w:bookmarkStart w:id="9" w:name="_Hlk165037125"/>
      <w:r w:rsidRPr="005D5D18">
        <w:rPr>
          <w:rFonts w:eastAsia="Arial"/>
          <w:szCs w:val="22"/>
          <w:lang w:val="fr-FR" w:eastAsia="en-US"/>
        </w:rPr>
        <w:t>Nom et adresse du ou des nouveaux titulaires en cas de changement de</w:t>
      </w:r>
      <w:r w:rsidR="004609A8" w:rsidRPr="005D5D18">
        <w:rPr>
          <w:rFonts w:eastAsia="Arial"/>
          <w:szCs w:val="22"/>
          <w:lang w:val="fr-FR" w:eastAsia="en-US"/>
        </w:rPr>
        <w:t xml:space="preserve"> </w:t>
      </w:r>
      <w:r w:rsidRPr="005D5D18">
        <w:rPr>
          <w:rFonts w:eastAsia="Arial"/>
          <w:szCs w:val="22"/>
          <w:lang w:val="fr-FR" w:eastAsia="en-US"/>
        </w:rPr>
        <w:t>titulaire</w:t>
      </w:r>
      <w:bookmarkEnd w:id="9"/>
    </w:p>
    <w:p w14:paraId="59D8BA30" w14:textId="569503DF" w:rsidR="008F0282" w:rsidRPr="005D5D18" w:rsidRDefault="008F0282" w:rsidP="0041712B">
      <w:pPr>
        <w:widowControl w:val="0"/>
        <w:tabs>
          <w:tab w:val="left" w:pos="1701"/>
        </w:tabs>
        <w:autoSpaceDE w:val="0"/>
        <w:autoSpaceDN w:val="0"/>
        <w:spacing w:after="240"/>
        <w:ind w:right="114" w:firstLine="567"/>
        <w:rPr>
          <w:rFonts w:eastAsia="Arial"/>
          <w:szCs w:val="22"/>
          <w:lang w:val="fr-FR"/>
        </w:rPr>
      </w:pPr>
      <w:r w:rsidRPr="005D5D18">
        <w:rPr>
          <w:szCs w:val="22"/>
          <w:lang w:val="fr-FR"/>
        </w:rPr>
        <w:t>Notes</w:t>
      </w:r>
      <w:r w:rsidR="003F30A0">
        <w:rPr>
          <w:szCs w:val="22"/>
          <w:lang w:val="fr-FR"/>
        </w:rPr>
        <w:t> :</w:t>
      </w:r>
      <w:r w:rsidR="005D5D18">
        <w:rPr>
          <w:szCs w:val="22"/>
          <w:lang w:val="fr-FR"/>
        </w:rPr>
        <w:tab/>
      </w:r>
      <w:r w:rsidRPr="005D5D18">
        <w:rPr>
          <w:szCs w:val="22"/>
          <w:u w:val="single"/>
          <w:lang w:val="fr-FR"/>
        </w:rPr>
        <w:t>i)</w:t>
      </w:r>
      <w:r w:rsidR="009C0891" w:rsidRPr="005D5D18">
        <w:rPr>
          <w:szCs w:val="22"/>
          <w:lang w:val="fr-FR"/>
        </w:rPr>
        <w:t> </w:t>
      </w:r>
      <w:r w:rsidRPr="005D5D18">
        <w:rPr>
          <w:szCs w:val="22"/>
          <w:u w:val="single"/>
          <w:lang w:val="fr-FR"/>
        </w:rPr>
        <w:t>Le code (78) devrait donc être utilisé pour indiquer le nom et l</w:t>
      </w:r>
      <w:r w:rsidR="003F30A0">
        <w:rPr>
          <w:szCs w:val="22"/>
          <w:u w:val="single"/>
          <w:lang w:val="fr-FR"/>
        </w:rPr>
        <w:t>’</w:t>
      </w:r>
      <w:r w:rsidRPr="005D5D18">
        <w:rPr>
          <w:szCs w:val="22"/>
          <w:u w:val="single"/>
          <w:lang w:val="fr-FR"/>
        </w:rPr>
        <w:t>adresse du ou des titulaires en cas de refus de changement de titulaire et le nom et l</w:t>
      </w:r>
      <w:r w:rsidR="003F30A0">
        <w:rPr>
          <w:szCs w:val="22"/>
          <w:u w:val="single"/>
          <w:lang w:val="fr-FR"/>
        </w:rPr>
        <w:t>’</w:t>
      </w:r>
      <w:r w:rsidRPr="005D5D18">
        <w:rPr>
          <w:szCs w:val="22"/>
          <w:u w:val="single"/>
          <w:lang w:val="fr-FR"/>
        </w:rPr>
        <w:t>adresse du ou des nouveaux titulaires en cas de retrait du refus de changement de titulaire.</w:t>
      </w:r>
    </w:p>
    <w:p w14:paraId="6A6BA391" w14:textId="65590663" w:rsidR="008F0282" w:rsidRPr="005D5D18" w:rsidRDefault="008F0282" w:rsidP="005D5D18">
      <w:pPr>
        <w:widowControl w:val="0"/>
        <w:autoSpaceDE w:val="0"/>
        <w:autoSpaceDN w:val="0"/>
        <w:ind w:right="114" w:firstLine="1701"/>
        <w:rPr>
          <w:rFonts w:eastAsia="Arial MT"/>
          <w:szCs w:val="22"/>
          <w:lang w:val="fr-FR"/>
        </w:rPr>
      </w:pPr>
      <w:r w:rsidRPr="005D5D18">
        <w:rPr>
          <w:szCs w:val="22"/>
          <w:u w:val="single"/>
          <w:lang w:val="fr-FR"/>
        </w:rPr>
        <w:t>ii)</w:t>
      </w:r>
      <w:r w:rsidR="0041712B">
        <w:rPr>
          <w:szCs w:val="22"/>
          <w:u w:val="single"/>
          <w:lang w:val="fr-FR"/>
        </w:rPr>
        <w:t> </w:t>
      </w:r>
      <w:hyperlink w:anchor="_bookmark2" w:history="1">
        <w:r w:rsidRPr="005D5D18">
          <w:rPr>
            <w:szCs w:val="22"/>
            <w:u w:val="single"/>
            <w:lang w:val="fr-FR"/>
          </w:rPr>
          <w:t>**</w:t>
        </w:r>
      </w:hyperlink>
      <w:r w:rsidRPr="005D5D18">
        <w:rPr>
          <w:szCs w:val="22"/>
          <w:u w:val="single"/>
          <w:lang w:val="fr-FR"/>
        </w:rPr>
        <w:t>Si l</w:t>
      </w:r>
      <w:r w:rsidR="003F30A0">
        <w:rPr>
          <w:szCs w:val="22"/>
          <w:u w:val="single"/>
          <w:lang w:val="fr-FR"/>
        </w:rPr>
        <w:t>’</w:t>
      </w:r>
      <w:r w:rsidRPr="005D5D18">
        <w:rPr>
          <w:szCs w:val="22"/>
          <w:u w:val="single"/>
          <w:lang w:val="fr-FR"/>
        </w:rPr>
        <w:t>enregistrement a eu lieu à la date ou avant la date à laquelle le dessin ou modèle industriel a été mis à la disposition du public, le minimum d</w:t>
      </w:r>
      <w:r w:rsidR="003F30A0">
        <w:rPr>
          <w:szCs w:val="22"/>
          <w:u w:val="single"/>
          <w:lang w:val="fr-FR"/>
        </w:rPr>
        <w:t>’</w:t>
      </w:r>
      <w:r w:rsidRPr="005D5D18">
        <w:rPr>
          <w:szCs w:val="22"/>
          <w:u w:val="single"/>
          <w:lang w:val="fr-FR"/>
        </w:rPr>
        <w:t>information requis est le nom du titulaire, sinon, celui du ou des déposants.”</w:t>
      </w:r>
    </w:p>
    <w:p w14:paraId="3E6EF39A" w14:textId="77777777" w:rsidR="008F0282" w:rsidRPr="005D5D18" w:rsidRDefault="008F0282" w:rsidP="004609A8">
      <w:pPr>
        <w:pStyle w:val="Heading3"/>
        <w:rPr>
          <w:rFonts w:eastAsia="Arial"/>
          <w:lang w:val="fr-FR"/>
        </w:rPr>
      </w:pPr>
      <w:r w:rsidRPr="005D5D18">
        <w:rPr>
          <w:lang w:val="fr-FR"/>
        </w:rPr>
        <w:t>d)</w:t>
      </w:r>
      <w:r w:rsidRPr="005D5D18">
        <w:rPr>
          <w:lang w:val="fr-FR"/>
        </w:rPr>
        <w:tab/>
        <w:t>Révision du code de catégorie (80)</w:t>
      </w:r>
    </w:p>
    <w:p w14:paraId="41843370" w14:textId="25DFC4B1" w:rsidR="008F0282" w:rsidRPr="005D5D18" w:rsidRDefault="008F0282" w:rsidP="006C46E2">
      <w:pPr>
        <w:pStyle w:val="ONUMFS"/>
        <w:rPr>
          <w:rFonts w:eastAsia="Arial"/>
          <w:lang w:val="fr-FR"/>
        </w:rPr>
      </w:pPr>
      <w:bookmarkStart w:id="10" w:name="_Hlk161822746"/>
      <w:r w:rsidRPr="005D5D18">
        <w:rPr>
          <w:lang w:val="fr-FR"/>
        </w:rPr>
        <w:t xml:space="preserve">La proposition de modification du code (81) aligne le texte sur la terminologie du cadre juridique de </w:t>
      </w:r>
      <w:r w:rsidR="003F30A0">
        <w:rPr>
          <w:lang w:val="fr-FR"/>
        </w:rPr>
        <w:t>La Haye</w:t>
      </w:r>
      <w:r w:rsidRPr="005D5D18">
        <w:rPr>
          <w:rFonts w:eastAsia="Arial"/>
          <w:vertAlign w:val="superscript"/>
          <w:lang w:val="fr-FR"/>
        </w:rPr>
        <w:footnoteReference w:id="8"/>
      </w:r>
      <w:r w:rsidR="003F30A0">
        <w:rPr>
          <w:lang w:val="fr-FR"/>
        </w:rPr>
        <w:t> :</w:t>
      </w:r>
    </w:p>
    <w:p w14:paraId="07B61706" w14:textId="77F1B534" w:rsidR="008F0282" w:rsidRPr="005D5D18" w:rsidRDefault="008F0282" w:rsidP="006C46E2">
      <w:pPr>
        <w:pStyle w:val="ONUMFS"/>
        <w:rPr>
          <w:rFonts w:eastAsia="Arial"/>
          <w:lang w:val="fr-FR"/>
        </w:rPr>
      </w:pPr>
      <w:r w:rsidRPr="005D5D18">
        <w:rPr>
          <w:lang w:val="fr-FR"/>
        </w:rPr>
        <w:t>Le code révisé (81) se lirait comme suit</w:t>
      </w:r>
      <w:r w:rsidR="003F30A0">
        <w:rPr>
          <w:lang w:val="fr-FR"/>
        </w:rPr>
        <w:t> :</w:t>
      </w:r>
    </w:p>
    <w:p w14:paraId="6F9DF1A8" w14:textId="69FBE24B" w:rsidR="008F0282" w:rsidRPr="005D5D18" w:rsidRDefault="008F0282" w:rsidP="0041712B">
      <w:pPr>
        <w:widowControl w:val="0"/>
        <w:autoSpaceDE w:val="0"/>
        <w:autoSpaceDN w:val="0"/>
        <w:spacing w:before="219"/>
        <w:ind w:left="567" w:right="114"/>
        <w:rPr>
          <w:rFonts w:eastAsia="Arial"/>
          <w:szCs w:val="22"/>
          <w:lang w:val="fr-FR"/>
        </w:rPr>
      </w:pPr>
      <w:r w:rsidRPr="005D5D18">
        <w:rPr>
          <w:szCs w:val="22"/>
          <w:lang w:val="fr-FR"/>
        </w:rPr>
        <w:t>“(80) Identification de certaines données relatives à l</w:t>
      </w:r>
      <w:r w:rsidR="003F30A0">
        <w:rPr>
          <w:szCs w:val="22"/>
          <w:lang w:val="fr-FR"/>
        </w:rPr>
        <w:t>’</w:t>
      </w:r>
      <w:r w:rsidRPr="005D5D18">
        <w:rPr>
          <w:szCs w:val="22"/>
          <w:lang w:val="fr-FR"/>
        </w:rPr>
        <w:t>enregistrement international des dessins et modèles industriels effectué en vertu de l</w:t>
      </w:r>
      <w:r w:rsidR="003F30A0">
        <w:rPr>
          <w:szCs w:val="22"/>
          <w:lang w:val="fr-FR"/>
        </w:rPr>
        <w:t>’</w:t>
      </w:r>
      <w:r w:rsidRPr="005D5D18">
        <w:rPr>
          <w:szCs w:val="22"/>
          <w:lang w:val="fr-FR"/>
        </w:rPr>
        <w:t xml:space="preserve">Arrangement de </w:t>
      </w:r>
      <w:r w:rsidR="003F30A0">
        <w:rPr>
          <w:szCs w:val="22"/>
          <w:lang w:val="fr-FR"/>
        </w:rPr>
        <w:t>La Haye</w:t>
      </w:r>
      <w:r w:rsidRPr="005D5D18">
        <w:rPr>
          <w:szCs w:val="22"/>
          <w:lang w:val="fr-FR"/>
        </w:rPr>
        <w:t xml:space="preserve"> concernant l</w:t>
      </w:r>
      <w:r w:rsidR="003F30A0">
        <w:rPr>
          <w:szCs w:val="22"/>
          <w:lang w:val="fr-FR"/>
        </w:rPr>
        <w:t>’</w:t>
      </w:r>
      <w:r w:rsidRPr="005D5D18">
        <w:rPr>
          <w:szCs w:val="22"/>
          <w:lang w:val="fr-FR"/>
        </w:rPr>
        <w:t>enregistrement international des dessins et modèles industriels, et données relatives à d</w:t>
      </w:r>
      <w:r w:rsidR="003F30A0">
        <w:rPr>
          <w:szCs w:val="22"/>
          <w:lang w:val="fr-FR"/>
        </w:rPr>
        <w:t>’</w:t>
      </w:r>
      <w:r w:rsidRPr="005D5D18">
        <w:rPr>
          <w:szCs w:val="22"/>
          <w:lang w:val="fr-FR"/>
        </w:rPr>
        <w:t>autres conventions internationales</w:t>
      </w:r>
    </w:p>
    <w:p w14:paraId="194CA7E1" w14:textId="54F211BB" w:rsidR="008F0282" w:rsidRPr="005D5D18" w:rsidRDefault="008F0282" w:rsidP="0041712B">
      <w:pPr>
        <w:widowControl w:val="0"/>
        <w:autoSpaceDE w:val="0"/>
        <w:autoSpaceDN w:val="0"/>
        <w:spacing w:before="120"/>
        <w:ind w:left="567" w:right="114"/>
        <w:rPr>
          <w:rFonts w:eastAsia="Arial"/>
          <w:szCs w:val="22"/>
          <w:lang w:val="fr-FR"/>
        </w:rPr>
      </w:pPr>
      <w:r w:rsidRPr="005D5D18">
        <w:rPr>
          <w:szCs w:val="22"/>
          <w:lang w:val="fr-FR"/>
        </w:rPr>
        <w:t xml:space="preserve">Informations </w:t>
      </w:r>
      <w:bookmarkEnd w:id="10"/>
      <w:r w:rsidRPr="005D5D18">
        <w:rPr>
          <w:szCs w:val="22"/>
          <w:lang w:val="fr-FR"/>
        </w:rPr>
        <w:t>concernant les parties contractantes désignées ou intéressées</w:t>
      </w:r>
    </w:p>
    <w:p w14:paraId="2CD1214E" w14:textId="268EBF12" w:rsidR="008F0282" w:rsidRPr="005D5D18" w:rsidRDefault="008F0282" w:rsidP="0041712B">
      <w:pPr>
        <w:widowControl w:val="0"/>
        <w:autoSpaceDE w:val="0"/>
        <w:autoSpaceDN w:val="0"/>
        <w:ind w:left="1701" w:right="114" w:hanging="567"/>
        <w:rPr>
          <w:rFonts w:eastAsia="Arial"/>
          <w:szCs w:val="22"/>
          <w:lang w:val="fr-FR"/>
        </w:rPr>
      </w:pPr>
      <w:r w:rsidRPr="005D5D18">
        <w:rPr>
          <w:szCs w:val="22"/>
          <w:lang w:val="fr-FR"/>
        </w:rPr>
        <w:t>(81) Parties contractantes intéressées</w:t>
      </w:r>
    </w:p>
    <w:p w14:paraId="6DF77A82" w14:textId="6360C6A3" w:rsidR="008F0282" w:rsidRPr="005D5D18" w:rsidRDefault="008F0282" w:rsidP="0041712B">
      <w:pPr>
        <w:widowControl w:val="0"/>
        <w:numPr>
          <w:ilvl w:val="1"/>
          <w:numId w:val="10"/>
        </w:numPr>
        <w:autoSpaceDE w:val="0"/>
        <w:autoSpaceDN w:val="0"/>
        <w:ind w:left="2268" w:right="114" w:hanging="567"/>
        <w:jc w:val="left"/>
        <w:rPr>
          <w:rFonts w:eastAsia="Arial"/>
          <w:szCs w:val="22"/>
          <w:lang w:val="fr-FR"/>
        </w:rPr>
      </w:pPr>
      <w:r w:rsidRPr="005D5D18">
        <w:rPr>
          <w:szCs w:val="22"/>
          <w:lang w:val="fr-FR"/>
        </w:rPr>
        <w:t>Parties contractantes désignées en vertu de l</w:t>
      </w:r>
      <w:r w:rsidR="003F30A0">
        <w:rPr>
          <w:szCs w:val="22"/>
          <w:lang w:val="fr-FR"/>
        </w:rPr>
        <w:t>’</w:t>
      </w:r>
      <w:r w:rsidRPr="005D5D18">
        <w:rPr>
          <w:szCs w:val="22"/>
          <w:lang w:val="fr-FR"/>
        </w:rPr>
        <w:t xml:space="preserve">Acte </w:t>
      </w:r>
      <w:r w:rsidR="00DA77D5" w:rsidRPr="005D5D18">
        <w:rPr>
          <w:szCs w:val="22"/>
          <w:lang w:val="fr-FR"/>
        </w:rPr>
        <w:t>de 1934</w:t>
      </w:r>
    </w:p>
    <w:p w14:paraId="4A23D0E0" w14:textId="36104BF2" w:rsidR="008F0282" w:rsidRPr="005D5D18" w:rsidRDefault="008F0282" w:rsidP="0041712B">
      <w:pPr>
        <w:widowControl w:val="0"/>
        <w:numPr>
          <w:ilvl w:val="1"/>
          <w:numId w:val="10"/>
        </w:numPr>
        <w:tabs>
          <w:tab w:val="left" w:pos="684"/>
        </w:tabs>
        <w:autoSpaceDE w:val="0"/>
        <w:autoSpaceDN w:val="0"/>
        <w:ind w:left="2268" w:right="114" w:hanging="567"/>
        <w:jc w:val="left"/>
        <w:rPr>
          <w:rFonts w:eastAsia="Arial"/>
          <w:szCs w:val="22"/>
          <w:lang w:val="fr-FR"/>
        </w:rPr>
      </w:pPr>
      <w:r w:rsidRPr="005D5D18">
        <w:rPr>
          <w:szCs w:val="22"/>
          <w:lang w:val="fr-FR"/>
        </w:rPr>
        <w:t>Parties contractantes désignées en vertu de l</w:t>
      </w:r>
      <w:r w:rsidR="003F30A0">
        <w:rPr>
          <w:szCs w:val="22"/>
          <w:lang w:val="fr-FR"/>
        </w:rPr>
        <w:t>’</w:t>
      </w:r>
      <w:r w:rsidRPr="005D5D18">
        <w:rPr>
          <w:szCs w:val="22"/>
          <w:lang w:val="fr-FR"/>
        </w:rPr>
        <w:t xml:space="preserve">Acte </w:t>
      </w:r>
      <w:r w:rsidR="00DA77D5" w:rsidRPr="005D5D18">
        <w:rPr>
          <w:szCs w:val="22"/>
          <w:lang w:val="fr-FR"/>
        </w:rPr>
        <w:t>de 1960</w:t>
      </w:r>
    </w:p>
    <w:p w14:paraId="410501F7" w14:textId="32F546C1" w:rsidR="008F0282" w:rsidRPr="0041712B" w:rsidRDefault="008F0282" w:rsidP="0041712B">
      <w:pPr>
        <w:widowControl w:val="0"/>
        <w:numPr>
          <w:ilvl w:val="1"/>
          <w:numId w:val="10"/>
        </w:numPr>
        <w:tabs>
          <w:tab w:val="left" w:pos="684"/>
        </w:tabs>
        <w:autoSpaceDE w:val="0"/>
        <w:autoSpaceDN w:val="0"/>
        <w:ind w:left="2268" w:right="114" w:hanging="567"/>
        <w:jc w:val="left"/>
        <w:rPr>
          <w:rFonts w:eastAsia="Arial"/>
          <w:szCs w:val="22"/>
          <w:lang w:val="fr-FR"/>
        </w:rPr>
      </w:pPr>
      <w:r w:rsidRPr="005D5D18">
        <w:rPr>
          <w:szCs w:val="22"/>
          <w:lang w:val="fr-FR"/>
        </w:rPr>
        <w:t>Parties contractantes désignées en vertu de l</w:t>
      </w:r>
      <w:r w:rsidR="003F30A0">
        <w:rPr>
          <w:szCs w:val="22"/>
          <w:lang w:val="fr-FR"/>
        </w:rPr>
        <w:t>’</w:t>
      </w:r>
      <w:r w:rsidRPr="005D5D18">
        <w:rPr>
          <w:szCs w:val="22"/>
          <w:lang w:val="fr-FR"/>
        </w:rPr>
        <w:t xml:space="preserve">Acte </w:t>
      </w:r>
      <w:r w:rsidR="00DA77D5" w:rsidRPr="005D5D18">
        <w:rPr>
          <w:szCs w:val="22"/>
          <w:lang w:val="fr-FR"/>
        </w:rPr>
        <w:t>de 1999</w:t>
      </w:r>
    </w:p>
    <w:p w14:paraId="78294AAD" w14:textId="77E904B6" w:rsidR="008F0282" w:rsidRPr="0041712B" w:rsidRDefault="00423BAF" w:rsidP="0041712B">
      <w:pPr>
        <w:pStyle w:val="Heading2"/>
      </w:pPr>
      <w:r w:rsidRPr="0041712B">
        <w:lastRenderedPageBreak/>
        <w:t>Mise à jour de l</w:t>
      </w:r>
      <w:r w:rsidR="003F30A0">
        <w:t>’</w:t>
      </w:r>
      <w:r w:rsidRPr="0041712B">
        <w:t>annexe 2 des normes</w:t>
      </w:r>
      <w:r w:rsidR="009C0891" w:rsidRPr="0041712B">
        <w:t> </w:t>
      </w:r>
      <w:r w:rsidRPr="0041712B">
        <w:t>ST.9 et ST.80 de l</w:t>
      </w:r>
      <w:r w:rsidR="003F30A0">
        <w:t>’</w:t>
      </w:r>
      <w:r w:rsidRPr="0041712B">
        <w:t>OMPI</w:t>
      </w:r>
    </w:p>
    <w:p w14:paraId="482DABEB" w14:textId="1313269D" w:rsidR="008F0282" w:rsidRPr="005D5D18" w:rsidRDefault="008F0282" w:rsidP="006C46E2">
      <w:pPr>
        <w:pStyle w:val="ONUMFS"/>
        <w:rPr>
          <w:rFonts w:eastAsia="Arial"/>
          <w:lang w:val="fr-FR"/>
        </w:rPr>
      </w:pPr>
      <w:r w:rsidRPr="005D5D18">
        <w:rPr>
          <w:lang w:val="fr-FR"/>
        </w:rPr>
        <w:t>Il est proposé que toutes les modifications apportées à l</w:t>
      </w:r>
      <w:r w:rsidR="003F30A0">
        <w:rPr>
          <w:lang w:val="fr-FR"/>
        </w:rPr>
        <w:t>’</w:t>
      </w:r>
      <w:r w:rsidRPr="005D5D18">
        <w:rPr>
          <w:lang w:val="fr-FR"/>
        </w:rPr>
        <w:t>annexe</w:t>
      </w:r>
      <w:r w:rsidR="004242C8" w:rsidRPr="005D5D18">
        <w:rPr>
          <w:lang w:val="fr-FR"/>
        </w:rPr>
        <w:t> </w:t>
      </w:r>
      <w:r w:rsidRPr="005D5D18">
        <w:rPr>
          <w:lang w:val="fr-FR"/>
        </w:rPr>
        <w:t>1 des normes</w:t>
      </w:r>
      <w:r w:rsidR="004242C8" w:rsidRPr="005D5D18">
        <w:rPr>
          <w:lang w:val="fr-FR"/>
        </w:rPr>
        <w:t> </w:t>
      </w:r>
      <w:r w:rsidRPr="005D5D18">
        <w:rPr>
          <w:lang w:val="fr-FR"/>
        </w:rPr>
        <w:t>ST.9 et ST.80 de l</w:t>
      </w:r>
      <w:r w:rsidR="003F30A0">
        <w:rPr>
          <w:lang w:val="fr-FR"/>
        </w:rPr>
        <w:t>’</w:t>
      </w:r>
      <w:r w:rsidRPr="005D5D18">
        <w:rPr>
          <w:lang w:val="fr-FR"/>
        </w:rPr>
        <w:t>OMPI soient reproduites dans l</w:t>
      </w:r>
      <w:r w:rsidR="003F30A0">
        <w:rPr>
          <w:lang w:val="fr-FR"/>
        </w:rPr>
        <w:t>’</w:t>
      </w:r>
      <w:r w:rsidRPr="005D5D18">
        <w:rPr>
          <w:lang w:val="fr-FR"/>
        </w:rPr>
        <w:t>annexe</w:t>
      </w:r>
      <w:r w:rsidR="004242C8" w:rsidRPr="005D5D18">
        <w:rPr>
          <w:lang w:val="fr-FR"/>
        </w:rPr>
        <w:t> </w:t>
      </w:r>
      <w:r w:rsidRPr="005D5D18">
        <w:rPr>
          <w:lang w:val="fr-FR"/>
        </w:rPr>
        <w:t>2 (suppressions et modifications de la liste des codes figurant à l</w:t>
      </w:r>
      <w:r w:rsidR="003F30A0">
        <w:rPr>
          <w:lang w:val="fr-FR"/>
        </w:rPr>
        <w:t>’</w:t>
      </w:r>
      <w:r w:rsidRPr="005D5D18">
        <w:rPr>
          <w:lang w:val="fr-FR"/>
        </w:rPr>
        <w:t>annexe</w:t>
      </w:r>
      <w:r w:rsidR="004242C8" w:rsidRPr="005D5D18">
        <w:rPr>
          <w:lang w:val="fr-FR"/>
        </w:rPr>
        <w:t> </w:t>
      </w:r>
      <w:r w:rsidRPr="005D5D18">
        <w:rPr>
          <w:lang w:val="fr-FR"/>
        </w:rPr>
        <w:t>1) de ces deux</w:t>
      </w:r>
      <w:r w:rsidR="009C0891" w:rsidRPr="005D5D18">
        <w:rPr>
          <w:lang w:val="fr-FR"/>
        </w:rPr>
        <w:t> </w:t>
      </w:r>
      <w:r w:rsidRPr="005D5D18">
        <w:rPr>
          <w:lang w:val="fr-FR"/>
        </w:rPr>
        <w:t>normes, une fois que les révisions proposées auront été approuvées par</w:t>
      </w:r>
      <w:r w:rsidR="00DA77D5" w:rsidRPr="005D5D18">
        <w:rPr>
          <w:lang w:val="fr-FR"/>
        </w:rPr>
        <w:t xml:space="preserve"> le CWS</w:t>
      </w:r>
      <w:r w:rsidRPr="005D5D18">
        <w:rPr>
          <w:lang w:val="fr-FR"/>
        </w:rPr>
        <w:t>.</w:t>
      </w:r>
    </w:p>
    <w:p w14:paraId="1B29281F" w14:textId="632A720C" w:rsidR="008F0282" w:rsidRPr="0041712B" w:rsidRDefault="008F0282" w:rsidP="0041712B">
      <w:pPr>
        <w:pStyle w:val="ONUMFS"/>
        <w:ind w:left="5533"/>
        <w:rPr>
          <w:i/>
          <w:lang w:val="fr-FR"/>
        </w:rPr>
      </w:pPr>
      <w:r w:rsidRPr="0041712B">
        <w:rPr>
          <w:i/>
          <w:lang w:val="fr-FR"/>
        </w:rPr>
        <w:t>Le CWS est invité</w:t>
      </w:r>
    </w:p>
    <w:p w14:paraId="0A8CE03A" w14:textId="77777777" w:rsidR="00DA77D5" w:rsidRPr="005D5D18" w:rsidRDefault="008F0282" w:rsidP="00E57186">
      <w:pPr>
        <w:pStyle w:val="ONUME"/>
        <w:numPr>
          <w:ilvl w:val="1"/>
          <w:numId w:val="12"/>
        </w:numPr>
        <w:ind w:left="5533" w:firstLine="708"/>
        <w:rPr>
          <w:i/>
          <w:szCs w:val="22"/>
          <w:lang w:val="fr-FR"/>
        </w:rPr>
      </w:pPr>
      <w:r w:rsidRPr="005D5D18">
        <w:rPr>
          <w:i/>
          <w:szCs w:val="22"/>
          <w:lang w:val="fr-FR"/>
        </w:rPr>
        <w:t>à prendre note du contenu du présent document,</w:t>
      </w:r>
    </w:p>
    <w:p w14:paraId="12589915" w14:textId="51E1F9E5" w:rsidR="008F0282" w:rsidRPr="005D5D18" w:rsidRDefault="008F0282" w:rsidP="00E57186">
      <w:pPr>
        <w:pStyle w:val="ONUME"/>
        <w:numPr>
          <w:ilvl w:val="1"/>
          <w:numId w:val="12"/>
        </w:numPr>
        <w:ind w:left="5533" w:firstLine="708"/>
        <w:rPr>
          <w:i/>
          <w:szCs w:val="22"/>
          <w:lang w:val="fr-FR"/>
        </w:rPr>
      </w:pPr>
      <w:r w:rsidRPr="005D5D18">
        <w:rPr>
          <w:i/>
          <w:szCs w:val="22"/>
          <w:lang w:val="fr-FR"/>
        </w:rPr>
        <w:t>examiner et approuver la proposition de révision des normes ST.3, ST.9 et ST.80 de l</w:t>
      </w:r>
      <w:r w:rsidR="003F30A0">
        <w:rPr>
          <w:i/>
          <w:szCs w:val="22"/>
          <w:lang w:val="fr-FR"/>
        </w:rPr>
        <w:t>’</w:t>
      </w:r>
      <w:r w:rsidRPr="005D5D18">
        <w:rPr>
          <w:i/>
          <w:szCs w:val="22"/>
          <w:lang w:val="fr-FR"/>
        </w:rPr>
        <w:t>OMPI, comme indiqué aux paragraphes 6, 8, 11, 13, 15, 18 et 20, et</w:t>
      </w:r>
    </w:p>
    <w:p w14:paraId="3175052D" w14:textId="41B67825" w:rsidR="008F0282" w:rsidRPr="005D5D18" w:rsidRDefault="008F0282" w:rsidP="00E57186">
      <w:pPr>
        <w:pStyle w:val="ONUME"/>
        <w:numPr>
          <w:ilvl w:val="1"/>
          <w:numId w:val="12"/>
        </w:numPr>
        <w:ind w:left="5533" w:firstLine="708"/>
        <w:rPr>
          <w:i/>
          <w:szCs w:val="22"/>
          <w:lang w:val="fr-FR"/>
        </w:rPr>
      </w:pPr>
      <w:r w:rsidRPr="005D5D18">
        <w:rPr>
          <w:i/>
          <w:szCs w:val="22"/>
          <w:lang w:val="fr-FR"/>
        </w:rPr>
        <w:t>à demander au Secrétariat de mettre à jour les normes ST.3, ST.9 et ST.80 de l</w:t>
      </w:r>
      <w:r w:rsidR="003F30A0">
        <w:rPr>
          <w:i/>
          <w:szCs w:val="22"/>
          <w:lang w:val="fr-FR"/>
        </w:rPr>
        <w:t>’</w:t>
      </w:r>
      <w:r w:rsidRPr="005D5D18">
        <w:rPr>
          <w:i/>
          <w:szCs w:val="22"/>
          <w:lang w:val="fr-FR"/>
        </w:rPr>
        <w:t>OMPI avec les révisions respectives approuvées et la mise à jour nécessaire de l</w:t>
      </w:r>
      <w:r w:rsidR="003F30A0">
        <w:rPr>
          <w:i/>
          <w:szCs w:val="22"/>
          <w:lang w:val="fr-FR"/>
        </w:rPr>
        <w:t>’</w:t>
      </w:r>
      <w:r w:rsidRPr="005D5D18">
        <w:rPr>
          <w:i/>
          <w:szCs w:val="22"/>
          <w:lang w:val="fr-FR"/>
        </w:rPr>
        <w:t>annexe 2 des normes ST.9 et ST.80, comme indiqué au paragraphe 21, puis de publier ces normes révisées.</w:t>
      </w:r>
    </w:p>
    <w:p w14:paraId="2205F6B9" w14:textId="457D480E" w:rsidR="000F5E56" w:rsidRPr="005D5D18" w:rsidRDefault="008F0282" w:rsidP="006C46E2">
      <w:pPr>
        <w:pStyle w:val="Endofdocument-Annex"/>
        <w:spacing w:before="720"/>
        <w:rPr>
          <w:lang w:val="fr-FR"/>
        </w:rPr>
      </w:pPr>
      <w:r w:rsidRPr="005D5D18">
        <w:rPr>
          <w:lang w:val="fr-FR"/>
        </w:rPr>
        <w:t>[Fin du document]</w:t>
      </w:r>
      <w:bookmarkStart w:id="11" w:name="INTRODUCTION_"/>
      <w:bookmarkStart w:id="12" w:name="DEFINITIONS_"/>
      <w:bookmarkStart w:id="13" w:name="_bookmark0"/>
      <w:bookmarkStart w:id="14" w:name="_bookmark1"/>
      <w:bookmarkStart w:id="15" w:name="_bookmark2"/>
      <w:bookmarkStart w:id="16" w:name="LIST_OF_INID_CODES_"/>
      <w:bookmarkStart w:id="17" w:name="(10)__Registration/renewal_"/>
      <w:bookmarkStart w:id="18" w:name="(20)__Application_"/>
      <w:bookmarkStart w:id="19" w:name="(30)__Priority_"/>
      <w:bookmarkStart w:id="20" w:name="(40)__Date(s)_of_making_information_avai"/>
      <w:bookmarkStart w:id="21" w:name="(50)__Miscellaneous_Information_"/>
      <w:bookmarkStart w:id="22" w:name="(60)__Related_application(s)_and_registr"/>
      <w:bookmarkStart w:id="23" w:name="(70)__Parties_concerned_"/>
      <w:bookmarkStart w:id="24" w:name="(80)__The_Hague_Agreement_"/>
      <w:bookmarkStart w:id="25" w:name="DELETIONS_AND_AMENDMENTS_TO_THE_CODE_LIS"/>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sectPr w:rsidR="000F5E56" w:rsidRPr="005D5D18" w:rsidSect="004609A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BE8A" w14:textId="77777777" w:rsidR="008F0282" w:rsidRDefault="008F0282">
      <w:r>
        <w:separator/>
      </w:r>
    </w:p>
  </w:endnote>
  <w:endnote w:type="continuationSeparator" w:id="0">
    <w:p w14:paraId="0D0F55F6" w14:textId="77777777" w:rsidR="008F0282" w:rsidRPr="009D30E6" w:rsidRDefault="008F0282" w:rsidP="00D45252">
      <w:pPr>
        <w:rPr>
          <w:sz w:val="17"/>
          <w:szCs w:val="17"/>
        </w:rPr>
      </w:pPr>
      <w:r w:rsidRPr="009D30E6">
        <w:rPr>
          <w:sz w:val="17"/>
          <w:szCs w:val="17"/>
        </w:rPr>
        <w:separator/>
      </w:r>
    </w:p>
    <w:p w14:paraId="20616602" w14:textId="77777777" w:rsidR="008F0282" w:rsidRPr="009D30E6" w:rsidRDefault="008F0282" w:rsidP="00D45252">
      <w:pPr>
        <w:spacing w:after="60"/>
        <w:rPr>
          <w:sz w:val="17"/>
          <w:szCs w:val="17"/>
        </w:rPr>
      </w:pPr>
      <w:r w:rsidRPr="009D30E6">
        <w:rPr>
          <w:sz w:val="17"/>
          <w:szCs w:val="17"/>
        </w:rPr>
        <w:t>[Suite de la note de la page précédente]</w:t>
      </w:r>
    </w:p>
  </w:endnote>
  <w:endnote w:type="continuationNotice" w:id="1">
    <w:p w14:paraId="4C160CBE" w14:textId="77777777" w:rsidR="008F0282" w:rsidRPr="009D30E6" w:rsidRDefault="008F028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AE2D6" w14:textId="77777777" w:rsidR="008F0282" w:rsidRDefault="008F0282">
      <w:r>
        <w:separator/>
      </w:r>
    </w:p>
  </w:footnote>
  <w:footnote w:type="continuationSeparator" w:id="0">
    <w:p w14:paraId="71515F85" w14:textId="77777777" w:rsidR="008F0282" w:rsidRDefault="008F0282" w:rsidP="007461F1">
      <w:r>
        <w:separator/>
      </w:r>
    </w:p>
    <w:p w14:paraId="59CA6455" w14:textId="77777777" w:rsidR="008F0282" w:rsidRPr="009D30E6" w:rsidRDefault="008F0282" w:rsidP="007461F1">
      <w:pPr>
        <w:spacing w:after="60"/>
        <w:rPr>
          <w:sz w:val="17"/>
          <w:szCs w:val="17"/>
        </w:rPr>
      </w:pPr>
      <w:r w:rsidRPr="009D30E6">
        <w:rPr>
          <w:sz w:val="17"/>
          <w:szCs w:val="17"/>
        </w:rPr>
        <w:t>[Suite de la note de la page précédente]</w:t>
      </w:r>
    </w:p>
  </w:footnote>
  <w:footnote w:type="continuationNotice" w:id="1">
    <w:p w14:paraId="466BF26A" w14:textId="77777777" w:rsidR="008F0282" w:rsidRPr="009D30E6" w:rsidRDefault="008F0282" w:rsidP="007461F1">
      <w:pPr>
        <w:spacing w:before="60"/>
        <w:jc w:val="right"/>
        <w:rPr>
          <w:sz w:val="17"/>
          <w:szCs w:val="17"/>
        </w:rPr>
      </w:pPr>
      <w:r w:rsidRPr="009D30E6">
        <w:rPr>
          <w:sz w:val="17"/>
          <w:szCs w:val="17"/>
        </w:rPr>
        <w:t>[Suite de la note page suivante]</w:t>
      </w:r>
    </w:p>
  </w:footnote>
  <w:footnote w:id="2">
    <w:p w14:paraId="0C9662F1" w14:textId="77D9E50F" w:rsidR="008F0282" w:rsidRDefault="008F0282" w:rsidP="008F0282">
      <w:pPr>
        <w:pStyle w:val="FootnoteText"/>
      </w:pPr>
      <w:r w:rsidRPr="00C633E6">
        <w:rPr>
          <w:rStyle w:val="FootnoteReference"/>
        </w:rPr>
        <w:footnoteRef/>
      </w:r>
      <w:r>
        <w:tab/>
        <w:t xml:space="preserve">Voir le </w:t>
      </w:r>
      <w:r w:rsidR="00E17280">
        <w:t>document SC</w:t>
      </w:r>
      <w:r>
        <w:t>IT/SDWG/4/2.</w:t>
      </w:r>
    </w:p>
  </w:footnote>
  <w:footnote w:id="3">
    <w:p w14:paraId="005E731F" w14:textId="2AB8ADCB" w:rsidR="008F0282" w:rsidRDefault="008F0282" w:rsidP="008F0282">
      <w:pPr>
        <w:pStyle w:val="FootnoteText"/>
      </w:pPr>
      <w:r w:rsidRPr="00C633E6">
        <w:rPr>
          <w:rStyle w:val="FootnoteReference"/>
        </w:rPr>
        <w:footnoteRef/>
      </w:r>
      <w:r>
        <w:tab/>
        <w:t>Voir également la note de bas de page</w:t>
      </w:r>
      <w:r w:rsidR="004242C8">
        <w:t> </w:t>
      </w:r>
      <w:r>
        <w:t>4 de la norme</w:t>
      </w:r>
      <w:r w:rsidR="004242C8">
        <w:t> </w:t>
      </w:r>
      <w:r>
        <w:t>ST.3 de l</w:t>
      </w:r>
      <w:r w:rsidR="00E17280">
        <w:t>’</w:t>
      </w:r>
      <w:r>
        <w:t>OMPI.</w:t>
      </w:r>
    </w:p>
  </w:footnote>
  <w:footnote w:id="4">
    <w:p w14:paraId="42732F3F" w14:textId="15CCC94E" w:rsidR="008F0282" w:rsidRPr="00A36066" w:rsidRDefault="008F0282" w:rsidP="008F0282">
      <w:pPr>
        <w:pStyle w:val="FootnoteText"/>
      </w:pPr>
      <w:r>
        <w:rPr>
          <w:rStyle w:val="FootnoteReference"/>
        </w:rPr>
        <w:footnoteRef/>
      </w:r>
      <w:r>
        <w:tab/>
        <w:t>La norme</w:t>
      </w:r>
      <w:r w:rsidR="004242C8">
        <w:t> </w:t>
      </w:r>
      <w:r>
        <w:t>ST.87 de l</w:t>
      </w:r>
      <w:r w:rsidR="00E17280">
        <w:t>’</w:t>
      </w:r>
      <w:r>
        <w:t xml:space="preserve">OMPI </w:t>
      </w:r>
      <w:r w:rsidR="004242C8">
        <w:t>“</w:t>
      </w:r>
      <w:r>
        <w:t>Recommandation concernant l</w:t>
      </w:r>
      <w:r w:rsidR="00E17280">
        <w:t>’</w:t>
      </w:r>
      <w:r>
        <w:t>échange de données sur la situation juridique des dessins et modèles industriels</w:t>
      </w:r>
      <w:r w:rsidR="004242C8">
        <w:t>”</w:t>
      </w:r>
      <w:r>
        <w:t xml:space="preserve"> contient des codes pour la correction ou la modification des informations.</w:t>
      </w:r>
    </w:p>
  </w:footnote>
  <w:footnote w:id="5">
    <w:p w14:paraId="57E86C90" w14:textId="4636D14F" w:rsidR="008F0282" w:rsidRPr="00A36066" w:rsidRDefault="008F0282" w:rsidP="008F0282">
      <w:pPr>
        <w:pStyle w:val="FootnoteText"/>
      </w:pPr>
      <w:r>
        <w:rPr>
          <w:rStyle w:val="FootnoteReference"/>
        </w:rPr>
        <w:footnoteRef/>
      </w:r>
      <w:r>
        <w:tab/>
        <w:t>Voir le document</w:t>
      </w:r>
      <w:r w:rsidR="004242C8">
        <w:t> </w:t>
      </w:r>
      <w:r>
        <w:t>H/A/30/3.</w:t>
      </w:r>
    </w:p>
  </w:footnote>
  <w:footnote w:id="6">
    <w:p w14:paraId="0A99AF07" w14:textId="4D3B4FBE" w:rsidR="008F0282" w:rsidRPr="00E469FD" w:rsidRDefault="008F0282" w:rsidP="008F0282">
      <w:pPr>
        <w:pStyle w:val="FootnoteText"/>
      </w:pPr>
      <w:r>
        <w:rPr>
          <w:rStyle w:val="FootnoteReference"/>
        </w:rPr>
        <w:footnoteRef/>
      </w:r>
      <w:r>
        <w:tab/>
        <w:t>Voir le document</w:t>
      </w:r>
      <w:r w:rsidR="004242C8">
        <w:t> </w:t>
      </w:r>
      <w:r>
        <w:t xml:space="preserve">H/LD/WG/1/3. </w:t>
      </w:r>
      <w:r w:rsidR="004242C8">
        <w:t xml:space="preserve"> </w:t>
      </w:r>
      <w:r>
        <w:t>Voir la règle 27.4) actuelle du règlement d</w:t>
      </w:r>
      <w:r w:rsidR="00E17280">
        <w:t>’</w:t>
      </w:r>
      <w:r>
        <w:t>exécution du Protocole relatif à l</w:t>
      </w:r>
      <w:r w:rsidR="00E17280">
        <w:t>’</w:t>
      </w:r>
      <w:r>
        <w:t>Arrangement de Madrid concernant l</w:t>
      </w:r>
      <w:r w:rsidR="00E17280">
        <w:t>’</w:t>
      </w:r>
      <w:r>
        <w:t>enregistrement international des marques.</w:t>
      </w:r>
    </w:p>
  </w:footnote>
  <w:footnote w:id="7">
    <w:p w14:paraId="44DC436F" w14:textId="216E5688" w:rsidR="008F0282" w:rsidRDefault="008F0282" w:rsidP="008F0282">
      <w:pPr>
        <w:pStyle w:val="FootnoteText"/>
      </w:pPr>
      <w:r>
        <w:rPr>
          <w:rStyle w:val="FootnoteReference"/>
        </w:rPr>
        <w:footnoteRef/>
      </w:r>
      <w:r>
        <w:tab/>
        <w:t xml:space="preserve">Voir le </w:t>
      </w:r>
      <w:r w:rsidR="00E17280">
        <w:t xml:space="preserve">document </w:t>
      </w:r>
      <w:bookmarkStart w:id="8" w:name="_Hlk165283115"/>
      <w:r w:rsidR="00E17280">
        <w:t>PC</w:t>
      </w:r>
      <w:r>
        <w:t>IPI/EXEC/XVIII</w:t>
      </w:r>
      <w:bookmarkEnd w:id="8"/>
      <w:r>
        <w:t>/10.</w:t>
      </w:r>
    </w:p>
  </w:footnote>
  <w:footnote w:id="8">
    <w:p w14:paraId="5113D363" w14:textId="08A3A12F" w:rsidR="008F0282" w:rsidRDefault="008F0282" w:rsidP="008F0282">
      <w:pPr>
        <w:pStyle w:val="FootnoteText"/>
      </w:pPr>
      <w:r>
        <w:rPr>
          <w:rStyle w:val="FootnoteReference"/>
        </w:rPr>
        <w:footnoteRef/>
      </w:r>
      <w:r>
        <w:tab/>
        <w:t>Par exemple, voir l</w:t>
      </w:r>
      <w:r w:rsidR="00E17280">
        <w:t>’</w:t>
      </w:r>
      <w:r>
        <w:t>article</w:t>
      </w:r>
      <w:r w:rsidR="004242C8">
        <w:t> </w:t>
      </w:r>
      <w:r>
        <w:t>2 de l</w:t>
      </w:r>
      <w:r w:rsidR="00E17280">
        <w:t>’</w:t>
      </w:r>
      <w:r>
        <w:t xml:space="preserve">Acte </w:t>
      </w:r>
      <w:r w:rsidR="002C4AD2">
        <w:t>de 1999</w:t>
      </w:r>
      <w:r>
        <w:t xml:space="preserve"> et la règle</w:t>
      </w:r>
      <w:r w:rsidR="004242C8">
        <w:t> </w:t>
      </w:r>
      <w:r>
        <w:t>1.1)x) et xi)</w:t>
      </w:r>
      <w:r w:rsidR="009C0891">
        <w:t> </w:t>
      </w:r>
      <w:r>
        <w:t>du règlement d</w:t>
      </w:r>
      <w:r w:rsidR="00E17280">
        <w:t>’</w:t>
      </w:r>
      <w:r>
        <w:t>exécution commun.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B3BBE" w14:textId="7D30671D" w:rsidR="00F16975" w:rsidRDefault="008F0282" w:rsidP="00477D6B">
    <w:pPr>
      <w:jc w:val="right"/>
    </w:pPr>
    <w:bookmarkStart w:id="26" w:name="Code2"/>
    <w:bookmarkEnd w:id="26"/>
    <w:r>
      <w:t>CWS/12/18</w:t>
    </w:r>
    <w:r w:rsidR="00EF02E9">
      <w:t> Corr.</w:t>
    </w:r>
  </w:p>
  <w:p w14:paraId="44637259" w14:textId="06A36A4C" w:rsidR="004F4E31" w:rsidRDefault="00F16975" w:rsidP="00D5770B">
    <w:pPr>
      <w:spacing w:after="480"/>
      <w:jc w:val="right"/>
    </w:pPr>
    <w:r>
      <w:t>page</w:t>
    </w:r>
    <w:r w:rsidR="004242C8">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C296F64"/>
    <w:multiLevelType w:val="hybridMultilevel"/>
    <w:tmpl w:val="59628908"/>
    <w:lvl w:ilvl="0" w:tplc="65F4C664">
      <w:start w:val="1"/>
      <w:numFmt w:val="decimal"/>
      <w:lvlText w:val="%1."/>
      <w:lvlJc w:val="left"/>
      <w:pPr>
        <w:ind w:left="118" w:hanging="567"/>
        <w:jc w:val="right"/>
      </w:pPr>
      <w:rPr>
        <w:rFonts w:hint="default"/>
        <w:spacing w:val="-1"/>
        <w:w w:val="100"/>
        <w:lang w:val="en-US" w:eastAsia="en-US" w:bidi="ar-SA"/>
      </w:rPr>
    </w:lvl>
    <w:lvl w:ilvl="1" w:tplc="760C4768">
      <w:start w:val="1"/>
      <w:numFmt w:val="lowerLetter"/>
      <w:lvlText w:val="(%2)"/>
      <w:lvlJc w:val="left"/>
      <w:pPr>
        <w:ind w:left="6072" w:hanging="646"/>
      </w:pPr>
      <w:rPr>
        <w:rFonts w:ascii="Arial" w:eastAsia="Arial" w:hAnsi="Arial" w:cs="Arial" w:hint="default"/>
        <w:b w:val="0"/>
        <w:bCs w:val="0"/>
        <w:i/>
        <w:iCs/>
        <w:spacing w:val="-1"/>
        <w:w w:val="100"/>
        <w:sz w:val="22"/>
        <w:szCs w:val="22"/>
        <w:lang w:val="en-US" w:eastAsia="en-US" w:bidi="ar-SA"/>
      </w:rPr>
    </w:lvl>
    <w:lvl w:ilvl="2" w:tplc="E2C66C70">
      <w:numFmt w:val="bullet"/>
      <w:lvlText w:val="•"/>
      <w:lvlJc w:val="left"/>
      <w:pPr>
        <w:ind w:left="6469" w:hanging="646"/>
      </w:pPr>
      <w:rPr>
        <w:rFonts w:hint="default"/>
        <w:lang w:val="en-US" w:eastAsia="en-US" w:bidi="ar-SA"/>
      </w:rPr>
    </w:lvl>
    <w:lvl w:ilvl="3" w:tplc="A57889B2">
      <w:numFmt w:val="bullet"/>
      <w:lvlText w:val="•"/>
      <w:lvlJc w:val="left"/>
      <w:pPr>
        <w:ind w:left="6859" w:hanging="646"/>
      </w:pPr>
      <w:rPr>
        <w:rFonts w:hint="default"/>
        <w:lang w:val="en-US" w:eastAsia="en-US" w:bidi="ar-SA"/>
      </w:rPr>
    </w:lvl>
    <w:lvl w:ilvl="4" w:tplc="FA9823E2">
      <w:numFmt w:val="bullet"/>
      <w:lvlText w:val="•"/>
      <w:lvlJc w:val="left"/>
      <w:pPr>
        <w:ind w:left="7248" w:hanging="646"/>
      </w:pPr>
      <w:rPr>
        <w:rFonts w:hint="default"/>
        <w:lang w:val="en-US" w:eastAsia="en-US" w:bidi="ar-SA"/>
      </w:rPr>
    </w:lvl>
    <w:lvl w:ilvl="5" w:tplc="0188352C">
      <w:numFmt w:val="bullet"/>
      <w:lvlText w:val="•"/>
      <w:lvlJc w:val="left"/>
      <w:pPr>
        <w:ind w:left="7638" w:hanging="646"/>
      </w:pPr>
      <w:rPr>
        <w:rFonts w:hint="default"/>
        <w:lang w:val="en-US" w:eastAsia="en-US" w:bidi="ar-SA"/>
      </w:rPr>
    </w:lvl>
    <w:lvl w:ilvl="6" w:tplc="62746F8C">
      <w:numFmt w:val="bullet"/>
      <w:lvlText w:val="•"/>
      <w:lvlJc w:val="left"/>
      <w:pPr>
        <w:ind w:left="8028" w:hanging="646"/>
      </w:pPr>
      <w:rPr>
        <w:rFonts w:hint="default"/>
        <w:lang w:val="en-US" w:eastAsia="en-US" w:bidi="ar-SA"/>
      </w:rPr>
    </w:lvl>
    <w:lvl w:ilvl="7" w:tplc="F1DC29B6">
      <w:numFmt w:val="bullet"/>
      <w:lvlText w:val="•"/>
      <w:lvlJc w:val="left"/>
      <w:pPr>
        <w:ind w:left="8417" w:hanging="646"/>
      </w:pPr>
      <w:rPr>
        <w:rFonts w:hint="default"/>
        <w:lang w:val="en-US" w:eastAsia="en-US" w:bidi="ar-SA"/>
      </w:rPr>
    </w:lvl>
    <w:lvl w:ilvl="8" w:tplc="8FF67C32">
      <w:numFmt w:val="bullet"/>
      <w:lvlText w:val="•"/>
      <w:lvlJc w:val="left"/>
      <w:pPr>
        <w:ind w:left="8807" w:hanging="646"/>
      </w:pPr>
      <w:rPr>
        <w:rFonts w:hint="default"/>
        <w:lang w:val="en-US" w:eastAsia="en-US" w:bidi="ar-SA"/>
      </w:rPr>
    </w:lvl>
  </w:abstractNum>
  <w:abstractNum w:abstractNumId="5" w15:restartNumberingAfterBreak="0">
    <w:nsid w:val="38C80A4C"/>
    <w:multiLevelType w:val="hybridMultilevel"/>
    <w:tmpl w:val="E56274C0"/>
    <w:lvl w:ilvl="0" w:tplc="D3C25BAA">
      <w:start w:val="32"/>
      <w:numFmt w:val="decimal"/>
      <w:lvlText w:val="(%1)"/>
      <w:lvlJc w:val="left"/>
      <w:pPr>
        <w:ind w:left="1500" w:hanging="38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6" w15:restartNumberingAfterBreak="0">
    <w:nsid w:val="3D7205A4"/>
    <w:multiLevelType w:val="hybridMultilevel"/>
    <w:tmpl w:val="44A4AED4"/>
    <w:lvl w:ilvl="0" w:tplc="3B7A3226">
      <w:start w:val="33"/>
      <w:numFmt w:val="decimal"/>
      <w:lvlText w:val="(%1)"/>
      <w:lvlJc w:val="left"/>
      <w:pPr>
        <w:ind w:left="1834" w:hanging="380"/>
      </w:pPr>
      <w:rPr>
        <w:rFonts w:hint="default"/>
      </w:rPr>
    </w:lvl>
    <w:lvl w:ilvl="1" w:tplc="04090019" w:tentative="1">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abstractNum w:abstractNumId="7" w15:restartNumberingAfterBreak="0">
    <w:nsid w:val="406654CE"/>
    <w:multiLevelType w:val="hybridMultilevel"/>
    <w:tmpl w:val="CAB62994"/>
    <w:lvl w:ilvl="0" w:tplc="D2D48C04">
      <w:start w:val="80"/>
      <w:numFmt w:val="decimal"/>
      <w:lvlText w:val="(%1)"/>
      <w:lvlJc w:val="left"/>
      <w:pPr>
        <w:ind w:left="1738" w:hanging="568"/>
        <w:jc w:val="right"/>
      </w:pPr>
      <w:rPr>
        <w:rFonts w:hint="default"/>
        <w:spacing w:val="-1"/>
        <w:w w:val="100"/>
        <w:lang w:val="en-US" w:eastAsia="en-US" w:bidi="ar-SA"/>
      </w:rPr>
    </w:lvl>
    <w:lvl w:ilvl="1" w:tplc="5D1C7AA8">
      <w:start w:val="1"/>
      <w:numFmt w:val="upperRoman"/>
      <w:lvlText w:val="%2"/>
      <w:lvlJc w:val="left"/>
      <w:pPr>
        <w:ind w:left="4151" w:hanging="191"/>
        <w:jc w:val="right"/>
      </w:pPr>
      <w:rPr>
        <w:rFonts w:ascii="Arial" w:eastAsia="Arial MT" w:hAnsi="Arial" w:cs="Arial" w:hint="default"/>
        <w:b w:val="0"/>
        <w:bCs w:val="0"/>
        <w:i w:val="0"/>
        <w:iCs w:val="0"/>
        <w:spacing w:val="0"/>
        <w:w w:val="100"/>
        <w:sz w:val="22"/>
        <w:szCs w:val="22"/>
        <w:lang w:val="en-US" w:eastAsia="en-US" w:bidi="ar-SA"/>
      </w:rPr>
    </w:lvl>
    <w:lvl w:ilvl="2" w:tplc="42729E52">
      <w:numFmt w:val="bullet"/>
      <w:lvlText w:val="•"/>
      <w:lvlJc w:val="left"/>
      <w:pPr>
        <w:ind w:left="2718" w:hanging="191"/>
      </w:pPr>
      <w:rPr>
        <w:rFonts w:hint="default"/>
        <w:lang w:val="en-US" w:eastAsia="en-US" w:bidi="ar-SA"/>
      </w:rPr>
    </w:lvl>
    <w:lvl w:ilvl="3" w:tplc="54521FE2">
      <w:numFmt w:val="bullet"/>
      <w:lvlText w:val="•"/>
      <w:lvlJc w:val="left"/>
      <w:pPr>
        <w:ind w:left="3556" w:hanging="191"/>
      </w:pPr>
      <w:rPr>
        <w:rFonts w:hint="default"/>
        <w:lang w:val="en-US" w:eastAsia="en-US" w:bidi="ar-SA"/>
      </w:rPr>
    </w:lvl>
    <w:lvl w:ilvl="4" w:tplc="93C0CD10">
      <w:numFmt w:val="bullet"/>
      <w:lvlText w:val="•"/>
      <w:lvlJc w:val="left"/>
      <w:pPr>
        <w:ind w:left="4394" w:hanging="191"/>
      </w:pPr>
      <w:rPr>
        <w:rFonts w:hint="default"/>
        <w:lang w:val="en-US" w:eastAsia="en-US" w:bidi="ar-SA"/>
      </w:rPr>
    </w:lvl>
    <w:lvl w:ilvl="5" w:tplc="75907DD6">
      <w:numFmt w:val="bullet"/>
      <w:lvlText w:val="•"/>
      <w:lvlJc w:val="left"/>
      <w:pPr>
        <w:ind w:left="5233" w:hanging="191"/>
      </w:pPr>
      <w:rPr>
        <w:rFonts w:hint="default"/>
        <w:lang w:val="en-US" w:eastAsia="en-US" w:bidi="ar-SA"/>
      </w:rPr>
    </w:lvl>
    <w:lvl w:ilvl="6" w:tplc="1F5A16A4">
      <w:numFmt w:val="bullet"/>
      <w:lvlText w:val="•"/>
      <w:lvlJc w:val="left"/>
      <w:pPr>
        <w:ind w:left="6071" w:hanging="191"/>
      </w:pPr>
      <w:rPr>
        <w:rFonts w:hint="default"/>
        <w:lang w:val="en-US" w:eastAsia="en-US" w:bidi="ar-SA"/>
      </w:rPr>
    </w:lvl>
    <w:lvl w:ilvl="7" w:tplc="FB184A4C">
      <w:numFmt w:val="bullet"/>
      <w:lvlText w:val="•"/>
      <w:lvlJc w:val="left"/>
      <w:pPr>
        <w:ind w:left="6909" w:hanging="191"/>
      </w:pPr>
      <w:rPr>
        <w:rFonts w:hint="default"/>
        <w:lang w:val="en-US" w:eastAsia="en-US" w:bidi="ar-SA"/>
      </w:rPr>
    </w:lvl>
    <w:lvl w:ilvl="8" w:tplc="BE3CBE16">
      <w:numFmt w:val="bullet"/>
      <w:lvlText w:val="•"/>
      <w:lvlJc w:val="left"/>
      <w:pPr>
        <w:ind w:left="7747" w:hanging="191"/>
      </w:pPr>
      <w:rPr>
        <w:rFonts w:hint="default"/>
        <w:lang w:val="en-US" w:eastAsia="en-US" w:bidi="ar-SA"/>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BD09F9"/>
    <w:multiLevelType w:val="hybridMultilevel"/>
    <w:tmpl w:val="98B615F2"/>
    <w:lvl w:ilvl="0" w:tplc="B24A56FC">
      <w:start w:val="53"/>
      <w:numFmt w:val="decimal"/>
      <w:lvlText w:val="(%1)"/>
      <w:lvlJc w:val="left"/>
      <w:pPr>
        <w:ind w:left="1834" w:hanging="380"/>
      </w:pPr>
      <w:rPr>
        <w:rFonts w:hint="default"/>
      </w:rPr>
    </w:lvl>
    <w:lvl w:ilvl="1" w:tplc="04090019">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abstractNum w:abstractNumId="11" w15:restartNumberingAfterBreak="0">
    <w:nsid w:val="68EE3FD1"/>
    <w:multiLevelType w:val="hybridMultilevel"/>
    <w:tmpl w:val="7848D9AC"/>
    <w:lvl w:ilvl="0" w:tplc="FFFFFFFF">
      <w:start w:val="1"/>
      <w:numFmt w:val="decimal"/>
      <w:lvlText w:val="%1."/>
      <w:lvlJc w:val="left"/>
      <w:pPr>
        <w:ind w:left="118" w:hanging="567"/>
        <w:jc w:val="right"/>
      </w:pPr>
      <w:rPr>
        <w:rFonts w:hint="default"/>
        <w:spacing w:val="-1"/>
        <w:w w:val="100"/>
        <w:lang w:val="en-US" w:eastAsia="en-US" w:bidi="ar-SA"/>
      </w:rPr>
    </w:lvl>
    <w:lvl w:ilvl="1" w:tplc="04090017">
      <w:start w:val="1"/>
      <w:numFmt w:val="lowerLetter"/>
      <w:lvlText w:val="%2)"/>
      <w:lvlJc w:val="left"/>
      <w:pPr>
        <w:ind w:left="5786" w:hanging="360"/>
      </w:pPr>
    </w:lvl>
    <w:lvl w:ilvl="2" w:tplc="FFFFFFFF">
      <w:numFmt w:val="bullet"/>
      <w:lvlText w:val="•"/>
      <w:lvlJc w:val="left"/>
      <w:pPr>
        <w:ind w:left="6469" w:hanging="646"/>
      </w:pPr>
      <w:rPr>
        <w:rFonts w:hint="default"/>
        <w:lang w:val="en-US" w:eastAsia="en-US" w:bidi="ar-SA"/>
      </w:rPr>
    </w:lvl>
    <w:lvl w:ilvl="3" w:tplc="FFFFFFFF">
      <w:numFmt w:val="bullet"/>
      <w:lvlText w:val="•"/>
      <w:lvlJc w:val="left"/>
      <w:pPr>
        <w:ind w:left="6859" w:hanging="646"/>
      </w:pPr>
      <w:rPr>
        <w:rFonts w:hint="default"/>
        <w:lang w:val="en-US" w:eastAsia="en-US" w:bidi="ar-SA"/>
      </w:rPr>
    </w:lvl>
    <w:lvl w:ilvl="4" w:tplc="FFFFFFFF">
      <w:numFmt w:val="bullet"/>
      <w:lvlText w:val="•"/>
      <w:lvlJc w:val="left"/>
      <w:pPr>
        <w:ind w:left="7248" w:hanging="646"/>
      </w:pPr>
      <w:rPr>
        <w:rFonts w:hint="default"/>
        <w:lang w:val="en-US" w:eastAsia="en-US" w:bidi="ar-SA"/>
      </w:rPr>
    </w:lvl>
    <w:lvl w:ilvl="5" w:tplc="FFFFFFFF">
      <w:numFmt w:val="bullet"/>
      <w:lvlText w:val="•"/>
      <w:lvlJc w:val="left"/>
      <w:pPr>
        <w:ind w:left="7638" w:hanging="646"/>
      </w:pPr>
      <w:rPr>
        <w:rFonts w:hint="default"/>
        <w:lang w:val="en-US" w:eastAsia="en-US" w:bidi="ar-SA"/>
      </w:rPr>
    </w:lvl>
    <w:lvl w:ilvl="6" w:tplc="FFFFFFFF">
      <w:numFmt w:val="bullet"/>
      <w:lvlText w:val="•"/>
      <w:lvlJc w:val="left"/>
      <w:pPr>
        <w:ind w:left="8028" w:hanging="646"/>
      </w:pPr>
      <w:rPr>
        <w:rFonts w:hint="default"/>
        <w:lang w:val="en-US" w:eastAsia="en-US" w:bidi="ar-SA"/>
      </w:rPr>
    </w:lvl>
    <w:lvl w:ilvl="7" w:tplc="FFFFFFFF">
      <w:numFmt w:val="bullet"/>
      <w:lvlText w:val="•"/>
      <w:lvlJc w:val="left"/>
      <w:pPr>
        <w:ind w:left="8417" w:hanging="646"/>
      </w:pPr>
      <w:rPr>
        <w:rFonts w:hint="default"/>
        <w:lang w:val="en-US" w:eastAsia="en-US" w:bidi="ar-SA"/>
      </w:rPr>
    </w:lvl>
    <w:lvl w:ilvl="8" w:tplc="FFFFFFFF">
      <w:numFmt w:val="bullet"/>
      <w:lvlText w:val="•"/>
      <w:lvlJc w:val="left"/>
      <w:pPr>
        <w:ind w:left="8807" w:hanging="646"/>
      </w:pPr>
      <w:rPr>
        <w:rFonts w:hint="default"/>
        <w:lang w:val="en-US" w:eastAsia="en-US" w:bidi="ar-SA"/>
      </w:rPr>
    </w:lvl>
  </w:abstractNum>
  <w:num w:numId="1" w16cid:durableId="1398548192">
    <w:abstractNumId w:val="2"/>
  </w:num>
  <w:num w:numId="2" w16cid:durableId="1870607316">
    <w:abstractNumId w:val="8"/>
  </w:num>
  <w:num w:numId="3" w16cid:durableId="844322595">
    <w:abstractNumId w:val="0"/>
  </w:num>
  <w:num w:numId="4" w16cid:durableId="1456631763">
    <w:abstractNumId w:val="9"/>
  </w:num>
  <w:num w:numId="5" w16cid:durableId="628778745">
    <w:abstractNumId w:val="1"/>
  </w:num>
  <w:num w:numId="6" w16cid:durableId="670451745">
    <w:abstractNumId w:val="3"/>
  </w:num>
  <w:num w:numId="7" w16cid:durableId="1148013034">
    <w:abstractNumId w:val="6"/>
  </w:num>
  <w:num w:numId="8" w16cid:durableId="1790779524">
    <w:abstractNumId w:val="5"/>
  </w:num>
  <w:num w:numId="9" w16cid:durableId="851723763">
    <w:abstractNumId w:val="10"/>
  </w:num>
  <w:num w:numId="10" w16cid:durableId="1003362430">
    <w:abstractNumId w:val="7"/>
  </w:num>
  <w:num w:numId="11" w16cid:durableId="1302541006">
    <w:abstractNumId w:val="4"/>
  </w:num>
  <w:num w:numId="12" w16cid:durableId="59056724">
    <w:abstractNumId w:val="11"/>
  </w:num>
  <w:num w:numId="13" w16cid:durableId="1001742751">
    <w:abstractNumId w:val="1"/>
  </w:num>
  <w:num w:numId="14" w16cid:durableId="22289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282"/>
    <w:rsid w:val="00011B7D"/>
    <w:rsid w:val="00023399"/>
    <w:rsid w:val="00075432"/>
    <w:rsid w:val="000F5E56"/>
    <w:rsid w:val="001352EC"/>
    <w:rsid w:val="001362EE"/>
    <w:rsid w:val="001832A6"/>
    <w:rsid w:val="00195C6E"/>
    <w:rsid w:val="00197881"/>
    <w:rsid w:val="001A2DC8"/>
    <w:rsid w:val="001B266A"/>
    <w:rsid w:val="001D3D56"/>
    <w:rsid w:val="00240654"/>
    <w:rsid w:val="002634C4"/>
    <w:rsid w:val="002C4AD2"/>
    <w:rsid w:val="002D4918"/>
    <w:rsid w:val="002E4D1A"/>
    <w:rsid w:val="002F16BC"/>
    <w:rsid w:val="002F4E68"/>
    <w:rsid w:val="00313E97"/>
    <w:rsid w:val="00315FCA"/>
    <w:rsid w:val="003845C1"/>
    <w:rsid w:val="003A1BCD"/>
    <w:rsid w:val="003F30A0"/>
    <w:rsid w:val="004008A2"/>
    <w:rsid w:val="004025DF"/>
    <w:rsid w:val="0041712B"/>
    <w:rsid w:val="00423BAF"/>
    <w:rsid w:val="00423E3E"/>
    <w:rsid w:val="004242C8"/>
    <w:rsid w:val="00427AF4"/>
    <w:rsid w:val="00460147"/>
    <w:rsid w:val="004609A8"/>
    <w:rsid w:val="004647DA"/>
    <w:rsid w:val="00477D6B"/>
    <w:rsid w:val="004B3DE9"/>
    <w:rsid w:val="004D6471"/>
    <w:rsid w:val="004F4E31"/>
    <w:rsid w:val="00525B63"/>
    <w:rsid w:val="00545B6B"/>
    <w:rsid w:val="00547476"/>
    <w:rsid w:val="00561DB8"/>
    <w:rsid w:val="00567A4C"/>
    <w:rsid w:val="005D5D18"/>
    <w:rsid w:val="005E6516"/>
    <w:rsid w:val="00605827"/>
    <w:rsid w:val="00676936"/>
    <w:rsid w:val="006B0DB5"/>
    <w:rsid w:val="006C46E2"/>
    <w:rsid w:val="006E4243"/>
    <w:rsid w:val="007461F1"/>
    <w:rsid w:val="007D6961"/>
    <w:rsid w:val="007F07CB"/>
    <w:rsid w:val="00810CEF"/>
    <w:rsid w:val="0081208D"/>
    <w:rsid w:val="008236DE"/>
    <w:rsid w:val="00842A13"/>
    <w:rsid w:val="008B2CC1"/>
    <w:rsid w:val="008E7930"/>
    <w:rsid w:val="008F0282"/>
    <w:rsid w:val="0090731E"/>
    <w:rsid w:val="00912A83"/>
    <w:rsid w:val="00966A22"/>
    <w:rsid w:val="00974CD6"/>
    <w:rsid w:val="009C0891"/>
    <w:rsid w:val="009D30E6"/>
    <w:rsid w:val="009E3F6F"/>
    <w:rsid w:val="009F499F"/>
    <w:rsid w:val="00A02BD3"/>
    <w:rsid w:val="00AA1F20"/>
    <w:rsid w:val="00AA20ED"/>
    <w:rsid w:val="00AC0AE4"/>
    <w:rsid w:val="00AD61DB"/>
    <w:rsid w:val="00B87BCF"/>
    <w:rsid w:val="00BA62D4"/>
    <w:rsid w:val="00C153FD"/>
    <w:rsid w:val="00C40E15"/>
    <w:rsid w:val="00C633E6"/>
    <w:rsid w:val="00C664C8"/>
    <w:rsid w:val="00C76A79"/>
    <w:rsid w:val="00CA15F5"/>
    <w:rsid w:val="00CA4A41"/>
    <w:rsid w:val="00CD0361"/>
    <w:rsid w:val="00CF0460"/>
    <w:rsid w:val="00D45252"/>
    <w:rsid w:val="00D45354"/>
    <w:rsid w:val="00D5770B"/>
    <w:rsid w:val="00D71B4D"/>
    <w:rsid w:val="00D75C1E"/>
    <w:rsid w:val="00D93D55"/>
    <w:rsid w:val="00DA77D5"/>
    <w:rsid w:val="00DB0349"/>
    <w:rsid w:val="00DC058D"/>
    <w:rsid w:val="00DD6A16"/>
    <w:rsid w:val="00E0091A"/>
    <w:rsid w:val="00E17280"/>
    <w:rsid w:val="00E203AA"/>
    <w:rsid w:val="00E527A5"/>
    <w:rsid w:val="00E569B6"/>
    <w:rsid w:val="00E57186"/>
    <w:rsid w:val="00E7295D"/>
    <w:rsid w:val="00E76456"/>
    <w:rsid w:val="00EE71CB"/>
    <w:rsid w:val="00EF02E9"/>
    <w:rsid w:val="00F16975"/>
    <w:rsid w:val="00F66152"/>
    <w:rsid w:val="00FC1DC4"/>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B7EF8"/>
  <w15:docId w15:val="{0587B4CD-E74E-4E81-8BAC-62D9C9DA4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1712B"/>
    <w:pPr>
      <w:keepNext/>
      <w:spacing w:before="480" w:after="240"/>
      <w:outlineLvl w:val="1"/>
    </w:pPr>
    <w:rPr>
      <w:bCs/>
      <w:iCs/>
      <w:caps/>
      <w:szCs w:val="28"/>
      <w:lang w:val="fr-FR"/>
    </w:rPr>
  </w:style>
  <w:style w:type="paragraph" w:styleId="Heading3">
    <w:name w:val="heading 3"/>
    <w:basedOn w:val="Normal"/>
    <w:next w:val="Normal"/>
    <w:qFormat/>
    <w:rsid w:val="004609A8"/>
    <w:pPr>
      <w:keepNext/>
      <w:spacing w:before="240" w:after="24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basedOn w:val="DefaultParagraphFont"/>
    <w:link w:val="FootnoteText"/>
    <w:uiPriority w:val="99"/>
    <w:rsid w:val="008F0282"/>
    <w:rPr>
      <w:rFonts w:ascii="Arial" w:eastAsia="SimSun" w:hAnsi="Arial" w:cs="Arial"/>
      <w:sz w:val="18"/>
      <w:lang w:eastAsia="zh-CN"/>
    </w:rPr>
  </w:style>
  <w:style w:type="character" w:styleId="FootnoteReference">
    <w:name w:val="footnote reference"/>
    <w:basedOn w:val="DefaultParagraphFont"/>
    <w:uiPriority w:val="99"/>
    <w:semiHidden/>
    <w:unhideWhenUsed/>
    <w:rsid w:val="008F0282"/>
    <w:rPr>
      <w:vertAlign w:val="superscript"/>
    </w:rPr>
  </w:style>
  <w:style w:type="character" w:customStyle="1" w:styleId="BodyTextChar">
    <w:name w:val="Body Text Char"/>
    <w:basedOn w:val="DefaultParagraphFont"/>
    <w:link w:val="BodyText"/>
    <w:uiPriority w:val="1"/>
    <w:rsid w:val="008F0282"/>
    <w:rPr>
      <w:rFonts w:ascii="Arial" w:eastAsia="SimSun" w:hAnsi="Arial" w:cs="Arial"/>
      <w:sz w:val="22"/>
      <w:lang w:eastAsia="zh-CN"/>
    </w:rPr>
  </w:style>
  <w:style w:type="character" w:customStyle="1" w:styleId="Heading2Char">
    <w:name w:val="Heading 2 Char"/>
    <w:basedOn w:val="DefaultParagraphFont"/>
    <w:link w:val="Heading2"/>
    <w:uiPriority w:val="9"/>
    <w:rsid w:val="0041712B"/>
    <w:rPr>
      <w:rFonts w:ascii="Arial" w:eastAsia="SimSun" w:hAnsi="Arial" w:cs="Arial"/>
      <w:bCs/>
      <w:iCs/>
      <w:caps/>
      <w:sz w:val="22"/>
      <w:szCs w:val="28"/>
      <w:lang w:val="fr-FR" w:eastAsia="zh-CN"/>
    </w:rPr>
  </w:style>
  <w:style w:type="character" w:customStyle="1" w:styleId="ONUMEChar">
    <w:name w:val="ONUM E Char"/>
    <w:basedOn w:val="DefaultParagraphFont"/>
    <w:link w:val="ONUME"/>
    <w:rsid w:val="008F0282"/>
    <w:rPr>
      <w:rFonts w:ascii="Arial" w:eastAsia="SimSun" w:hAnsi="Arial" w:cs="Arial"/>
      <w:sz w:val="22"/>
      <w:lang w:eastAsia="zh-CN"/>
    </w:rPr>
  </w:style>
  <w:style w:type="paragraph" w:customStyle="1" w:styleId="Endofdocument">
    <w:name w:val="End of document"/>
    <w:basedOn w:val="Normal"/>
    <w:rsid w:val="008F0282"/>
    <w:pPr>
      <w:spacing w:line="260" w:lineRule="atLeast"/>
      <w:ind w:left="5534"/>
    </w:pPr>
    <w:rPr>
      <w:rFonts w:eastAsia="Times New Roman" w:cs="Times New Roman"/>
      <w:sz w:val="20"/>
      <w:lang w:val="fr-FR" w:eastAsia="en-US"/>
    </w:rPr>
  </w:style>
  <w:style w:type="character" w:styleId="Hyperlink">
    <w:name w:val="Hyperlink"/>
    <w:basedOn w:val="DefaultParagraphFont"/>
    <w:semiHidden/>
    <w:unhideWhenUsed/>
    <w:rsid w:val="00AA20ED"/>
    <w:rPr>
      <w:color w:val="0000FF" w:themeColor="hyperlink"/>
      <w:u w:val="single"/>
    </w:rPr>
  </w:style>
  <w:style w:type="paragraph" w:styleId="Revision">
    <w:name w:val="Revision"/>
    <w:hidden/>
    <w:uiPriority w:val="99"/>
    <w:semiHidden/>
    <w:rsid w:val="004609A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ic.wipo.int/otcsdav/nodes/20667095/C__Users_francis_AppData_Roaming_OpenText_OTEdit_EC_kic_c20667095_03-03-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B5F25-7553-4C62-8EBE-A2F7B4A0D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(F).dotm</Template>
  <TotalTime>5</TotalTime>
  <Pages>6</Pages>
  <Words>2464</Words>
  <Characters>12821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CWS/12/18</vt:lpstr>
    </vt:vector>
  </TitlesOfParts>
  <Company>WIPO</Company>
  <LinksUpToDate>false</LinksUpToDate>
  <CharactersWithSpaces>15255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CWS/12/18 CORR.</dc:title>
  <dc:creator>WIPO</dc:creator>
  <cp:keywords>CWS/12</cp:keywords>
  <cp:lastModifiedBy>BLANCHET Gaspard</cp:lastModifiedBy>
  <cp:revision>8</cp:revision>
  <cp:lastPrinted>2011-05-19T12:37:00Z</cp:lastPrinted>
  <dcterms:created xsi:type="dcterms:W3CDTF">2024-07-25T10:59:00Z</dcterms:created>
  <dcterms:modified xsi:type="dcterms:W3CDTF">2024-07-25T14:32:00Z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2024-07-22T10:35:16Z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c3ce4348-a545-4efd-9425-b17e768e6bef</vt:lpwstr>
  </property>
  <property fmtid="{D5CDD505-2E9C-101B-9397-08002B2CF9AE}" pid="14" name="MSIP_Label_20773ee6-353b-4fb9-a59d-0b94c8c67bea_ContentBits">
    <vt:lpwstr>0</vt:lpwstr>
  </property>
</Properties>
</file>