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56" w:rsidRPr="000729D4" w:rsidRDefault="000729D4" w:rsidP="00AE69CC">
      <w:pPr>
        <w:pStyle w:val="Heading1"/>
        <w:spacing w:before="0" w:after="220"/>
        <w:rPr>
          <w:lang w:val="fr-FR" w:eastAsia="en-GB"/>
        </w:rPr>
      </w:pPr>
      <w:r>
        <w:rPr>
          <w:lang w:val="fr-FR" w:eastAsia="en-GB"/>
        </w:rPr>
        <w:t>É</w:t>
      </w:r>
      <w:r w:rsidRPr="000729D4">
        <w:rPr>
          <w:lang w:val="fr-FR" w:eastAsia="en-GB"/>
        </w:rPr>
        <w:t>tude sur la normalisation des noms des déposants</w:t>
      </w:r>
    </w:p>
    <w:p w:rsidR="0093510C" w:rsidRDefault="00BF1281" w:rsidP="00AE69CC">
      <w:pPr>
        <w:spacing w:after="220"/>
        <w:rPr>
          <w:i/>
          <w:lang w:val="fr-FR"/>
        </w:rPr>
      </w:pPr>
      <w:r w:rsidRPr="000729D4">
        <w:rPr>
          <w:i/>
          <w:lang w:val="fr-FR"/>
        </w:rPr>
        <w:t>Établie par le Bureau internationa</w:t>
      </w:r>
      <w:r w:rsidR="00581750" w:rsidRPr="000729D4">
        <w:rPr>
          <w:i/>
          <w:lang w:val="fr-FR"/>
        </w:rPr>
        <w:t>l</w:t>
      </w:r>
    </w:p>
    <w:p w:rsidR="00B601AE" w:rsidRDefault="000729D4" w:rsidP="00AE69CC">
      <w:pPr>
        <w:pStyle w:val="Heading2"/>
        <w:spacing w:before="0"/>
        <w:rPr>
          <w:lang w:val="fr-FR"/>
        </w:rPr>
      </w:pPr>
      <w:r>
        <w:rPr>
          <w:lang w:val="fr-FR"/>
        </w:rPr>
        <w:t>I</w:t>
      </w:r>
      <w:r w:rsidRPr="000729D4">
        <w:rPr>
          <w:lang w:val="fr-FR"/>
        </w:rPr>
        <w:t>ntroduction et généralités</w:t>
      </w:r>
    </w:p>
    <w:p w:rsidR="008B4F6D" w:rsidRPr="000729D4" w:rsidRDefault="00A00288" w:rsidP="00AE69CC">
      <w:pPr>
        <w:pStyle w:val="ONUMFS"/>
        <w:rPr>
          <w:lang w:val="fr-FR"/>
        </w:rPr>
      </w:pPr>
      <w:r w:rsidRPr="000729D4">
        <w:rPr>
          <w:lang w:val="fr-FR"/>
        </w:rPr>
        <w:t>Le volume de</w:t>
      </w:r>
      <w:r w:rsidR="00093A9C" w:rsidRPr="000729D4">
        <w:rPr>
          <w:lang w:val="fr-FR"/>
        </w:rPr>
        <w:t xml:space="preserve">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 xml:space="preserve">information et </w:t>
      </w:r>
      <w:proofErr w:type="gramStart"/>
      <w:r w:rsidRPr="000729D4">
        <w:rPr>
          <w:lang w:val="fr-FR"/>
        </w:rPr>
        <w:t>de la documentation produites</w:t>
      </w:r>
      <w:proofErr w:type="gramEnd"/>
      <w:r w:rsidRPr="000729D4">
        <w:rPr>
          <w:lang w:val="fr-FR"/>
        </w:rPr>
        <w:t xml:space="preserve"> à travers le monde par les offices de propriété industrielle est en constante augmentati</w:t>
      </w:r>
      <w:r w:rsidR="000729D4" w:rsidRPr="000729D4">
        <w:rPr>
          <w:lang w:val="fr-FR"/>
        </w:rPr>
        <w:t>on.  Ce</w:t>
      </w:r>
      <w:r w:rsidR="0099501C" w:rsidRPr="000729D4">
        <w:rPr>
          <w:lang w:val="fr-FR"/>
        </w:rPr>
        <w:t>la s</w:t>
      </w:r>
      <w:r w:rsidR="006401A6" w:rsidRPr="000729D4">
        <w:rPr>
          <w:lang w:val="fr-FR"/>
        </w:rPr>
        <w:t>’</w:t>
      </w:r>
      <w:r w:rsidR="0099501C" w:rsidRPr="000729D4">
        <w:rPr>
          <w:lang w:val="fr-FR"/>
        </w:rPr>
        <w:t>accompagne d</w:t>
      </w:r>
      <w:r w:rsidR="006401A6" w:rsidRPr="000729D4">
        <w:rPr>
          <w:lang w:val="fr-FR"/>
        </w:rPr>
        <w:t>’</w:t>
      </w:r>
      <w:r w:rsidR="00D56C05" w:rsidRPr="000729D4">
        <w:rPr>
          <w:lang w:val="fr-FR"/>
        </w:rPr>
        <w:t xml:space="preserve">un développement rapide de la technologie </w:t>
      </w:r>
      <w:r w:rsidR="00423676" w:rsidRPr="000729D4">
        <w:rPr>
          <w:lang w:val="fr-FR"/>
        </w:rPr>
        <w:t>mise en œuvre dans</w:t>
      </w:r>
      <w:r w:rsidR="00D56C05" w:rsidRPr="000729D4">
        <w:rPr>
          <w:lang w:val="fr-FR"/>
        </w:rPr>
        <w:t xml:space="preserve"> les bases de données de propriété industriel</w:t>
      </w:r>
      <w:r w:rsidR="000729D4" w:rsidRPr="000729D4">
        <w:rPr>
          <w:lang w:val="fr-FR"/>
        </w:rPr>
        <w:t>le.  Un</w:t>
      </w:r>
      <w:r w:rsidR="00093A9C" w:rsidRPr="000729D4">
        <w:rPr>
          <w:lang w:val="fr-FR"/>
        </w:rPr>
        <w:t>e normalisation insuffisante de</w:t>
      </w:r>
      <w:r w:rsidR="00581750" w:rsidRPr="000729D4">
        <w:rPr>
          <w:lang w:val="fr-FR"/>
        </w:rPr>
        <w:t xml:space="preserve"> l</w:t>
      </w:r>
      <w:r w:rsidR="006401A6" w:rsidRPr="000729D4">
        <w:rPr>
          <w:lang w:val="fr-FR"/>
        </w:rPr>
        <w:t>’</w:t>
      </w:r>
      <w:r w:rsidR="00581750" w:rsidRPr="000729D4">
        <w:rPr>
          <w:lang w:val="fr-FR"/>
        </w:rPr>
        <w:t xml:space="preserve">information en matière de brevets </w:t>
      </w:r>
      <w:r w:rsidR="0099501C" w:rsidRPr="000729D4">
        <w:rPr>
          <w:lang w:val="fr-FR"/>
        </w:rPr>
        <w:t>nuit à</w:t>
      </w:r>
      <w:r w:rsidR="00581750" w:rsidRPr="000729D4">
        <w:rPr>
          <w:lang w:val="fr-FR"/>
        </w:rPr>
        <w:t xml:space="preserve"> l</w:t>
      </w:r>
      <w:r w:rsidR="006401A6" w:rsidRPr="000729D4">
        <w:rPr>
          <w:lang w:val="fr-FR"/>
        </w:rPr>
        <w:t>’</w:t>
      </w:r>
      <w:r w:rsidR="00423676" w:rsidRPr="000729D4">
        <w:rPr>
          <w:lang w:val="fr-FR"/>
        </w:rPr>
        <w:t>accomplissement</w:t>
      </w:r>
      <w:r w:rsidR="00581750" w:rsidRPr="000729D4">
        <w:rPr>
          <w:lang w:val="fr-FR"/>
        </w:rPr>
        <w:t xml:space="preserve"> d</w:t>
      </w:r>
      <w:r w:rsidR="006401A6" w:rsidRPr="000729D4">
        <w:rPr>
          <w:lang w:val="fr-FR"/>
        </w:rPr>
        <w:t>’</w:t>
      </w:r>
      <w:r w:rsidR="00581750" w:rsidRPr="000729D4">
        <w:rPr>
          <w:lang w:val="fr-FR"/>
        </w:rPr>
        <w:t>un grand nombre de tâches, par exemple l</w:t>
      </w:r>
      <w:r w:rsidR="006401A6" w:rsidRPr="000729D4">
        <w:rPr>
          <w:lang w:val="fr-FR"/>
        </w:rPr>
        <w:t>’</w:t>
      </w:r>
      <w:r w:rsidR="00581750" w:rsidRPr="000729D4">
        <w:rPr>
          <w:lang w:val="fr-FR"/>
        </w:rPr>
        <w:t>évaluation des portefeuilles ou l</w:t>
      </w:r>
      <w:r w:rsidR="006401A6" w:rsidRPr="000729D4">
        <w:rPr>
          <w:lang w:val="fr-FR"/>
        </w:rPr>
        <w:t>’</w:t>
      </w:r>
      <w:r w:rsidR="00581750" w:rsidRPr="000729D4">
        <w:rPr>
          <w:lang w:val="fr-FR"/>
        </w:rPr>
        <w:t>analyse statistique des données.</w:t>
      </w:r>
    </w:p>
    <w:p w:rsidR="008B4F6D" w:rsidRPr="000729D4" w:rsidRDefault="0099501C" w:rsidP="00AE69CC">
      <w:pPr>
        <w:pStyle w:val="ONUMFS"/>
        <w:rPr>
          <w:lang w:val="fr-FR"/>
        </w:rPr>
      </w:pPr>
      <w:r w:rsidRPr="000729D4">
        <w:rPr>
          <w:lang w:val="fr-FR"/>
        </w:rPr>
        <w:t>Si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 xml:space="preserve">information relative aux déposants et à la titularité des droits de propriété industrielle était normalisée, exacte et fiable, </w:t>
      </w:r>
      <w:r w:rsidR="00B90350" w:rsidRPr="000729D4">
        <w:rPr>
          <w:lang w:val="fr-FR"/>
        </w:rPr>
        <w:t>la réalisation d</w:t>
      </w:r>
      <w:r w:rsidR="00253E65" w:rsidRPr="000729D4">
        <w:rPr>
          <w:lang w:val="fr-FR"/>
        </w:rPr>
        <w:t xml:space="preserve">es </w:t>
      </w:r>
      <w:r w:rsidR="00B90350" w:rsidRPr="000729D4">
        <w:rPr>
          <w:lang w:val="fr-FR"/>
        </w:rPr>
        <w:t>analyses statistiques s</w:t>
      </w:r>
      <w:r w:rsidR="006401A6" w:rsidRPr="000729D4">
        <w:rPr>
          <w:lang w:val="fr-FR"/>
        </w:rPr>
        <w:t>’</w:t>
      </w:r>
      <w:r w:rsidR="00B90350" w:rsidRPr="000729D4">
        <w:rPr>
          <w:lang w:val="fr-FR"/>
        </w:rPr>
        <w:t>en trouverait grandement facilitée</w:t>
      </w:r>
      <w:r w:rsidR="0024740F" w:rsidRPr="000729D4">
        <w:rPr>
          <w:lang w:val="fr-FR"/>
        </w:rPr>
        <w:t xml:space="preserve">, </w:t>
      </w:r>
      <w:r w:rsidR="00B13812" w:rsidRPr="000729D4">
        <w:rPr>
          <w:lang w:val="fr-FR"/>
        </w:rPr>
        <w:t>de même que la prise de décisions stratégiques par</w:t>
      </w:r>
      <w:r w:rsidR="0024740F" w:rsidRPr="000729D4">
        <w:rPr>
          <w:lang w:val="fr-FR"/>
        </w:rPr>
        <w:t xml:space="preserve"> les entreprises</w:t>
      </w:r>
      <w:r w:rsidR="00B13812" w:rsidRPr="000729D4">
        <w:rPr>
          <w:lang w:val="fr-FR"/>
        </w:rPr>
        <w:t>, qui pourraient ainsi plus aisément reconnaître leurs concurrents et leurs partenaires d</w:t>
      </w:r>
      <w:r w:rsidR="006401A6" w:rsidRPr="000729D4">
        <w:rPr>
          <w:lang w:val="fr-FR"/>
        </w:rPr>
        <w:t>’</w:t>
      </w:r>
      <w:r w:rsidR="00B13812" w:rsidRPr="000729D4">
        <w:rPr>
          <w:lang w:val="fr-FR"/>
        </w:rPr>
        <w:t>affaires potentiels ou évaluer le portefeuille de propriété industrielle de telle ou telle socié</w:t>
      </w:r>
      <w:r w:rsidR="000729D4" w:rsidRPr="000729D4">
        <w:rPr>
          <w:lang w:val="fr-FR"/>
        </w:rPr>
        <w:t>té.  Il</w:t>
      </w:r>
      <w:r w:rsidR="003A0696" w:rsidRPr="000729D4">
        <w:rPr>
          <w:lang w:val="fr-FR"/>
        </w:rPr>
        <w:t xml:space="preserve"> s</w:t>
      </w:r>
      <w:r w:rsidR="006401A6" w:rsidRPr="000729D4">
        <w:rPr>
          <w:lang w:val="fr-FR"/>
        </w:rPr>
        <w:t>’</w:t>
      </w:r>
      <w:r w:rsidR="003A0696" w:rsidRPr="000729D4">
        <w:rPr>
          <w:lang w:val="fr-FR"/>
        </w:rPr>
        <w:t>agit par conséquent d</w:t>
      </w:r>
      <w:r w:rsidR="006401A6" w:rsidRPr="000729D4">
        <w:rPr>
          <w:lang w:val="fr-FR"/>
        </w:rPr>
        <w:t>’</w:t>
      </w:r>
      <w:r w:rsidR="003A0696" w:rsidRPr="000729D4">
        <w:rPr>
          <w:lang w:val="fr-FR"/>
        </w:rPr>
        <w:t>un</w:t>
      </w:r>
      <w:r w:rsidR="004E0443" w:rsidRPr="000729D4">
        <w:rPr>
          <w:lang w:val="fr-FR"/>
        </w:rPr>
        <w:t xml:space="preserve"> enjeu</w:t>
      </w:r>
      <w:r w:rsidR="003A0696" w:rsidRPr="000729D4">
        <w:rPr>
          <w:lang w:val="fr-FR"/>
        </w:rPr>
        <w:t xml:space="preserve"> important pour l</w:t>
      </w:r>
      <w:r w:rsidR="006401A6" w:rsidRPr="000729D4">
        <w:rPr>
          <w:lang w:val="fr-FR"/>
        </w:rPr>
        <w:t>’</w:t>
      </w:r>
      <w:r w:rsidR="003A0696" w:rsidRPr="000729D4">
        <w:rPr>
          <w:lang w:val="fr-FR"/>
        </w:rPr>
        <w:t>ensemble de la communauté de la propriété industrielle, et en particulier, pour</w:t>
      </w:r>
      <w:r w:rsidR="00B13812" w:rsidRPr="000729D4">
        <w:rPr>
          <w:lang w:val="fr-FR"/>
        </w:rPr>
        <w:t xml:space="preserve"> </w:t>
      </w:r>
      <w:r w:rsidR="003A0696" w:rsidRPr="000729D4">
        <w:rPr>
          <w:lang w:val="fr-FR"/>
        </w:rPr>
        <w:t>les déposants et les utilisateurs de l</w:t>
      </w:r>
      <w:r w:rsidR="006401A6" w:rsidRPr="000729D4">
        <w:rPr>
          <w:lang w:val="fr-FR"/>
        </w:rPr>
        <w:t>’</w:t>
      </w:r>
      <w:r w:rsidR="003A0696" w:rsidRPr="000729D4">
        <w:rPr>
          <w:lang w:val="fr-FR"/>
        </w:rPr>
        <w:t>information en matière de propriété industrielle.</w:t>
      </w:r>
    </w:p>
    <w:p w:rsidR="0005631A" w:rsidRPr="000729D4" w:rsidRDefault="00412CE7" w:rsidP="00E559E8">
      <w:pPr>
        <w:pStyle w:val="ONUMFS"/>
        <w:spacing w:after="120"/>
        <w:rPr>
          <w:lang w:val="fr-FR"/>
        </w:rPr>
      </w:pPr>
      <w:r w:rsidRPr="000729D4">
        <w:rPr>
          <w:lang w:val="fr-FR"/>
        </w:rPr>
        <w:t xml:space="preserve">Les questions </w:t>
      </w:r>
      <w:r w:rsidR="004E0443" w:rsidRPr="000729D4">
        <w:rPr>
          <w:lang w:val="fr-FR"/>
        </w:rPr>
        <w:t>qui se posent aux</w:t>
      </w:r>
      <w:r w:rsidRPr="000729D4">
        <w:rPr>
          <w:lang w:val="fr-FR"/>
        </w:rPr>
        <w:t xml:space="preserve"> parties prenantes dans le cadre de la normalisation des noms sont très diverses</w:t>
      </w:r>
      <w:r w:rsidR="006401A6" w:rsidRPr="000729D4">
        <w:rPr>
          <w:lang w:val="fr-FR"/>
        </w:rPr>
        <w:t> :</w:t>
      </w:r>
    </w:p>
    <w:p w:rsidR="0005631A" w:rsidRPr="000729D4" w:rsidRDefault="00550005" w:rsidP="00E559E8">
      <w:pPr>
        <w:pStyle w:val="ONUMFS"/>
        <w:numPr>
          <w:ilvl w:val="0"/>
          <w:numId w:val="22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problèmes techniques tels que la correction des fautes de frappe présentes dans les demandes publiées</w:t>
      </w:r>
      <w:r w:rsidR="00703FBA" w:rsidRPr="000729D4">
        <w:rPr>
          <w:lang w:val="fr-FR"/>
        </w:rPr>
        <w:t xml:space="preserve"> ou les difficultés liées à la traduction et à la translittération des noms</w:t>
      </w:r>
      <w:r w:rsidR="00A673BF" w:rsidRPr="000729D4">
        <w:rPr>
          <w:lang w:val="fr-FR"/>
        </w:rPr>
        <w:t>;</w:t>
      </w:r>
    </w:p>
    <w:p w:rsidR="0005631A" w:rsidRPr="000729D4" w:rsidRDefault="00E047B2" w:rsidP="00E559E8">
      <w:pPr>
        <w:pStyle w:val="ONUMFS"/>
        <w:numPr>
          <w:ilvl w:val="0"/>
          <w:numId w:val="22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 xml:space="preserve">questions de procédure, </w:t>
      </w:r>
      <w:r w:rsidR="008A2E08" w:rsidRPr="000729D4">
        <w:rPr>
          <w:lang w:val="fr-FR"/>
        </w:rPr>
        <w:t xml:space="preserve">par exemple la </w:t>
      </w:r>
      <w:r w:rsidR="003F041B" w:rsidRPr="000729D4">
        <w:rPr>
          <w:lang w:val="fr-FR"/>
        </w:rPr>
        <w:t xml:space="preserve">volonté de </w:t>
      </w:r>
      <w:r w:rsidR="008A2E08" w:rsidRPr="000729D4">
        <w:rPr>
          <w:lang w:val="fr-FR"/>
        </w:rPr>
        <w:t>limitation à un seul cessionnaire par famille de brevets ou la nécessité d</w:t>
      </w:r>
      <w:r w:rsidR="006401A6" w:rsidRPr="000729D4">
        <w:rPr>
          <w:lang w:val="fr-FR"/>
        </w:rPr>
        <w:t>’</w:t>
      </w:r>
      <w:r w:rsidR="008A2E08" w:rsidRPr="000729D4">
        <w:rPr>
          <w:lang w:val="fr-FR"/>
        </w:rPr>
        <w:t>enregistrer les transferts de droits de propriété industrielle</w:t>
      </w:r>
      <w:r w:rsidR="00A673BF" w:rsidRPr="000729D4">
        <w:rPr>
          <w:lang w:val="fr-FR"/>
        </w:rPr>
        <w:t>;</w:t>
      </w:r>
    </w:p>
    <w:p w:rsidR="00A87B7F" w:rsidRPr="000729D4" w:rsidRDefault="001F7348" w:rsidP="00AE69CC">
      <w:pPr>
        <w:pStyle w:val="ONUMFS"/>
        <w:numPr>
          <w:ilvl w:val="0"/>
          <w:numId w:val="22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0729D4">
        <w:rPr>
          <w:lang w:val="fr-FR"/>
        </w:rPr>
        <w:t xml:space="preserve">considérations de droit, </w:t>
      </w:r>
      <w:r w:rsidR="00877CF7" w:rsidRPr="000729D4">
        <w:rPr>
          <w:lang w:val="fr-FR"/>
        </w:rPr>
        <w:t>par exemple l</w:t>
      </w:r>
      <w:r w:rsidR="006401A6" w:rsidRPr="000729D4">
        <w:rPr>
          <w:lang w:val="fr-FR"/>
        </w:rPr>
        <w:t>’</w:t>
      </w:r>
      <w:r w:rsidR="00877CF7" w:rsidRPr="000729D4">
        <w:rPr>
          <w:lang w:val="fr-FR"/>
        </w:rPr>
        <w:t xml:space="preserve">utilisation de </w:t>
      </w:r>
      <w:r w:rsidR="00A87B7F" w:rsidRPr="000729D4">
        <w:rPr>
          <w:lang w:val="fr-FR"/>
        </w:rPr>
        <w:t>“varia</w:t>
      </w:r>
      <w:r w:rsidR="00877CF7" w:rsidRPr="000729D4">
        <w:rPr>
          <w:lang w:val="fr-FR"/>
        </w:rPr>
        <w:t>ntes</w:t>
      </w:r>
      <w:r w:rsidR="00A87B7F" w:rsidRPr="000729D4">
        <w:rPr>
          <w:lang w:val="fr-FR"/>
        </w:rPr>
        <w:t xml:space="preserve">” </w:t>
      </w:r>
      <w:r w:rsidR="00877CF7" w:rsidRPr="000729D4">
        <w:rPr>
          <w:lang w:val="fr-FR"/>
        </w:rPr>
        <w:t>d</w:t>
      </w:r>
      <w:r w:rsidR="006401A6" w:rsidRPr="000729D4">
        <w:rPr>
          <w:lang w:val="fr-FR"/>
        </w:rPr>
        <w:t>’</w:t>
      </w:r>
      <w:r w:rsidR="00877CF7" w:rsidRPr="000729D4">
        <w:rPr>
          <w:lang w:val="fr-FR"/>
        </w:rPr>
        <w:t>un nom d</w:t>
      </w:r>
      <w:r w:rsidR="006401A6" w:rsidRPr="000729D4">
        <w:rPr>
          <w:lang w:val="fr-FR"/>
        </w:rPr>
        <w:t>’</w:t>
      </w:r>
      <w:r w:rsidR="00877CF7" w:rsidRPr="000729D4">
        <w:rPr>
          <w:lang w:val="fr-FR"/>
        </w:rPr>
        <w:t xml:space="preserve">entreprise, en raison de dispositions de la législation nationale des territoires </w:t>
      </w:r>
      <w:r w:rsidR="00B67718" w:rsidRPr="000729D4">
        <w:rPr>
          <w:lang w:val="fr-FR"/>
        </w:rPr>
        <w:t>pour</w:t>
      </w:r>
      <w:r w:rsidR="00877CF7" w:rsidRPr="000729D4">
        <w:rPr>
          <w:lang w:val="fr-FR"/>
        </w:rPr>
        <w:t xml:space="preserve"> lesquels la protection est recherchée.</w:t>
      </w:r>
    </w:p>
    <w:p w:rsidR="00FE33D4" w:rsidRPr="000729D4" w:rsidRDefault="003F041B" w:rsidP="00AE69CC">
      <w:pPr>
        <w:pStyle w:val="ONUMFS"/>
        <w:rPr>
          <w:lang w:val="fr-FR"/>
        </w:rPr>
      </w:pPr>
      <w:r w:rsidRPr="000729D4">
        <w:rPr>
          <w:lang w:val="fr-FR"/>
        </w:rPr>
        <w:t xml:space="preserve">Des ressources considérables sont investies par les parties </w:t>
      </w:r>
      <w:r w:rsidR="0059568E" w:rsidRPr="000729D4">
        <w:rPr>
          <w:lang w:val="fr-FR"/>
        </w:rPr>
        <w:t>intéress</w:t>
      </w:r>
      <w:r w:rsidRPr="000729D4">
        <w:rPr>
          <w:lang w:val="fr-FR"/>
        </w:rPr>
        <w:t>ées, notamment les offices de propriété industrielle et les fournisseurs d</w:t>
      </w:r>
      <w:r w:rsidR="002E310E" w:rsidRPr="000729D4">
        <w:rPr>
          <w:lang w:val="fr-FR"/>
        </w:rPr>
        <w:t>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information</w:t>
      </w:r>
      <w:r w:rsidR="002E310E" w:rsidRPr="000729D4">
        <w:rPr>
          <w:lang w:val="fr-FR"/>
        </w:rPr>
        <w:t xml:space="preserve"> en</w:t>
      </w:r>
      <w:r w:rsidRPr="000729D4">
        <w:rPr>
          <w:lang w:val="fr-FR"/>
        </w:rPr>
        <w:t xml:space="preserve"> matière de propriété industrielle, </w:t>
      </w:r>
      <w:r w:rsidR="008B04FD" w:rsidRPr="000729D4">
        <w:rPr>
          <w:lang w:val="fr-FR"/>
        </w:rPr>
        <w:t>pour tenter de trouver des solutions à certaines des difficultés mentionnées ci</w:t>
      </w:r>
      <w:r w:rsidR="00057587">
        <w:rPr>
          <w:lang w:val="fr-FR"/>
        </w:rPr>
        <w:noBreakHyphen/>
      </w:r>
      <w:r w:rsidR="008B04FD" w:rsidRPr="000729D4">
        <w:rPr>
          <w:lang w:val="fr-FR"/>
        </w:rPr>
        <w:t>dessus.  L</w:t>
      </w:r>
      <w:r w:rsidR="006401A6" w:rsidRPr="000729D4">
        <w:rPr>
          <w:lang w:val="fr-FR"/>
        </w:rPr>
        <w:t>’</w:t>
      </w:r>
      <w:r w:rsidR="008B04FD" w:rsidRPr="000729D4">
        <w:rPr>
          <w:lang w:val="fr-FR"/>
        </w:rPr>
        <w:t>Office coréen de la propriété intellectuelle (KIPO), par exemple, a instauré des codes de déposants</w:t>
      </w:r>
      <w:r w:rsidR="002C47DD" w:rsidRPr="000729D4">
        <w:rPr>
          <w:lang w:val="fr-FR"/>
        </w:rPr>
        <w:t xml:space="preserve">, tant pour les personnes physiques que morales, fondés respectivement sur le numéro de sécurité sociale </w:t>
      </w:r>
      <w:r w:rsidR="002E310E" w:rsidRPr="000729D4">
        <w:rPr>
          <w:lang w:val="fr-FR"/>
        </w:rPr>
        <w:t>et le numéro d</w:t>
      </w:r>
      <w:r w:rsidR="006401A6" w:rsidRPr="000729D4">
        <w:rPr>
          <w:lang w:val="fr-FR"/>
        </w:rPr>
        <w:t>’</w:t>
      </w:r>
      <w:r w:rsidR="002E310E" w:rsidRPr="000729D4">
        <w:rPr>
          <w:lang w:val="fr-FR"/>
        </w:rPr>
        <w:t>inscription au</w:t>
      </w:r>
      <w:r w:rsidR="00C772C1" w:rsidRPr="000729D4">
        <w:rPr>
          <w:lang w:val="fr-FR"/>
        </w:rPr>
        <w:t xml:space="preserve"> registre national des personnes morales;  </w:t>
      </w:r>
      <w:r w:rsidR="0059568E" w:rsidRPr="000729D4">
        <w:rPr>
          <w:lang w:val="fr-FR"/>
        </w:rPr>
        <w:t xml:space="preserve">la société </w:t>
      </w:r>
      <w:r w:rsidR="00FE33D4" w:rsidRPr="000729D4">
        <w:rPr>
          <w:lang w:val="fr-FR"/>
        </w:rPr>
        <w:t>Thomson Reuters</w:t>
      </w:r>
      <w:r w:rsidR="0059568E" w:rsidRPr="000729D4">
        <w:rPr>
          <w:lang w:val="fr-FR"/>
        </w:rPr>
        <w:t xml:space="preserve"> attribue des codes uniques aux déposants </w:t>
      </w:r>
      <w:r w:rsidR="00B32B2E" w:rsidRPr="000729D4">
        <w:rPr>
          <w:lang w:val="fr-FR"/>
        </w:rPr>
        <w:t>titulaires de</w:t>
      </w:r>
      <w:r w:rsidR="0059568E" w:rsidRPr="000729D4">
        <w:rPr>
          <w:lang w:val="fr-FR"/>
        </w:rPr>
        <w:t xml:space="preserve"> plus de 500</w:t>
      </w:r>
      <w:r w:rsidR="0047468A">
        <w:rPr>
          <w:lang w:val="fr-FR"/>
        </w:rPr>
        <w:t> </w:t>
      </w:r>
      <w:r w:rsidR="0059568E" w:rsidRPr="000729D4">
        <w:rPr>
          <w:lang w:val="fr-FR"/>
        </w:rPr>
        <w:t>demandes.</w:t>
      </w:r>
      <w:r w:rsidR="00621325" w:rsidRPr="000729D4">
        <w:rPr>
          <w:lang w:val="fr-FR"/>
        </w:rPr>
        <w:t xml:space="preserve">  </w:t>
      </w:r>
      <w:r w:rsidR="003F19A4" w:rsidRPr="000729D4">
        <w:rPr>
          <w:lang w:val="fr-FR"/>
        </w:rPr>
        <w:t>L</w:t>
      </w:r>
      <w:r w:rsidR="006401A6" w:rsidRPr="000729D4">
        <w:rPr>
          <w:lang w:val="fr-FR"/>
        </w:rPr>
        <w:t>’</w:t>
      </w:r>
      <w:r w:rsidR="003F19A4" w:rsidRPr="000729D4">
        <w:rPr>
          <w:lang w:val="fr-FR"/>
        </w:rPr>
        <w:t xml:space="preserve">Office européen des brevets (OEB) a adopté une autre </w:t>
      </w:r>
      <w:r w:rsidR="00245CF9" w:rsidRPr="000729D4">
        <w:rPr>
          <w:lang w:val="fr-FR"/>
        </w:rPr>
        <w:t>stratégie</w:t>
      </w:r>
      <w:r w:rsidR="003F19A4" w:rsidRPr="000729D4">
        <w:rPr>
          <w:lang w:val="fr-FR"/>
        </w:rPr>
        <w:t>, en collaboration avec l</w:t>
      </w:r>
      <w:r w:rsidR="006401A6" w:rsidRPr="000729D4">
        <w:rPr>
          <w:lang w:val="fr-FR"/>
        </w:rPr>
        <w:t>’</w:t>
      </w:r>
      <w:r w:rsidR="003F19A4" w:rsidRPr="000729D4">
        <w:rPr>
          <w:lang w:val="fr-FR"/>
        </w:rPr>
        <w:t>Organisation de coopération et de d</w:t>
      </w:r>
      <w:r w:rsidR="00245CF9" w:rsidRPr="000729D4">
        <w:rPr>
          <w:lang w:val="fr-FR"/>
        </w:rPr>
        <w:t xml:space="preserve">éveloppement économiques (OCDE), </w:t>
      </w:r>
      <w:r w:rsidR="006401A6" w:rsidRPr="000729D4">
        <w:rPr>
          <w:lang w:val="fr-FR"/>
        </w:rPr>
        <w:t>à savoir</w:t>
      </w:r>
      <w:r w:rsidR="00245CF9" w:rsidRPr="000729D4">
        <w:rPr>
          <w:lang w:val="fr-FR"/>
        </w:rPr>
        <w:t xml:space="preserve"> l</w:t>
      </w:r>
      <w:r w:rsidR="006401A6" w:rsidRPr="000729D4">
        <w:rPr>
          <w:lang w:val="fr-FR"/>
        </w:rPr>
        <w:t>’</w:t>
      </w:r>
      <w:r w:rsidR="00245CF9" w:rsidRPr="000729D4">
        <w:rPr>
          <w:lang w:val="fr-FR"/>
        </w:rPr>
        <w:t xml:space="preserve">élaboration </w:t>
      </w:r>
      <w:r w:rsidR="005F72FF" w:rsidRPr="000729D4">
        <w:rPr>
          <w:lang w:val="fr-FR"/>
        </w:rPr>
        <w:t>d</w:t>
      </w:r>
      <w:r w:rsidR="006401A6" w:rsidRPr="000729D4">
        <w:rPr>
          <w:lang w:val="fr-FR"/>
        </w:rPr>
        <w:t>’</w:t>
      </w:r>
      <w:r w:rsidR="005F72FF" w:rsidRPr="000729D4">
        <w:rPr>
          <w:lang w:val="fr-FR"/>
        </w:rPr>
        <w:t xml:space="preserve">un logiciel </w:t>
      </w:r>
      <w:r w:rsidR="003C7B5A" w:rsidRPr="000729D4">
        <w:rPr>
          <w:lang w:val="fr-FR"/>
        </w:rPr>
        <w:t>capable de déceler</w:t>
      </w:r>
      <w:r w:rsidR="00AC64DF" w:rsidRPr="000729D4">
        <w:rPr>
          <w:lang w:val="fr-FR"/>
        </w:rPr>
        <w:t xml:space="preserve"> les éventuelles disparités</w:t>
      </w:r>
      <w:r w:rsidR="003F19A4" w:rsidRPr="000729D4">
        <w:rPr>
          <w:lang w:val="fr-FR"/>
        </w:rPr>
        <w:t xml:space="preserve"> </w:t>
      </w:r>
      <w:r w:rsidR="003C7B5A" w:rsidRPr="000729D4">
        <w:rPr>
          <w:lang w:val="fr-FR"/>
        </w:rPr>
        <w:t xml:space="preserve">et de proposer une version </w:t>
      </w:r>
      <w:r w:rsidR="00A87B7F" w:rsidRPr="000729D4">
        <w:rPr>
          <w:lang w:val="fr-FR"/>
        </w:rPr>
        <w:t>“normali</w:t>
      </w:r>
      <w:r w:rsidR="003C7B5A" w:rsidRPr="000729D4">
        <w:rPr>
          <w:lang w:val="fr-FR"/>
        </w:rPr>
        <w:t>sée</w:t>
      </w:r>
      <w:r w:rsidR="00A87B7F" w:rsidRPr="000729D4">
        <w:rPr>
          <w:lang w:val="fr-FR"/>
        </w:rPr>
        <w:t xml:space="preserve">” </w:t>
      </w:r>
      <w:r w:rsidR="003C7B5A" w:rsidRPr="000729D4">
        <w:rPr>
          <w:lang w:val="fr-FR"/>
        </w:rPr>
        <w:t>des noms en cause</w:t>
      </w:r>
      <w:r w:rsidR="00A87B7F" w:rsidRPr="000729D4">
        <w:rPr>
          <w:lang w:val="fr-FR"/>
        </w:rPr>
        <w:t>.</w:t>
      </w:r>
    </w:p>
    <w:p w:rsidR="00E559E8" w:rsidRDefault="003C7B5A" w:rsidP="00AE69CC">
      <w:pPr>
        <w:pStyle w:val="ONUMFS"/>
        <w:rPr>
          <w:lang w:val="fr-FR"/>
        </w:rPr>
      </w:pPr>
      <w:r w:rsidRPr="000729D4">
        <w:rPr>
          <w:lang w:val="fr-FR"/>
        </w:rPr>
        <w:t>Les parties prenantes de plusieurs instances régionales et internationales s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 xml:space="preserve">efforcent actuellement de rationaliser </w:t>
      </w:r>
      <w:r w:rsidR="008D4453" w:rsidRPr="000729D4">
        <w:rPr>
          <w:lang w:val="fr-FR"/>
        </w:rPr>
        <w:t>ces problèmes afin de les résoudre de façon effica</w:t>
      </w:r>
      <w:r w:rsidR="000729D4" w:rsidRPr="000729D4">
        <w:rPr>
          <w:lang w:val="fr-FR"/>
        </w:rPr>
        <w:t>ce.  La</w:t>
      </w:r>
      <w:r w:rsidR="00C20117" w:rsidRPr="000729D4">
        <w:rPr>
          <w:lang w:val="fr-FR"/>
        </w:rPr>
        <w:t xml:space="preserve"> normalisation des noms des déposants figure </w:t>
      </w:r>
      <w:r w:rsidR="008D4453" w:rsidRPr="000729D4">
        <w:rPr>
          <w:lang w:val="fr-FR"/>
        </w:rPr>
        <w:t>ainsi</w:t>
      </w:r>
      <w:r w:rsidR="00C20117" w:rsidRPr="000729D4">
        <w:rPr>
          <w:lang w:val="fr-FR"/>
        </w:rPr>
        <w:t xml:space="preserve"> à l</w:t>
      </w:r>
      <w:r w:rsidR="006401A6" w:rsidRPr="000729D4">
        <w:rPr>
          <w:lang w:val="fr-FR"/>
        </w:rPr>
        <w:t>’</w:t>
      </w:r>
      <w:r w:rsidR="00C20117" w:rsidRPr="000729D4">
        <w:rPr>
          <w:lang w:val="fr-FR"/>
        </w:rPr>
        <w:t>ordre du jour des offices de propriété industrielle de l</w:t>
      </w:r>
      <w:r w:rsidR="006401A6" w:rsidRPr="000729D4">
        <w:rPr>
          <w:lang w:val="fr-FR"/>
        </w:rPr>
        <w:t>’</w:t>
      </w:r>
      <w:r w:rsidR="00C20117" w:rsidRPr="000729D4">
        <w:rPr>
          <w:lang w:val="fr-FR"/>
        </w:rPr>
        <w:t>IP5 et d</w:t>
      </w:r>
      <w:r w:rsidR="006401A6" w:rsidRPr="000729D4">
        <w:rPr>
          <w:lang w:val="fr-FR"/>
        </w:rPr>
        <w:t>’</w:t>
      </w:r>
      <w:r w:rsidR="00C20117" w:rsidRPr="000729D4">
        <w:rPr>
          <w:lang w:val="fr-FR"/>
        </w:rPr>
        <w:t>un certain nombre d</w:t>
      </w:r>
      <w:r w:rsidR="006401A6" w:rsidRPr="000729D4">
        <w:rPr>
          <w:lang w:val="fr-FR"/>
        </w:rPr>
        <w:t>’</w:t>
      </w:r>
      <w:r w:rsidR="00C20117" w:rsidRPr="000729D4">
        <w:rPr>
          <w:lang w:val="fr-FR"/>
        </w:rPr>
        <w:t>autres;  elle fait également partie des sujets examinés dans les réunions d</w:t>
      </w:r>
      <w:r w:rsidR="006401A6" w:rsidRPr="000729D4">
        <w:rPr>
          <w:lang w:val="fr-FR"/>
        </w:rPr>
        <w:t>’</w:t>
      </w:r>
      <w:r w:rsidR="00C20117" w:rsidRPr="000729D4">
        <w:rPr>
          <w:lang w:val="fr-FR"/>
        </w:rPr>
        <w:t>utilisateurs d</w:t>
      </w:r>
      <w:r w:rsidR="008D4453" w:rsidRPr="000729D4">
        <w:rPr>
          <w:lang w:val="fr-FR"/>
        </w:rPr>
        <w:t>e l</w:t>
      </w:r>
      <w:r w:rsidR="006401A6" w:rsidRPr="000729D4">
        <w:rPr>
          <w:lang w:val="fr-FR"/>
        </w:rPr>
        <w:t>’</w:t>
      </w:r>
      <w:r w:rsidR="00C20117" w:rsidRPr="000729D4">
        <w:rPr>
          <w:lang w:val="fr-FR"/>
        </w:rPr>
        <w:t>information en matière de propriété industrielle.</w:t>
      </w:r>
    </w:p>
    <w:p w:rsidR="00E559E8" w:rsidRDefault="00E559E8" w:rsidP="00E559E8">
      <w:pPr>
        <w:rPr>
          <w:lang w:val="fr-FR"/>
        </w:rPr>
      </w:pPr>
      <w:r>
        <w:rPr>
          <w:lang w:val="fr-FR"/>
        </w:rPr>
        <w:br w:type="page"/>
      </w:r>
    </w:p>
    <w:p w:rsidR="00ED218C" w:rsidRPr="000729D4" w:rsidRDefault="00C20117" w:rsidP="00AE69CC">
      <w:pPr>
        <w:pStyle w:val="ONUMFS"/>
        <w:rPr>
          <w:lang w:val="fr-FR"/>
        </w:rPr>
      </w:pPr>
      <w:r w:rsidRPr="000729D4">
        <w:rPr>
          <w:lang w:val="fr-FR"/>
        </w:rPr>
        <w:t>En ce qui concerne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 xml:space="preserve">OMPI, des travaux ont été entrepris au sein des organes </w:t>
      </w:r>
      <w:r w:rsidR="006B1C5A" w:rsidRPr="000729D4">
        <w:rPr>
          <w:lang w:val="fr-FR"/>
        </w:rPr>
        <w:t>qui o</w:t>
      </w:r>
      <w:r w:rsidRPr="000729D4">
        <w:rPr>
          <w:lang w:val="fr-FR"/>
        </w:rPr>
        <w:t>nt précédé le Comité des normes de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OMPI (CWS) en vue de la normalisation des noms des déposants et de leur présentation dans les documents de propriété industriel</w:t>
      </w:r>
      <w:r w:rsidR="000729D4" w:rsidRPr="000729D4">
        <w:rPr>
          <w:lang w:val="fr-FR"/>
        </w:rPr>
        <w:t>le.  Ce</w:t>
      </w:r>
      <w:r w:rsidRPr="000729D4">
        <w:rPr>
          <w:lang w:val="fr-FR"/>
        </w:rPr>
        <w:t>s efforts ont conduit à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adoption par les États membres de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OMPI de la norme</w:t>
      </w:r>
      <w:r w:rsidR="00A92EE9" w:rsidRPr="000729D4">
        <w:rPr>
          <w:lang w:val="fr-FR"/>
        </w:rPr>
        <w:t> </w:t>
      </w:r>
      <w:r w:rsidRPr="000729D4">
        <w:rPr>
          <w:lang w:val="fr-FR"/>
        </w:rPr>
        <w:t>ST.20 de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OMPI, qui vise à favoriser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uniformi</w:t>
      </w:r>
      <w:r w:rsidR="000865D0" w:rsidRPr="000729D4">
        <w:rPr>
          <w:lang w:val="fr-FR"/>
        </w:rPr>
        <w:t>té d</w:t>
      </w:r>
      <w:r w:rsidR="008B100F" w:rsidRPr="000729D4">
        <w:rPr>
          <w:lang w:val="fr-FR"/>
        </w:rPr>
        <w:t>e</w:t>
      </w:r>
      <w:r w:rsidRPr="000729D4">
        <w:rPr>
          <w:lang w:val="fr-FR"/>
        </w:rPr>
        <w:t xml:space="preserve"> présentation des noms dans les index, ainsi que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adoption par les offices de propriété industrielle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une méthode uniforme de classement des noms figurant dans ces ind</w:t>
      </w:r>
      <w:r w:rsidR="000729D4" w:rsidRPr="000729D4">
        <w:rPr>
          <w:lang w:val="fr-FR"/>
        </w:rPr>
        <w:t>ex.  Bi</w:t>
      </w:r>
      <w:r w:rsidR="000865D0" w:rsidRPr="000729D4">
        <w:rPr>
          <w:lang w:val="fr-FR"/>
        </w:rPr>
        <w:t>en que l</w:t>
      </w:r>
      <w:r w:rsidR="006401A6" w:rsidRPr="000729D4">
        <w:rPr>
          <w:lang w:val="fr-FR"/>
        </w:rPr>
        <w:t>’</w:t>
      </w:r>
      <w:r w:rsidR="000865D0" w:rsidRPr="000729D4">
        <w:rPr>
          <w:lang w:val="fr-FR"/>
        </w:rPr>
        <w:t xml:space="preserve">entrée en vigueur de la </w:t>
      </w:r>
      <w:r w:rsidR="006B1C5A" w:rsidRPr="000729D4">
        <w:rPr>
          <w:lang w:val="fr-FR"/>
        </w:rPr>
        <w:t xml:space="preserve">dernière </w:t>
      </w:r>
      <w:r w:rsidR="000865D0" w:rsidRPr="000729D4">
        <w:rPr>
          <w:lang w:val="fr-FR"/>
        </w:rPr>
        <w:t>version de la norme</w:t>
      </w:r>
      <w:r w:rsidR="00A92EE9" w:rsidRPr="000729D4">
        <w:rPr>
          <w:lang w:val="fr-FR"/>
        </w:rPr>
        <w:t> </w:t>
      </w:r>
      <w:r w:rsidR="000865D0" w:rsidRPr="000729D4">
        <w:rPr>
          <w:lang w:val="fr-FR"/>
        </w:rPr>
        <w:t xml:space="preserve">ST.20 date de </w:t>
      </w:r>
      <w:r w:rsidR="006401A6" w:rsidRPr="000729D4">
        <w:rPr>
          <w:lang w:val="fr-FR"/>
        </w:rPr>
        <w:t>décembre 19</w:t>
      </w:r>
      <w:r w:rsidR="000865D0" w:rsidRPr="000729D4">
        <w:rPr>
          <w:lang w:val="fr-FR"/>
        </w:rPr>
        <w:t>93, certaines des recommandations qui y sont énoncées n</w:t>
      </w:r>
      <w:r w:rsidR="006401A6" w:rsidRPr="000729D4">
        <w:rPr>
          <w:lang w:val="fr-FR"/>
        </w:rPr>
        <w:t>’</w:t>
      </w:r>
      <w:r w:rsidR="000865D0" w:rsidRPr="000729D4">
        <w:rPr>
          <w:lang w:val="fr-FR"/>
        </w:rPr>
        <w:t>ont rien perdu de leur pertinen</w:t>
      </w:r>
      <w:r w:rsidR="000729D4" w:rsidRPr="000729D4">
        <w:rPr>
          <w:lang w:val="fr-FR"/>
        </w:rPr>
        <w:t>ce.  To</w:t>
      </w:r>
      <w:r w:rsidR="000865D0" w:rsidRPr="000729D4">
        <w:rPr>
          <w:lang w:val="fr-FR"/>
        </w:rPr>
        <w:t>utefois, étant donné que cette norme</w:t>
      </w:r>
      <w:r w:rsidR="00DC323B" w:rsidRPr="000729D4">
        <w:rPr>
          <w:lang w:val="fr-FR"/>
        </w:rPr>
        <w:t xml:space="preserve"> s</w:t>
      </w:r>
      <w:r w:rsidR="006401A6" w:rsidRPr="000729D4">
        <w:rPr>
          <w:lang w:val="fr-FR"/>
        </w:rPr>
        <w:t>’</w:t>
      </w:r>
      <w:r w:rsidR="00DC323B" w:rsidRPr="000729D4">
        <w:rPr>
          <w:lang w:val="fr-FR"/>
        </w:rPr>
        <w:t>applique principalement aux index de noms imprimés qui étaient universellement répandus à l</w:t>
      </w:r>
      <w:r w:rsidR="006401A6" w:rsidRPr="000729D4">
        <w:rPr>
          <w:lang w:val="fr-FR"/>
        </w:rPr>
        <w:t>’</w:t>
      </w:r>
      <w:r w:rsidR="00DC323B" w:rsidRPr="000729D4">
        <w:rPr>
          <w:lang w:val="fr-FR"/>
        </w:rPr>
        <w:t>époque, contrairement à ce qui est le cas aujourd</w:t>
      </w:r>
      <w:r w:rsidR="006401A6" w:rsidRPr="000729D4">
        <w:rPr>
          <w:lang w:val="fr-FR"/>
        </w:rPr>
        <w:t>’</w:t>
      </w:r>
      <w:r w:rsidR="00DC323B" w:rsidRPr="000729D4">
        <w:rPr>
          <w:lang w:val="fr-FR"/>
        </w:rPr>
        <w:t>hui, certaines de ses dispositions</w:t>
      </w:r>
      <w:r w:rsidR="000865D0" w:rsidRPr="000729D4">
        <w:rPr>
          <w:lang w:val="fr-FR"/>
        </w:rPr>
        <w:t xml:space="preserve"> </w:t>
      </w:r>
      <w:r w:rsidR="00DC323B" w:rsidRPr="000729D4">
        <w:rPr>
          <w:lang w:val="fr-FR"/>
        </w:rPr>
        <w:t xml:space="preserve">et </w:t>
      </w:r>
      <w:r w:rsidR="00AC5968" w:rsidRPr="000729D4">
        <w:rPr>
          <w:lang w:val="fr-FR"/>
        </w:rPr>
        <w:t>des références auxquelles elle renvoie sont périmées et pourraient faire l</w:t>
      </w:r>
      <w:r w:rsidR="006401A6" w:rsidRPr="000729D4">
        <w:rPr>
          <w:lang w:val="fr-FR"/>
        </w:rPr>
        <w:t>’</w:t>
      </w:r>
      <w:r w:rsidR="00AC5968" w:rsidRPr="000729D4">
        <w:rPr>
          <w:lang w:val="fr-FR"/>
        </w:rPr>
        <w:t>objet d</w:t>
      </w:r>
      <w:r w:rsidR="006401A6" w:rsidRPr="000729D4">
        <w:rPr>
          <w:lang w:val="fr-FR"/>
        </w:rPr>
        <w:t>’</w:t>
      </w:r>
      <w:r w:rsidR="00AC5968" w:rsidRPr="000729D4">
        <w:rPr>
          <w:lang w:val="fr-FR"/>
        </w:rPr>
        <w:t>une révision.</w:t>
      </w:r>
    </w:p>
    <w:p w:rsidR="00EF6730" w:rsidRPr="000729D4" w:rsidRDefault="00027940" w:rsidP="00AE69CC">
      <w:pPr>
        <w:pStyle w:val="ONUMFS"/>
        <w:rPr>
          <w:lang w:val="fr-FR"/>
        </w:rPr>
      </w:pPr>
      <w:r w:rsidRPr="000729D4">
        <w:rPr>
          <w:lang w:val="fr-FR"/>
        </w:rPr>
        <w:t>Le Bureau international de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OMPI a également mis en œuvre un procédé de normalisation des noms des déposants dans ses rapports statistiques relatifs aux systèmes</w:t>
      </w:r>
      <w:r w:rsidR="006401A6" w:rsidRPr="000729D4">
        <w:rPr>
          <w:lang w:val="fr-FR"/>
        </w:rPr>
        <w:t xml:space="preserve"> du PCT</w:t>
      </w:r>
      <w:r w:rsidRPr="000729D4">
        <w:rPr>
          <w:lang w:val="fr-FR"/>
        </w:rPr>
        <w:t xml:space="preserve"> et de Madr</w:t>
      </w:r>
      <w:r w:rsidR="000729D4" w:rsidRPr="000729D4">
        <w:rPr>
          <w:lang w:val="fr-FR"/>
        </w:rPr>
        <w:t>id.  La</w:t>
      </w:r>
      <w:r w:rsidRPr="000729D4">
        <w:rPr>
          <w:lang w:val="fr-FR"/>
        </w:rPr>
        <w:t xml:space="preserve"> méthode adoptée</w:t>
      </w:r>
      <w:r w:rsidR="003E183C" w:rsidRPr="000729D4">
        <w:rPr>
          <w:lang w:val="fr-FR"/>
        </w:rPr>
        <w:t xml:space="preserve"> est fondée sur un calcul de similitude entre les noms et adresses des déposants, auquel s</w:t>
      </w:r>
      <w:r w:rsidR="006401A6" w:rsidRPr="000729D4">
        <w:rPr>
          <w:lang w:val="fr-FR"/>
        </w:rPr>
        <w:t>’</w:t>
      </w:r>
      <w:r w:rsidR="003E183C" w:rsidRPr="000729D4">
        <w:rPr>
          <w:lang w:val="fr-FR"/>
        </w:rPr>
        <w:t>ajoute une recherche par mots clés pour les principaux déposants.</w:t>
      </w:r>
    </w:p>
    <w:p w:rsidR="003C428A" w:rsidRPr="000729D4" w:rsidRDefault="00992550" w:rsidP="00AE69CC">
      <w:pPr>
        <w:pStyle w:val="ONUMFS"/>
        <w:rPr>
          <w:lang w:val="fr-FR"/>
        </w:rPr>
      </w:pPr>
      <w:r w:rsidRPr="000729D4">
        <w:rPr>
          <w:lang w:val="fr-FR"/>
        </w:rPr>
        <w:t xml:space="preserve">En </w:t>
      </w:r>
      <w:r w:rsidR="006401A6" w:rsidRPr="000729D4">
        <w:rPr>
          <w:lang w:val="fr-FR"/>
        </w:rPr>
        <w:t>septembre 20</w:t>
      </w:r>
      <w:r w:rsidRPr="000729D4">
        <w:rPr>
          <w:lang w:val="fr-FR"/>
        </w:rPr>
        <w:t>16, le Bureau international de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OMPI a organisé un atelier sur la normalisation des noms des déposan</w:t>
      </w:r>
      <w:r w:rsidR="000729D4" w:rsidRPr="000729D4">
        <w:rPr>
          <w:lang w:val="fr-FR"/>
        </w:rPr>
        <w:t>ts.  Ce</w:t>
      </w:r>
      <w:r w:rsidR="005B05F3" w:rsidRPr="000729D4">
        <w:rPr>
          <w:lang w:val="fr-FR"/>
        </w:rPr>
        <w:t>t atelier avait pour principal objectif de définir les priorités relatives à la normalisation des noms et de déterminer de quelle manière l</w:t>
      </w:r>
      <w:r w:rsidR="006401A6" w:rsidRPr="000729D4">
        <w:rPr>
          <w:lang w:val="fr-FR"/>
        </w:rPr>
        <w:t>’</w:t>
      </w:r>
      <w:r w:rsidR="005B05F3" w:rsidRPr="000729D4">
        <w:rPr>
          <w:lang w:val="fr-FR"/>
        </w:rPr>
        <w:t>OMPI</w:t>
      </w:r>
      <w:r w:rsidRPr="000729D4">
        <w:rPr>
          <w:lang w:val="fr-FR"/>
        </w:rPr>
        <w:t xml:space="preserve"> </w:t>
      </w:r>
      <w:r w:rsidR="005B05F3" w:rsidRPr="000729D4">
        <w:rPr>
          <w:lang w:val="fr-FR"/>
        </w:rPr>
        <w:t>pouvait aider les offices de propriété industrielle et les autres parties prenantes à cet égard.</w:t>
      </w:r>
    </w:p>
    <w:p w:rsidR="00B601AE" w:rsidRDefault="000729D4" w:rsidP="00AE69CC">
      <w:pPr>
        <w:pStyle w:val="Heading2"/>
        <w:spacing w:before="0"/>
        <w:rPr>
          <w:lang w:val="fr-FR"/>
        </w:rPr>
      </w:pPr>
      <w:r>
        <w:rPr>
          <w:lang w:val="fr-FR"/>
        </w:rPr>
        <w:t>C</w:t>
      </w:r>
      <w:r w:rsidR="00BA21D5" w:rsidRPr="000729D4">
        <w:rPr>
          <w:lang w:val="fr-FR"/>
        </w:rPr>
        <w:t>hamp e</w:t>
      </w:r>
      <w:r w:rsidR="00D311C8" w:rsidRPr="000729D4">
        <w:rPr>
          <w:lang w:val="fr-FR"/>
        </w:rPr>
        <w:t>t objectifs</w:t>
      </w:r>
      <w:r w:rsidR="00BA21D5" w:rsidRPr="000729D4">
        <w:rPr>
          <w:lang w:val="fr-FR"/>
        </w:rPr>
        <w:t xml:space="preserve"> de l</w:t>
      </w:r>
      <w:r w:rsidR="006401A6" w:rsidRPr="000729D4">
        <w:rPr>
          <w:lang w:val="fr-FR"/>
        </w:rPr>
        <w:t>’</w:t>
      </w:r>
      <w:r w:rsidR="00BA21D5" w:rsidRPr="000729D4">
        <w:rPr>
          <w:lang w:val="fr-FR"/>
        </w:rPr>
        <w:t>étude</w:t>
      </w:r>
    </w:p>
    <w:p w:rsidR="00C7377D" w:rsidRPr="000729D4" w:rsidRDefault="00ED6D05" w:rsidP="00AE69CC">
      <w:pPr>
        <w:pStyle w:val="ONUMFS"/>
        <w:rPr>
          <w:lang w:val="fr-FR"/>
        </w:rPr>
      </w:pPr>
      <w:r w:rsidRPr="000729D4">
        <w:rPr>
          <w:lang w:val="fr-FR"/>
        </w:rPr>
        <w:t>La présente étude résume la situation en ce qui concerne la normalisation des noms des déposants dans les documents de propriété industrielle</w:t>
      </w:r>
      <w:r w:rsidR="003E5519" w:rsidRPr="000729D4">
        <w:rPr>
          <w:lang w:val="fr-FR"/>
        </w:rPr>
        <w:t xml:space="preserve">, </w:t>
      </w:r>
      <w:r w:rsidR="00F43C2E" w:rsidRPr="000729D4">
        <w:rPr>
          <w:lang w:val="fr-FR"/>
        </w:rPr>
        <w:t>et s</w:t>
      </w:r>
      <w:r w:rsidR="006401A6" w:rsidRPr="000729D4">
        <w:rPr>
          <w:lang w:val="fr-FR"/>
        </w:rPr>
        <w:t>’</w:t>
      </w:r>
      <w:r w:rsidR="00F43C2E" w:rsidRPr="000729D4">
        <w:rPr>
          <w:lang w:val="fr-FR"/>
        </w:rPr>
        <w:t>intéresse en particulier aux problèmes qui se posent et aux solutions qui se sont dégagées jusqu</w:t>
      </w:r>
      <w:r w:rsidR="006401A6" w:rsidRPr="000729D4">
        <w:rPr>
          <w:lang w:val="fr-FR"/>
        </w:rPr>
        <w:t>’</w:t>
      </w:r>
      <w:r w:rsidR="00F43C2E" w:rsidRPr="000729D4">
        <w:rPr>
          <w:lang w:val="fr-FR"/>
        </w:rPr>
        <w:t xml:space="preserve">à présent;  </w:t>
      </w:r>
      <w:r w:rsidR="00E77BF2" w:rsidRPr="000729D4">
        <w:rPr>
          <w:lang w:val="fr-FR"/>
        </w:rPr>
        <w:t xml:space="preserve">elle vise à </w:t>
      </w:r>
      <w:r w:rsidR="00D6172D" w:rsidRPr="000729D4">
        <w:rPr>
          <w:lang w:val="fr-FR"/>
        </w:rPr>
        <w:t>détermin</w:t>
      </w:r>
      <w:r w:rsidR="00E77BF2" w:rsidRPr="000729D4">
        <w:rPr>
          <w:lang w:val="fr-FR"/>
        </w:rPr>
        <w:t xml:space="preserve">er le rôle que peut </w:t>
      </w:r>
      <w:r w:rsidR="00B2047C" w:rsidRPr="000729D4">
        <w:rPr>
          <w:lang w:val="fr-FR"/>
        </w:rPr>
        <w:t>assumer</w:t>
      </w:r>
      <w:r w:rsidR="00E77BF2" w:rsidRPr="000729D4">
        <w:rPr>
          <w:lang w:val="fr-FR"/>
        </w:rPr>
        <w:t xml:space="preserve"> l</w:t>
      </w:r>
      <w:r w:rsidR="006401A6" w:rsidRPr="000729D4">
        <w:rPr>
          <w:lang w:val="fr-FR"/>
        </w:rPr>
        <w:t>’</w:t>
      </w:r>
      <w:r w:rsidR="00E77BF2" w:rsidRPr="000729D4">
        <w:rPr>
          <w:lang w:val="fr-FR"/>
        </w:rPr>
        <w:t>OMPI dans ce processus.</w:t>
      </w:r>
    </w:p>
    <w:p w:rsidR="00C7377D" w:rsidRPr="000729D4" w:rsidRDefault="00BA21D5" w:rsidP="00AE69CC">
      <w:pPr>
        <w:pStyle w:val="ONUMFS"/>
        <w:rPr>
          <w:lang w:val="fr-FR"/>
        </w:rPr>
      </w:pPr>
      <w:r w:rsidRPr="000729D4">
        <w:rPr>
          <w:lang w:val="fr-FR"/>
        </w:rPr>
        <w:t>Le champ de la présente étude se limite aux noms contenus dans les demandes de brevet</w:t>
      </w:r>
      <w:r w:rsidR="00AA4FB3" w:rsidRPr="000729D4">
        <w:rPr>
          <w:lang w:val="fr-FR"/>
        </w:rPr>
        <w:t>, et ne s</w:t>
      </w:r>
      <w:r w:rsidR="006401A6" w:rsidRPr="000729D4">
        <w:rPr>
          <w:lang w:val="fr-FR"/>
        </w:rPr>
        <w:t>’</w:t>
      </w:r>
      <w:r w:rsidR="00AA4FB3" w:rsidRPr="000729D4">
        <w:rPr>
          <w:lang w:val="fr-FR"/>
        </w:rPr>
        <w:t>étend pas aux autres types de droits de propriété intellectuel</w:t>
      </w:r>
      <w:r w:rsidR="000729D4" w:rsidRPr="000729D4">
        <w:rPr>
          <w:lang w:val="fr-FR"/>
        </w:rPr>
        <w:t>le.  Le</w:t>
      </w:r>
      <w:r w:rsidR="00AA4FB3" w:rsidRPr="000729D4">
        <w:rPr>
          <w:lang w:val="fr-FR"/>
        </w:rPr>
        <w:t>s conclusions relatives à la présentation des noms dans les demandes de brevet peuvent toutefois s</w:t>
      </w:r>
      <w:r w:rsidR="006401A6" w:rsidRPr="000729D4">
        <w:rPr>
          <w:lang w:val="fr-FR"/>
        </w:rPr>
        <w:t>’</w:t>
      </w:r>
      <w:r w:rsidR="00AA4FB3" w:rsidRPr="000729D4">
        <w:rPr>
          <w:lang w:val="fr-FR"/>
        </w:rPr>
        <w:t>appliquer</w:t>
      </w:r>
      <w:r w:rsidR="00496A1F" w:rsidRPr="000729D4">
        <w:rPr>
          <w:lang w:val="fr-FR"/>
        </w:rPr>
        <w:t xml:space="preserve"> tout autant aux marques </w:t>
      </w:r>
      <w:r w:rsidR="00D84985" w:rsidRPr="000729D4">
        <w:rPr>
          <w:lang w:val="fr-FR"/>
        </w:rPr>
        <w:t xml:space="preserve">ou </w:t>
      </w:r>
      <w:r w:rsidR="00496A1F" w:rsidRPr="000729D4">
        <w:rPr>
          <w:lang w:val="fr-FR"/>
        </w:rPr>
        <w:t>aux dessins et modèles industriels.</w:t>
      </w:r>
    </w:p>
    <w:p w:rsidR="00B601AE" w:rsidRDefault="00B601AE" w:rsidP="00AE69CC">
      <w:pPr>
        <w:pStyle w:val="Heading2"/>
        <w:spacing w:before="0"/>
        <w:rPr>
          <w:lang w:val="fr-FR"/>
        </w:rPr>
      </w:pPr>
      <w:r w:rsidRPr="000729D4">
        <w:rPr>
          <w:lang w:val="fr-FR"/>
        </w:rPr>
        <w:t>R</w:t>
      </w:r>
      <w:r w:rsidR="000729D4">
        <w:rPr>
          <w:lang w:val="fr-FR"/>
        </w:rPr>
        <w:t>é</w:t>
      </w:r>
      <w:r w:rsidRPr="000729D4">
        <w:rPr>
          <w:lang w:val="fr-FR"/>
        </w:rPr>
        <w:t>f</w:t>
      </w:r>
      <w:r w:rsidR="000729D4">
        <w:rPr>
          <w:lang w:val="fr-FR"/>
        </w:rPr>
        <w:t>é</w:t>
      </w:r>
      <w:r w:rsidRPr="000729D4">
        <w:rPr>
          <w:lang w:val="fr-FR"/>
        </w:rPr>
        <w:t>rences</w:t>
      </w:r>
    </w:p>
    <w:p w:rsidR="002B57F0" w:rsidRPr="000729D4" w:rsidRDefault="00AE4A44" w:rsidP="00AE69CC">
      <w:pPr>
        <w:pStyle w:val="ListParagraph"/>
        <w:numPr>
          <w:ilvl w:val="0"/>
          <w:numId w:val="23"/>
        </w:numPr>
        <w:spacing w:after="220"/>
        <w:ind w:left="1134" w:hanging="567"/>
        <w:contextualSpacing w:val="0"/>
        <w:rPr>
          <w:lang w:val="fr-FR"/>
        </w:rPr>
      </w:pPr>
      <w:r w:rsidRPr="000729D4">
        <w:rPr>
          <w:lang w:val="fr-FR"/>
        </w:rPr>
        <w:t>Norme</w:t>
      </w:r>
      <w:r w:rsidR="0047468A">
        <w:rPr>
          <w:lang w:val="fr-FR"/>
        </w:rPr>
        <w:t> </w:t>
      </w:r>
      <w:r w:rsidR="002B57F0" w:rsidRPr="000729D4">
        <w:rPr>
          <w:lang w:val="fr-FR"/>
        </w:rPr>
        <w:t>ST.20</w:t>
      </w:r>
      <w:r w:rsidRPr="000729D4">
        <w:rPr>
          <w:lang w:val="fr-FR"/>
        </w:rPr>
        <w:t xml:space="preserve"> de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OMPI</w:t>
      </w:r>
      <w:r w:rsidR="006401A6" w:rsidRPr="000729D4">
        <w:rPr>
          <w:lang w:val="fr-FR"/>
        </w:rPr>
        <w:t> :</w:t>
      </w:r>
      <w:r w:rsidR="009707D4" w:rsidRPr="000729D4">
        <w:rPr>
          <w:lang w:val="fr-FR"/>
        </w:rPr>
        <w:t xml:space="preserve"> “</w:t>
      </w:r>
      <w:r w:rsidRPr="000729D4">
        <w:rPr>
          <w:lang w:val="fr-FR"/>
        </w:rPr>
        <w:t>Recommandations pour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établissement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index des noms propres apparaissant sur les documents de brevet</w:t>
      </w:r>
      <w:r w:rsidR="009707D4" w:rsidRPr="000729D4">
        <w:rPr>
          <w:lang w:val="fr-FR"/>
        </w:rPr>
        <w:t>”</w:t>
      </w:r>
    </w:p>
    <w:p w:rsidR="009707D4" w:rsidRPr="000729D4" w:rsidRDefault="00D13ABD" w:rsidP="00AE69CC">
      <w:pPr>
        <w:pStyle w:val="ListParagraph"/>
        <w:numPr>
          <w:ilvl w:val="0"/>
          <w:numId w:val="23"/>
        </w:numPr>
        <w:spacing w:after="220"/>
        <w:ind w:left="1134" w:hanging="567"/>
        <w:contextualSpacing w:val="0"/>
        <w:rPr>
          <w:lang w:val="fr-FR"/>
        </w:rPr>
      </w:pPr>
      <w:r w:rsidRPr="000729D4">
        <w:rPr>
          <w:lang w:val="fr-FR"/>
        </w:rPr>
        <w:t>Documentation de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atelier sur les normes de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OMPI concernant la normalisation des noms des déposants</w:t>
      </w:r>
      <w:r w:rsidR="002A2924" w:rsidRPr="000729D4">
        <w:rPr>
          <w:lang w:val="fr-FR"/>
        </w:rPr>
        <w:t>,</w:t>
      </w:r>
      <w:r w:rsidRPr="000729D4">
        <w:rPr>
          <w:lang w:val="fr-FR"/>
        </w:rPr>
        <w:t xml:space="preserve"> tenu à Genève le </w:t>
      </w:r>
      <w:r w:rsidR="006401A6" w:rsidRPr="000729D4">
        <w:rPr>
          <w:lang w:val="fr-FR"/>
        </w:rPr>
        <w:t>5 septembre 20</w:t>
      </w:r>
      <w:r w:rsidR="009707D4" w:rsidRPr="000729D4">
        <w:rPr>
          <w:lang w:val="fr-FR"/>
        </w:rPr>
        <w:t>16</w:t>
      </w:r>
    </w:p>
    <w:p w:rsidR="00C3138D" w:rsidRPr="000729D4" w:rsidRDefault="00D13ABD" w:rsidP="00AE69CC">
      <w:pPr>
        <w:pStyle w:val="ListParagraph"/>
        <w:numPr>
          <w:ilvl w:val="0"/>
          <w:numId w:val="23"/>
        </w:numPr>
        <w:spacing w:after="220"/>
        <w:ind w:left="1134" w:hanging="567"/>
        <w:contextualSpacing w:val="0"/>
        <w:rPr>
          <w:lang w:val="fr-FR"/>
        </w:rPr>
      </w:pPr>
      <w:r w:rsidRPr="000729D4">
        <w:rPr>
          <w:lang w:val="fr-FR"/>
        </w:rPr>
        <w:t xml:space="preserve">Documentation </w:t>
      </w:r>
      <w:r w:rsidR="00485D68" w:rsidRPr="000729D4">
        <w:rPr>
          <w:lang w:val="fr-FR"/>
        </w:rPr>
        <w:t>de l</w:t>
      </w:r>
      <w:r w:rsidR="006401A6" w:rsidRPr="000729D4">
        <w:rPr>
          <w:lang w:val="fr-FR"/>
        </w:rPr>
        <w:t>’</w:t>
      </w:r>
      <w:r w:rsidR="00485D68" w:rsidRPr="000729D4">
        <w:rPr>
          <w:lang w:val="fr-FR"/>
        </w:rPr>
        <w:t>équipe d</w:t>
      </w:r>
      <w:r w:rsidR="006401A6" w:rsidRPr="000729D4">
        <w:rPr>
          <w:lang w:val="fr-FR"/>
        </w:rPr>
        <w:t>’</w:t>
      </w:r>
      <w:r w:rsidR="00485D68" w:rsidRPr="000729D4">
        <w:rPr>
          <w:lang w:val="fr-FR"/>
        </w:rPr>
        <w:t>experts du groupe de travail IMPACT</w:t>
      </w:r>
      <w:r w:rsidR="006401A6" w:rsidRPr="000729D4">
        <w:rPr>
          <w:lang w:val="fr-FR"/>
        </w:rPr>
        <w:t xml:space="preserve"> du PDG</w:t>
      </w:r>
      <w:r w:rsidR="00485D68" w:rsidRPr="000729D4">
        <w:rPr>
          <w:lang w:val="fr-FR"/>
        </w:rPr>
        <w:t xml:space="preserve"> sur les noms des déposants</w:t>
      </w:r>
    </w:p>
    <w:p w:rsidR="006E4B92" w:rsidRPr="00AE69CC" w:rsidRDefault="006E4B92" w:rsidP="00AE69CC">
      <w:pPr>
        <w:pStyle w:val="ListParagraph"/>
        <w:numPr>
          <w:ilvl w:val="0"/>
          <w:numId w:val="23"/>
        </w:numPr>
        <w:spacing w:after="220"/>
        <w:ind w:left="1134" w:hanging="567"/>
        <w:contextualSpacing w:val="0"/>
      </w:pPr>
      <w:r w:rsidRPr="00AE69CC">
        <w:t xml:space="preserve">Data production methods for harmonized patent statistics: </w:t>
      </w:r>
      <w:r w:rsidR="00DD56F8" w:rsidRPr="00AE69CC">
        <w:t xml:space="preserve"> </w:t>
      </w:r>
      <w:r w:rsidRPr="00AE69CC">
        <w:t>Patentee name harmonization, Eurostat, Commission</w:t>
      </w:r>
      <w:r w:rsidR="008736E2" w:rsidRPr="00AE69CC">
        <w:t xml:space="preserve"> </w:t>
      </w:r>
      <w:proofErr w:type="spellStart"/>
      <w:r w:rsidR="008736E2" w:rsidRPr="00AE69CC">
        <w:t>européenne</w:t>
      </w:r>
      <w:proofErr w:type="spellEnd"/>
      <w:r w:rsidRPr="00AE69CC">
        <w:t>, 2006</w:t>
      </w:r>
    </w:p>
    <w:p w:rsidR="006E4B92" w:rsidRPr="00AE69CC" w:rsidRDefault="006E4B92" w:rsidP="00AE69CC">
      <w:pPr>
        <w:pStyle w:val="ListParagraph"/>
        <w:numPr>
          <w:ilvl w:val="0"/>
          <w:numId w:val="23"/>
        </w:numPr>
        <w:spacing w:after="220"/>
        <w:ind w:left="1134" w:hanging="567"/>
        <w:contextualSpacing w:val="0"/>
      </w:pPr>
      <w:r w:rsidRPr="00AE69CC">
        <w:t xml:space="preserve">Patent statistics at Eurostat: </w:t>
      </w:r>
      <w:r w:rsidR="00DD56F8" w:rsidRPr="00AE69CC">
        <w:t xml:space="preserve"> </w:t>
      </w:r>
      <w:r w:rsidRPr="00AE69CC">
        <w:t>Methods for regionalization, Sector allocation and name harmonization, Eurostat, 2011</w:t>
      </w:r>
    </w:p>
    <w:p w:rsidR="001173AE" w:rsidRPr="000729D4" w:rsidRDefault="00513782" w:rsidP="00AE69CC">
      <w:pPr>
        <w:pStyle w:val="ListParagraph"/>
        <w:numPr>
          <w:ilvl w:val="0"/>
          <w:numId w:val="23"/>
        </w:numPr>
        <w:spacing w:after="220"/>
        <w:ind w:left="1134" w:hanging="567"/>
        <w:contextualSpacing w:val="0"/>
        <w:rPr>
          <w:lang w:val="fr-FR"/>
        </w:rPr>
      </w:pPr>
      <w:r w:rsidRPr="000729D4">
        <w:rPr>
          <w:lang w:val="fr-FR"/>
        </w:rPr>
        <w:t>Rapport sur la série de discussions</w:t>
      </w:r>
      <w:r w:rsidR="0047468A">
        <w:rPr>
          <w:lang w:val="fr-FR"/>
        </w:rPr>
        <w:t> </w:t>
      </w:r>
      <w:r w:rsidRPr="000729D4">
        <w:rPr>
          <w:lang w:val="fr-FR"/>
        </w:rPr>
        <w:t>4</w:t>
      </w:r>
      <w:r w:rsidR="006401A6" w:rsidRPr="000729D4">
        <w:rPr>
          <w:lang w:val="fr-FR"/>
        </w:rPr>
        <w:t> :</w:t>
      </w:r>
      <w:r w:rsidRPr="000729D4">
        <w:rPr>
          <w:lang w:val="fr-FR"/>
        </w:rPr>
        <w:t xml:space="preserve"> </w:t>
      </w:r>
      <w:r w:rsidR="001173AE" w:rsidRPr="000729D4">
        <w:rPr>
          <w:lang w:val="fr-FR"/>
        </w:rPr>
        <w:t>“</w:t>
      </w:r>
      <w:proofErr w:type="spellStart"/>
      <w:r w:rsidR="001173AE" w:rsidRPr="000729D4">
        <w:rPr>
          <w:lang w:val="fr-FR"/>
        </w:rPr>
        <w:t>Meaningful</w:t>
      </w:r>
      <w:proofErr w:type="spellEnd"/>
      <w:r w:rsidR="001173AE" w:rsidRPr="000729D4">
        <w:rPr>
          <w:lang w:val="fr-FR"/>
        </w:rPr>
        <w:t xml:space="preserve"> patent visualisation and </w:t>
      </w:r>
      <w:proofErr w:type="spellStart"/>
      <w:r w:rsidR="001173AE" w:rsidRPr="000729D4">
        <w:rPr>
          <w:lang w:val="fr-FR"/>
        </w:rPr>
        <w:t>name</w:t>
      </w:r>
      <w:proofErr w:type="spellEnd"/>
      <w:r w:rsidR="001173AE" w:rsidRPr="000729D4">
        <w:rPr>
          <w:lang w:val="fr-FR"/>
        </w:rPr>
        <w:t xml:space="preserve"> harmonisation – </w:t>
      </w:r>
      <w:proofErr w:type="spellStart"/>
      <w:r w:rsidR="001173AE" w:rsidRPr="000729D4">
        <w:rPr>
          <w:lang w:val="fr-FR"/>
        </w:rPr>
        <w:t>current</w:t>
      </w:r>
      <w:proofErr w:type="spellEnd"/>
      <w:r w:rsidR="001173AE" w:rsidRPr="000729D4">
        <w:rPr>
          <w:lang w:val="fr-FR"/>
        </w:rPr>
        <w:t xml:space="preserve"> practice and trends”, </w:t>
      </w:r>
      <w:r w:rsidR="00F140A4" w:rsidRPr="000729D4">
        <w:rPr>
          <w:lang w:val="fr-FR"/>
        </w:rPr>
        <w:t>conférence de l</w:t>
      </w:r>
      <w:r w:rsidR="006401A6" w:rsidRPr="000729D4">
        <w:rPr>
          <w:lang w:val="fr-FR"/>
        </w:rPr>
        <w:t>’</w:t>
      </w:r>
      <w:r w:rsidR="00F140A4" w:rsidRPr="000729D4">
        <w:rPr>
          <w:lang w:val="fr-FR"/>
        </w:rPr>
        <w:t>OEB sur l</w:t>
      </w:r>
      <w:r w:rsidR="006401A6" w:rsidRPr="000729D4">
        <w:rPr>
          <w:lang w:val="fr-FR"/>
        </w:rPr>
        <w:t>’</w:t>
      </w:r>
      <w:r w:rsidR="00F140A4" w:rsidRPr="000729D4">
        <w:rPr>
          <w:lang w:val="fr-FR"/>
        </w:rPr>
        <w:t>information en matière de brevets</w:t>
      </w:r>
      <w:r w:rsidR="001173AE" w:rsidRPr="000729D4">
        <w:rPr>
          <w:lang w:val="fr-FR"/>
        </w:rPr>
        <w:t>, 2015</w:t>
      </w:r>
    </w:p>
    <w:p w:rsidR="006E4B92" w:rsidRPr="000729D4" w:rsidRDefault="006E4B92" w:rsidP="00AE69CC">
      <w:pPr>
        <w:pStyle w:val="ListParagraph"/>
        <w:numPr>
          <w:ilvl w:val="0"/>
          <w:numId w:val="23"/>
        </w:numPr>
        <w:spacing w:after="220"/>
        <w:ind w:left="1134" w:hanging="567"/>
        <w:contextualSpacing w:val="0"/>
        <w:rPr>
          <w:lang w:val="fr-FR"/>
        </w:rPr>
      </w:pPr>
      <w:r w:rsidRPr="000729D4">
        <w:rPr>
          <w:lang w:val="fr-FR"/>
        </w:rPr>
        <w:t>KIPO, “</w:t>
      </w:r>
      <w:proofErr w:type="spellStart"/>
      <w:r w:rsidRPr="000729D4">
        <w:rPr>
          <w:lang w:val="fr-FR"/>
        </w:rPr>
        <w:t>Applicant</w:t>
      </w:r>
      <w:proofErr w:type="spellEnd"/>
      <w:r w:rsidRPr="000729D4">
        <w:rPr>
          <w:lang w:val="fr-FR"/>
        </w:rPr>
        <w:t xml:space="preserve"> </w:t>
      </w:r>
      <w:proofErr w:type="spellStart"/>
      <w:r w:rsidRPr="000729D4">
        <w:rPr>
          <w:lang w:val="fr-FR"/>
        </w:rPr>
        <w:t>name</w:t>
      </w:r>
      <w:proofErr w:type="spellEnd"/>
      <w:r w:rsidRPr="000729D4">
        <w:rPr>
          <w:lang w:val="fr-FR"/>
        </w:rPr>
        <w:t xml:space="preserve"> </w:t>
      </w:r>
      <w:proofErr w:type="spellStart"/>
      <w:r w:rsidRPr="000729D4">
        <w:rPr>
          <w:lang w:val="fr-FR"/>
        </w:rPr>
        <w:t>standardization</w:t>
      </w:r>
      <w:proofErr w:type="spellEnd"/>
      <w:r w:rsidRPr="000729D4">
        <w:rPr>
          <w:lang w:val="fr-FR"/>
        </w:rPr>
        <w:t xml:space="preserve">”, </w:t>
      </w:r>
      <w:r w:rsidR="00005B53" w:rsidRPr="000729D4">
        <w:rPr>
          <w:lang w:val="fr-FR"/>
        </w:rPr>
        <w:t xml:space="preserve">Troisième réunion du groupe de travail sur le dossier mondial </w:t>
      </w:r>
      <w:r w:rsidR="001173AE" w:rsidRPr="000729D4">
        <w:rPr>
          <w:lang w:val="fr-FR"/>
        </w:rPr>
        <w:t xml:space="preserve">(GDTF), </w:t>
      </w:r>
      <w:r w:rsidRPr="000729D4">
        <w:rPr>
          <w:lang w:val="fr-FR"/>
        </w:rPr>
        <w:t>2016</w:t>
      </w:r>
      <w:r w:rsidR="001173AE" w:rsidRPr="000729D4">
        <w:rPr>
          <w:lang w:val="fr-FR"/>
        </w:rPr>
        <w:t xml:space="preserve"> [pr</w:t>
      </w:r>
      <w:r w:rsidR="00005B53" w:rsidRPr="000729D4">
        <w:rPr>
          <w:lang w:val="fr-FR"/>
        </w:rPr>
        <w:t>é</w:t>
      </w:r>
      <w:r w:rsidR="001173AE" w:rsidRPr="000729D4">
        <w:rPr>
          <w:lang w:val="fr-FR"/>
        </w:rPr>
        <w:t>sentation]</w:t>
      </w:r>
    </w:p>
    <w:p w:rsidR="001173AE" w:rsidRPr="000729D4" w:rsidRDefault="001173AE" w:rsidP="00AE69CC">
      <w:pPr>
        <w:pStyle w:val="ListParagraph"/>
        <w:numPr>
          <w:ilvl w:val="0"/>
          <w:numId w:val="23"/>
        </w:numPr>
        <w:spacing w:after="220"/>
        <w:ind w:left="1134" w:hanging="567"/>
        <w:contextualSpacing w:val="0"/>
        <w:rPr>
          <w:lang w:val="fr-FR"/>
        </w:rPr>
      </w:pPr>
      <w:proofErr w:type="spellStart"/>
      <w:r w:rsidRPr="000729D4">
        <w:rPr>
          <w:lang w:val="fr-FR"/>
        </w:rPr>
        <w:t>Korean</w:t>
      </w:r>
      <w:proofErr w:type="spellEnd"/>
      <w:r w:rsidRPr="000729D4">
        <w:rPr>
          <w:lang w:val="fr-FR"/>
        </w:rPr>
        <w:t xml:space="preserve"> </w:t>
      </w:r>
      <w:proofErr w:type="spellStart"/>
      <w:r w:rsidRPr="000729D4">
        <w:rPr>
          <w:lang w:val="fr-FR"/>
        </w:rPr>
        <w:t>Intellectual</w:t>
      </w:r>
      <w:proofErr w:type="spellEnd"/>
      <w:r w:rsidRPr="000729D4">
        <w:rPr>
          <w:lang w:val="fr-FR"/>
        </w:rPr>
        <w:t xml:space="preserve"> </w:t>
      </w:r>
      <w:proofErr w:type="spellStart"/>
      <w:r w:rsidRPr="000729D4">
        <w:rPr>
          <w:lang w:val="fr-FR"/>
        </w:rPr>
        <w:t>Property</w:t>
      </w:r>
      <w:proofErr w:type="spellEnd"/>
      <w:r w:rsidRPr="000729D4">
        <w:rPr>
          <w:lang w:val="fr-FR"/>
        </w:rPr>
        <w:t xml:space="preserve"> Association (KINPA), “</w:t>
      </w:r>
      <w:proofErr w:type="spellStart"/>
      <w:r w:rsidRPr="000729D4">
        <w:rPr>
          <w:lang w:val="fr-FR"/>
        </w:rPr>
        <w:t>Standardized</w:t>
      </w:r>
      <w:proofErr w:type="spellEnd"/>
      <w:r w:rsidRPr="000729D4">
        <w:rPr>
          <w:lang w:val="fr-FR"/>
        </w:rPr>
        <w:t xml:space="preserve"> </w:t>
      </w:r>
      <w:proofErr w:type="spellStart"/>
      <w:r w:rsidRPr="000729D4">
        <w:rPr>
          <w:lang w:val="fr-FR"/>
        </w:rPr>
        <w:t>Applicant</w:t>
      </w:r>
      <w:proofErr w:type="spellEnd"/>
      <w:r w:rsidRPr="000729D4">
        <w:rPr>
          <w:lang w:val="fr-FR"/>
        </w:rPr>
        <w:t xml:space="preserve"> Name”, </w:t>
      </w:r>
      <w:r w:rsidR="006D51D3" w:rsidRPr="000729D4">
        <w:rPr>
          <w:lang w:val="fr-FR"/>
        </w:rPr>
        <w:t>Troisième réunion du groupe de travail sur le dossier mondial (GDTF), 2016 [présentation]</w:t>
      </w:r>
    </w:p>
    <w:p w:rsidR="001173AE" w:rsidRPr="000729D4" w:rsidRDefault="001173AE" w:rsidP="00AE69CC">
      <w:pPr>
        <w:pStyle w:val="ListParagraph"/>
        <w:numPr>
          <w:ilvl w:val="0"/>
          <w:numId w:val="23"/>
        </w:numPr>
        <w:spacing w:after="220"/>
        <w:ind w:left="1134" w:hanging="567"/>
        <w:contextualSpacing w:val="0"/>
        <w:rPr>
          <w:lang w:val="fr-FR"/>
        </w:rPr>
      </w:pPr>
      <w:r w:rsidRPr="000729D4">
        <w:rPr>
          <w:lang w:val="fr-FR"/>
        </w:rPr>
        <w:t xml:space="preserve">American </w:t>
      </w:r>
      <w:proofErr w:type="spellStart"/>
      <w:r w:rsidRPr="000729D4">
        <w:rPr>
          <w:lang w:val="fr-FR"/>
        </w:rPr>
        <w:t>Intellectual</w:t>
      </w:r>
      <w:proofErr w:type="spellEnd"/>
      <w:r w:rsidRPr="000729D4">
        <w:rPr>
          <w:lang w:val="fr-FR"/>
        </w:rPr>
        <w:t xml:space="preserve"> </w:t>
      </w:r>
      <w:proofErr w:type="spellStart"/>
      <w:r w:rsidRPr="000729D4">
        <w:rPr>
          <w:lang w:val="fr-FR"/>
        </w:rPr>
        <w:t>Property</w:t>
      </w:r>
      <w:proofErr w:type="spellEnd"/>
      <w:r w:rsidRPr="000729D4">
        <w:rPr>
          <w:lang w:val="fr-FR"/>
        </w:rPr>
        <w:t xml:space="preserve"> Law Association </w:t>
      </w:r>
      <w:r w:rsidR="006D51D3" w:rsidRPr="000729D4">
        <w:rPr>
          <w:lang w:val="fr-FR"/>
        </w:rPr>
        <w:t>et</w:t>
      </w:r>
      <w:r w:rsidRPr="000729D4">
        <w:rPr>
          <w:lang w:val="fr-FR"/>
        </w:rPr>
        <w:t xml:space="preserve"> </w:t>
      </w:r>
      <w:proofErr w:type="spellStart"/>
      <w:r w:rsidRPr="000729D4">
        <w:rPr>
          <w:lang w:val="fr-FR"/>
        </w:rPr>
        <w:t>Intellectual</w:t>
      </w:r>
      <w:proofErr w:type="spellEnd"/>
      <w:r w:rsidRPr="000729D4">
        <w:rPr>
          <w:lang w:val="fr-FR"/>
        </w:rPr>
        <w:t xml:space="preserve"> </w:t>
      </w:r>
      <w:proofErr w:type="spellStart"/>
      <w:r w:rsidRPr="000729D4">
        <w:rPr>
          <w:lang w:val="fr-FR"/>
        </w:rPr>
        <w:t>Property</w:t>
      </w:r>
      <w:proofErr w:type="spellEnd"/>
      <w:r w:rsidRPr="000729D4">
        <w:rPr>
          <w:lang w:val="fr-FR"/>
        </w:rPr>
        <w:t xml:space="preserve"> </w:t>
      </w:r>
      <w:proofErr w:type="spellStart"/>
      <w:r w:rsidRPr="000729D4">
        <w:rPr>
          <w:lang w:val="fr-FR"/>
        </w:rPr>
        <w:t>Owners</w:t>
      </w:r>
      <w:proofErr w:type="spellEnd"/>
      <w:r w:rsidRPr="000729D4">
        <w:rPr>
          <w:lang w:val="fr-FR"/>
        </w:rPr>
        <w:t xml:space="preserve"> Association,</w:t>
      </w:r>
      <w:r w:rsidR="00A16664" w:rsidRPr="000729D4">
        <w:rPr>
          <w:lang w:val="fr-FR"/>
        </w:rPr>
        <w:t xml:space="preserve"> synthèse de la Troisième réunion du groupe de travail sur le dossier mondial réservée aux membres de la profession (GDTF), 2016 [présentation]</w:t>
      </w:r>
    </w:p>
    <w:p w:rsidR="00595E3D" w:rsidRPr="00AE69CC" w:rsidRDefault="00595E3D" w:rsidP="00AE69CC">
      <w:pPr>
        <w:pStyle w:val="ListParagraph"/>
        <w:numPr>
          <w:ilvl w:val="0"/>
          <w:numId w:val="23"/>
        </w:numPr>
        <w:spacing w:after="220"/>
        <w:ind w:left="1134" w:hanging="567"/>
        <w:contextualSpacing w:val="0"/>
      </w:pPr>
      <w:r w:rsidRPr="00AE69CC">
        <w:t xml:space="preserve">Andrey </w:t>
      </w:r>
      <w:proofErr w:type="spellStart"/>
      <w:r w:rsidRPr="00AE69CC">
        <w:t>Se</w:t>
      </w:r>
      <w:r w:rsidR="006E4B92" w:rsidRPr="00AE69CC">
        <w:t>k</w:t>
      </w:r>
      <w:r w:rsidRPr="00AE69CC">
        <w:t>retov</w:t>
      </w:r>
      <w:proofErr w:type="spellEnd"/>
      <w:r w:rsidR="006E4B92" w:rsidRPr="00AE69CC">
        <w:t>, EAPO</w:t>
      </w:r>
      <w:r w:rsidRPr="00AE69CC">
        <w:t>, “Specific aspects of names processing in EAPO”, East Meets West</w:t>
      </w:r>
      <w:r w:rsidR="001173AE" w:rsidRPr="00AE69CC">
        <w:t>,</w:t>
      </w:r>
      <w:r w:rsidRPr="00AE69CC">
        <w:t xml:space="preserve"> 2016</w:t>
      </w:r>
      <w:r w:rsidR="001173AE" w:rsidRPr="00AE69CC">
        <w:t xml:space="preserve"> [</w:t>
      </w:r>
      <w:proofErr w:type="spellStart"/>
      <w:r w:rsidR="001173AE" w:rsidRPr="00AE69CC">
        <w:t>pr</w:t>
      </w:r>
      <w:r w:rsidR="00A16664" w:rsidRPr="00AE69CC">
        <w:t>é</w:t>
      </w:r>
      <w:r w:rsidR="001173AE" w:rsidRPr="00AE69CC">
        <w:t>sentation</w:t>
      </w:r>
      <w:proofErr w:type="spellEnd"/>
      <w:r w:rsidR="001173AE" w:rsidRPr="00AE69CC">
        <w:t>]</w:t>
      </w:r>
    </w:p>
    <w:p w:rsidR="00C3138D" w:rsidRPr="00AE69CC" w:rsidRDefault="00C3138D" w:rsidP="00AE69CC">
      <w:pPr>
        <w:pStyle w:val="ListParagraph"/>
        <w:numPr>
          <w:ilvl w:val="0"/>
          <w:numId w:val="23"/>
        </w:numPr>
        <w:spacing w:after="220"/>
        <w:ind w:left="1134" w:hanging="567"/>
        <w:contextualSpacing w:val="0"/>
      </w:pPr>
      <w:r w:rsidRPr="00AE69CC">
        <w:t>Stephen Adams,</w:t>
      </w:r>
      <w:r w:rsidR="006E4B92" w:rsidRPr="00AE69CC">
        <w:t xml:space="preserve"> Magister Ltd.,</w:t>
      </w:r>
      <w:r w:rsidRPr="00AE69CC">
        <w:t xml:space="preserve"> “What</w:t>
      </w:r>
      <w:r w:rsidR="006401A6" w:rsidRPr="00AE69CC">
        <w:t>’</w:t>
      </w:r>
      <w:r w:rsidRPr="00AE69CC">
        <w:t>s in a name?”, IPI</w:t>
      </w:r>
      <w:r w:rsidR="00057587" w:rsidRPr="00AE69CC">
        <w:noBreakHyphen/>
      </w:r>
      <w:proofErr w:type="spellStart"/>
      <w:r w:rsidRPr="00AE69CC">
        <w:t>MasterClass</w:t>
      </w:r>
      <w:proofErr w:type="spellEnd"/>
      <w:r w:rsidRPr="00AE69CC">
        <w:t>, Rome</w:t>
      </w:r>
      <w:r w:rsidR="001173AE" w:rsidRPr="00AE69CC">
        <w:t>,</w:t>
      </w:r>
      <w:r w:rsidRPr="00AE69CC">
        <w:t xml:space="preserve"> 2015</w:t>
      </w:r>
      <w:r w:rsidR="001173AE" w:rsidRPr="00AE69CC">
        <w:t xml:space="preserve"> [</w:t>
      </w:r>
      <w:proofErr w:type="spellStart"/>
      <w:r w:rsidR="001173AE" w:rsidRPr="00AE69CC">
        <w:t>pr</w:t>
      </w:r>
      <w:r w:rsidR="007B4398" w:rsidRPr="00AE69CC">
        <w:t>é</w:t>
      </w:r>
      <w:r w:rsidR="001173AE" w:rsidRPr="00AE69CC">
        <w:t>sentation</w:t>
      </w:r>
      <w:proofErr w:type="spellEnd"/>
      <w:r w:rsidR="001173AE" w:rsidRPr="00AE69CC">
        <w:t>]</w:t>
      </w:r>
    </w:p>
    <w:p w:rsidR="00C37B9B" w:rsidRPr="000729D4" w:rsidRDefault="001173AE" w:rsidP="00AE69CC">
      <w:pPr>
        <w:pStyle w:val="ListParagraph"/>
        <w:numPr>
          <w:ilvl w:val="0"/>
          <w:numId w:val="23"/>
        </w:numPr>
        <w:spacing w:after="220"/>
        <w:ind w:left="1134" w:hanging="567"/>
        <w:contextualSpacing w:val="0"/>
        <w:rPr>
          <w:lang w:val="fr-FR"/>
        </w:rPr>
      </w:pPr>
      <w:r w:rsidRPr="000729D4">
        <w:rPr>
          <w:lang w:val="fr-FR"/>
        </w:rPr>
        <w:t xml:space="preserve">Julie </w:t>
      </w:r>
      <w:proofErr w:type="spellStart"/>
      <w:r w:rsidRPr="000729D4">
        <w:rPr>
          <w:lang w:val="fr-FR"/>
        </w:rPr>
        <w:t>Callaert</w:t>
      </w:r>
      <w:proofErr w:type="spellEnd"/>
      <w:r w:rsidRPr="000729D4">
        <w:rPr>
          <w:lang w:val="fr-FR"/>
        </w:rPr>
        <w:t>, ECOOM – KU Leuven, “</w:t>
      </w:r>
      <w:proofErr w:type="spellStart"/>
      <w:r w:rsidRPr="000729D4">
        <w:rPr>
          <w:lang w:val="fr-FR"/>
        </w:rPr>
        <w:t>Applicant</w:t>
      </w:r>
      <w:proofErr w:type="spellEnd"/>
      <w:r w:rsidRPr="000729D4">
        <w:rPr>
          <w:lang w:val="fr-FR"/>
        </w:rPr>
        <w:t xml:space="preserve"> </w:t>
      </w:r>
      <w:proofErr w:type="spellStart"/>
      <w:r w:rsidRPr="000729D4">
        <w:rPr>
          <w:lang w:val="fr-FR"/>
        </w:rPr>
        <w:t>name</w:t>
      </w:r>
      <w:proofErr w:type="spellEnd"/>
      <w:r w:rsidRPr="000729D4">
        <w:rPr>
          <w:lang w:val="fr-FR"/>
        </w:rPr>
        <w:t xml:space="preserve"> harmonisation for </w:t>
      </w:r>
      <w:proofErr w:type="spellStart"/>
      <w:r w:rsidRPr="000729D4">
        <w:rPr>
          <w:lang w:val="fr-FR"/>
        </w:rPr>
        <w:t>better</w:t>
      </w:r>
      <w:proofErr w:type="spellEnd"/>
      <w:r w:rsidRPr="000729D4">
        <w:rPr>
          <w:lang w:val="fr-FR"/>
        </w:rPr>
        <w:t xml:space="preserve"> </w:t>
      </w:r>
      <w:proofErr w:type="spellStart"/>
      <w:r w:rsidRPr="000729D4">
        <w:rPr>
          <w:lang w:val="fr-FR"/>
        </w:rPr>
        <w:t>search</w:t>
      </w:r>
      <w:proofErr w:type="spellEnd"/>
      <w:r w:rsidRPr="000729D4">
        <w:rPr>
          <w:lang w:val="fr-FR"/>
        </w:rPr>
        <w:t xml:space="preserve"> </w:t>
      </w:r>
      <w:proofErr w:type="spellStart"/>
      <w:r w:rsidRPr="000729D4">
        <w:rPr>
          <w:lang w:val="fr-FR"/>
        </w:rPr>
        <w:t>results</w:t>
      </w:r>
      <w:proofErr w:type="spellEnd"/>
      <w:r w:rsidRPr="000729D4">
        <w:rPr>
          <w:lang w:val="fr-FR"/>
        </w:rPr>
        <w:t xml:space="preserve">”, </w:t>
      </w:r>
      <w:r w:rsidR="007B4398" w:rsidRPr="000729D4">
        <w:rPr>
          <w:lang w:val="fr-FR"/>
        </w:rPr>
        <w:t>conférence de l</w:t>
      </w:r>
      <w:r w:rsidR="006401A6" w:rsidRPr="000729D4">
        <w:rPr>
          <w:lang w:val="fr-FR"/>
        </w:rPr>
        <w:t>’</w:t>
      </w:r>
      <w:r w:rsidR="007B4398" w:rsidRPr="000729D4">
        <w:rPr>
          <w:lang w:val="fr-FR"/>
        </w:rPr>
        <w:t>OEB sur l</w:t>
      </w:r>
      <w:r w:rsidR="006401A6" w:rsidRPr="000729D4">
        <w:rPr>
          <w:lang w:val="fr-FR"/>
        </w:rPr>
        <w:t>’</w:t>
      </w:r>
      <w:r w:rsidR="007B4398" w:rsidRPr="000729D4">
        <w:rPr>
          <w:lang w:val="fr-FR"/>
        </w:rPr>
        <w:t>information en matière de brevets</w:t>
      </w:r>
      <w:r w:rsidRPr="000729D4">
        <w:rPr>
          <w:lang w:val="fr-FR"/>
        </w:rPr>
        <w:t>, 2015 [pr</w:t>
      </w:r>
      <w:r w:rsidR="007B4398" w:rsidRPr="000729D4">
        <w:rPr>
          <w:lang w:val="fr-FR"/>
        </w:rPr>
        <w:t>é</w:t>
      </w:r>
      <w:r w:rsidRPr="000729D4">
        <w:rPr>
          <w:lang w:val="fr-FR"/>
        </w:rPr>
        <w:t>sentation]</w:t>
      </w:r>
    </w:p>
    <w:p w:rsidR="00B601AE" w:rsidRDefault="000729D4" w:rsidP="00AE69CC">
      <w:pPr>
        <w:pStyle w:val="Heading2"/>
        <w:spacing w:before="0"/>
        <w:rPr>
          <w:lang w:val="fr-FR"/>
        </w:rPr>
      </w:pPr>
      <w:r>
        <w:rPr>
          <w:lang w:val="fr-FR"/>
        </w:rPr>
        <w:t>P</w:t>
      </w:r>
      <w:r w:rsidR="00F218DE" w:rsidRPr="000729D4">
        <w:rPr>
          <w:lang w:val="fr-FR"/>
        </w:rPr>
        <w:t>arties prenantes et difficultés auxquelles elles sont confrontées</w:t>
      </w:r>
    </w:p>
    <w:p w:rsidR="00F94A54" w:rsidRDefault="00D53515" w:rsidP="00AE69CC">
      <w:pPr>
        <w:pStyle w:val="Heading3"/>
        <w:spacing w:before="0"/>
        <w:rPr>
          <w:lang w:val="fr-FR"/>
        </w:rPr>
      </w:pPr>
      <w:r w:rsidRPr="000729D4">
        <w:rPr>
          <w:lang w:val="fr-FR"/>
        </w:rPr>
        <w:t>Utilisateurs de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information en matière de brevets</w:t>
      </w:r>
    </w:p>
    <w:p w:rsidR="00F94A54" w:rsidRPr="000729D4" w:rsidRDefault="001676A3" w:rsidP="00AE69CC">
      <w:pPr>
        <w:pStyle w:val="ONUMFS"/>
        <w:spacing w:after="120"/>
        <w:rPr>
          <w:lang w:val="fr-FR"/>
        </w:rPr>
      </w:pPr>
      <w:r w:rsidRPr="000729D4">
        <w:rPr>
          <w:lang w:val="fr-FR"/>
        </w:rPr>
        <w:t>Les services de propriété intellectuelle des entreprises accomplissent de nombreuses tâches pour lesquelles il leur est nécessaire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analyser des quantités gigantesques de donné</w:t>
      </w:r>
      <w:r w:rsidR="000729D4" w:rsidRPr="000729D4">
        <w:rPr>
          <w:lang w:val="fr-FR"/>
        </w:rPr>
        <w:t>es.  L’i</w:t>
      </w:r>
      <w:r w:rsidR="00740409" w:rsidRPr="000729D4">
        <w:rPr>
          <w:lang w:val="fr-FR"/>
        </w:rPr>
        <w:t>nformation relative aux déposants et à la titularité des droits est importante à cet égard, ainsi qu</w:t>
      </w:r>
      <w:r w:rsidR="006401A6" w:rsidRPr="000729D4">
        <w:rPr>
          <w:lang w:val="fr-FR"/>
        </w:rPr>
        <w:t>’</w:t>
      </w:r>
      <w:r w:rsidR="00740409" w:rsidRPr="000729D4">
        <w:rPr>
          <w:lang w:val="fr-FR"/>
        </w:rPr>
        <w:t>il est expliqué ci</w:t>
      </w:r>
      <w:r w:rsidR="00057587">
        <w:rPr>
          <w:lang w:val="fr-FR"/>
        </w:rPr>
        <w:noBreakHyphen/>
      </w:r>
      <w:r w:rsidR="00740409" w:rsidRPr="000729D4">
        <w:rPr>
          <w:lang w:val="fr-FR"/>
        </w:rPr>
        <w:t>dessous</w:t>
      </w:r>
      <w:r w:rsidR="006401A6" w:rsidRPr="000729D4">
        <w:rPr>
          <w:lang w:val="fr-FR"/>
        </w:rPr>
        <w:t> :</w:t>
      </w:r>
    </w:p>
    <w:p w:rsidR="00F94A54" w:rsidRPr="000729D4" w:rsidRDefault="00740409" w:rsidP="00AE69CC">
      <w:pPr>
        <w:pStyle w:val="ONUMFS"/>
        <w:numPr>
          <w:ilvl w:val="0"/>
          <w:numId w:val="24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recherches en vue d</w:t>
      </w:r>
      <w:r w:rsidR="006401A6" w:rsidRPr="000729D4">
        <w:rPr>
          <w:lang w:val="fr-FR"/>
        </w:rPr>
        <w:t>’</w:t>
      </w:r>
      <w:r w:rsidR="008A49B1" w:rsidRPr="000729D4">
        <w:rPr>
          <w:lang w:val="fr-FR"/>
        </w:rPr>
        <w:t>évalu</w:t>
      </w:r>
      <w:r w:rsidRPr="000729D4">
        <w:rPr>
          <w:lang w:val="fr-FR"/>
        </w:rPr>
        <w:t>er la liberté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exploitation</w:t>
      </w:r>
      <w:r w:rsidR="006401A6" w:rsidRPr="000729D4">
        <w:rPr>
          <w:lang w:val="fr-FR"/>
        </w:rPr>
        <w:t> :</w:t>
      </w:r>
      <w:r w:rsidRPr="000729D4">
        <w:rPr>
          <w:lang w:val="fr-FR"/>
        </w:rPr>
        <w:t xml:space="preserve"> </w:t>
      </w:r>
      <w:r w:rsidR="002F6116" w:rsidRPr="000729D4">
        <w:rPr>
          <w:lang w:val="fr-FR"/>
        </w:rPr>
        <w:t>l</w:t>
      </w:r>
      <w:r w:rsidR="006401A6" w:rsidRPr="000729D4">
        <w:rPr>
          <w:lang w:val="fr-FR"/>
        </w:rPr>
        <w:t>’</w:t>
      </w:r>
      <w:r w:rsidR="002F6116" w:rsidRPr="000729D4">
        <w:rPr>
          <w:lang w:val="fr-FR"/>
        </w:rPr>
        <w:t xml:space="preserve">information relative à la titularité des droits est </w:t>
      </w:r>
      <w:r w:rsidR="00A80EF4" w:rsidRPr="000729D4">
        <w:rPr>
          <w:lang w:val="fr-FR"/>
        </w:rPr>
        <w:t>utile</w:t>
      </w:r>
      <w:r w:rsidR="002F6116" w:rsidRPr="000729D4">
        <w:rPr>
          <w:lang w:val="fr-FR"/>
        </w:rPr>
        <w:t>,</w:t>
      </w:r>
      <w:r w:rsidR="00A80EF4" w:rsidRPr="000729D4">
        <w:rPr>
          <w:lang w:val="fr-FR"/>
        </w:rPr>
        <w:t xml:space="preserve"> car elle permet de </w:t>
      </w:r>
      <w:r w:rsidR="008A49B1" w:rsidRPr="000729D4">
        <w:rPr>
          <w:lang w:val="fr-FR"/>
        </w:rPr>
        <w:t>savoi</w:t>
      </w:r>
      <w:r w:rsidR="00A80EF4" w:rsidRPr="000729D4">
        <w:rPr>
          <w:lang w:val="fr-FR"/>
        </w:rPr>
        <w:t>r quelle est la relation avec l</w:t>
      </w:r>
      <w:r w:rsidR="006401A6" w:rsidRPr="000729D4">
        <w:rPr>
          <w:lang w:val="fr-FR"/>
        </w:rPr>
        <w:t>’</w:t>
      </w:r>
      <w:r w:rsidR="00A80EF4" w:rsidRPr="000729D4">
        <w:rPr>
          <w:lang w:val="fr-FR"/>
        </w:rPr>
        <w:t xml:space="preserve">entreprise à laquelle appartient </w:t>
      </w:r>
      <w:r w:rsidR="003153F4" w:rsidRPr="000729D4">
        <w:rPr>
          <w:lang w:val="fr-FR"/>
        </w:rPr>
        <w:t>un</w:t>
      </w:r>
      <w:r w:rsidR="00A80EF4" w:rsidRPr="000729D4">
        <w:rPr>
          <w:lang w:val="fr-FR"/>
        </w:rPr>
        <w:t xml:space="preserve"> brevet </w:t>
      </w:r>
      <w:r w:rsidR="008A49B1" w:rsidRPr="000729D4">
        <w:rPr>
          <w:lang w:val="fr-FR"/>
        </w:rPr>
        <w:t>qui fait</w:t>
      </w:r>
      <w:r w:rsidR="00A80EF4" w:rsidRPr="000729D4">
        <w:rPr>
          <w:lang w:val="fr-FR"/>
        </w:rPr>
        <w:t xml:space="preserve"> barrage avant d</w:t>
      </w:r>
      <w:r w:rsidR="006401A6" w:rsidRPr="000729D4">
        <w:rPr>
          <w:lang w:val="fr-FR"/>
        </w:rPr>
        <w:t>’</w:t>
      </w:r>
      <w:r w:rsidR="00A80EF4" w:rsidRPr="000729D4">
        <w:rPr>
          <w:lang w:val="fr-FR"/>
        </w:rPr>
        <w:t>engager des négociations en vue d</w:t>
      </w:r>
      <w:r w:rsidR="006401A6" w:rsidRPr="000729D4">
        <w:rPr>
          <w:lang w:val="fr-FR"/>
        </w:rPr>
        <w:t>’</w:t>
      </w:r>
      <w:r w:rsidR="000F1490" w:rsidRPr="000729D4">
        <w:rPr>
          <w:lang w:val="fr-FR"/>
        </w:rPr>
        <w:t>une concession de licence</w:t>
      </w:r>
      <w:r w:rsidR="00A80EF4" w:rsidRPr="000729D4">
        <w:rPr>
          <w:lang w:val="fr-FR"/>
        </w:rPr>
        <w:t>,</w:t>
      </w:r>
      <w:r w:rsidR="00CD1AF7" w:rsidRPr="000729D4">
        <w:rPr>
          <w:lang w:val="fr-FR"/>
        </w:rPr>
        <w:t xml:space="preserve"> de faire une évaluation de risques ou de se préparer </w:t>
      </w:r>
      <w:r w:rsidR="008A49B1" w:rsidRPr="000729D4">
        <w:rPr>
          <w:lang w:val="fr-FR"/>
        </w:rPr>
        <w:t>à</w:t>
      </w:r>
      <w:r w:rsidR="00CD1AF7" w:rsidRPr="000729D4">
        <w:rPr>
          <w:lang w:val="fr-FR"/>
        </w:rPr>
        <w:t xml:space="preserve"> un procès;</w:t>
      </w:r>
    </w:p>
    <w:p w:rsidR="00F94A54" w:rsidRPr="000729D4" w:rsidRDefault="000F1490" w:rsidP="00AE69CC">
      <w:pPr>
        <w:pStyle w:val="ONUMFS"/>
        <w:numPr>
          <w:ilvl w:val="0"/>
          <w:numId w:val="24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analyses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entreprises</w:t>
      </w:r>
      <w:r w:rsidR="006401A6" w:rsidRPr="000729D4">
        <w:rPr>
          <w:lang w:val="fr-FR"/>
        </w:rPr>
        <w:t> :</w:t>
      </w:r>
      <w:r w:rsidRPr="000729D4">
        <w:rPr>
          <w:lang w:val="fr-FR"/>
        </w:rPr>
        <w:t xml:space="preserve"> il est essentiel de disposer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une information exhaustive en matière de titularité pour pouvoir analyser le portefeuille de brevets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une entreprise (</w:t>
      </w:r>
      <w:r w:rsidR="00A672DC" w:rsidRPr="000729D4">
        <w:rPr>
          <w:lang w:val="fr-FR"/>
        </w:rPr>
        <w:t xml:space="preserve">lequel peut </w:t>
      </w:r>
      <w:r w:rsidR="008A49B1" w:rsidRPr="000729D4">
        <w:rPr>
          <w:lang w:val="fr-FR"/>
        </w:rPr>
        <w:t xml:space="preserve">en </w:t>
      </w:r>
      <w:r w:rsidR="00A672DC" w:rsidRPr="000729D4">
        <w:rPr>
          <w:lang w:val="fr-FR"/>
        </w:rPr>
        <w:t>contenir des milliers);</w:t>
      </w:r>
    </w:p>
    <w:p w:rsidR="00F94A54" w:rsidRPr="000729D4" w:rsidRDefault="00C633D9" w:rsidP="00AE69CC">
      <w:pPr>
        <w:pStyle w:val="ONUMFS"/>
        <w:numPr>
          <w:ilvl w:val="0"/>
          <w:numId w:val="24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comparaison de portefeuilles</w:t>
      </w:r>
      <w:r w:rsidR="006401A6" w:rsidRPr="000729D4">
        <w:rPr>
          <w:lang w:val="fr-FR"/>
        </w:rPr>
        <w:t> :</w:t>
      </w:r>
      <w:r w:rsidRPr="000729D4">
        <w:rPr>
          <w:lang w:val="fr-FR"/>
        </w:rPr>
        <w:t xml:space="preserve"> </w:t>
      </w:r>
      <w:r w:rsidR="00E94982" w:rsidRPr="000729D4">
        <w:rPr>
          <w:lang w:val="fr-FR"/>
        </w:rPr>
        <w:t>lorsque l</w:t>
      </w:r>
      <w:r w:rsidR="006401A6" w:rsidRPr="000729D4">
        <w:rPr>
          <w:lang w:val="fr-FR"/>
        </w:rPr>
        <w:t>’</w:t>
      </w:r>
      <w:r w:rsidR="00E94982" w:rsidRPr="000729D4">
        <w:rPr>
          <w:lang w:val="fr-FR"/>
        </w:rPr>
        <w:t xml:space="preserve">on compare </w:t>
      </w:r>
      <w:r w:rsidR="00A25887" w:rsidRPr="000729D4">
        <w:rPr>
          <w:lang w:val="fr-FR"/>
        </w:rPr>
        <w:t>des</w:t>
      </w:r>
      <w:r w:rsidR="00E94982" w:rsidRPr="000729D4">
        <w:rPr>
          <w:lang w:val="fr-FR"/>
        </w:rPr>
        <w:t xml:space="preserve"> portefeuille</w:t>
      </w:r>
      <w:r w:rsidR="00A25887" w:rsidRPr="000729D4">
        <w:rPr>
          <w:lang w:val="fr-FR"/>
        </w:rPr>
        <w:t>s</w:t>
      </w:r>
      <w:r w:rsidR="00E94982" w:rsidRPr="000729D4">
        <w:rPr>
          <w:lang w:val="fr-FR"/>
        </w:rPr>
        <w:t xml:space="preserve"> (</w:t>
      </w:r>
      <w:r w:rsidR="00A25887" w:rsidRPr="000729D4">
        <w:rPr>
          <w:lang w:val="fr-FR"/>
        </w:rPr>
        <w:t>ou des parties de portefeuilles)</w:t>
      </w:r>
      <w:r w:rsidR="00E94982" w:rsidRPr="000729D4">
        <w:rPr>
          <w:lang w:val="fr-FR"/>
        </w:rPr>
        <w:t xml:space="preserve"> de brevets</w:t>
      </w:r>
      <w:r w:rsidR="00A25887" w:rsidRPr="000729D4">
        <w:rPr>
          <w:lang w:val="fr-FR"/>
        </w:rPr>
        <w:t xml:space="preserve"> à ceux d</w:t>
      </w:r>
      <w:r w:rsidR="006401A6" w:rsidRPr="000729D4">
        <w:rPr>
          <w:lang w:val="fr-FR"/>
        </w:rPr>
        <w:t>’</w:t>
      </w:r>
      <w:r w:rsidR="00A25887" w:rsidRPr="000729D4">
        <w:rPr>
          <w:lang w:val="fr-FR"/>
        </w:rPr>
        <w:t>une entreprise concurrente couvrant parfois des milliers de familles de brevets,</w:t>
      </w:r>
      <w:r w:rsidR="00E94982" w:rsidRPr="000729D4">
        <w:rPr>
          <w:lang w:val="fr-FR"/>
        </w:rPr>
        <w:t xml:space="preserve"> </w:t>
      </w:r>
      <w:r w:rsidRPr="000729D4">
        <w:rPr>
          <w:lang w:val="fr-FR"/>
        </w:rPr>
        <w:t>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information en matière de titularité est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une importance primordiale pour déterminer</w:t>
      </w:r>
      <w:r w:rsidR="00E94982" w:rsidRPr="000729D4">
        <w:rPr>
          <w:lang w:val="fr-FR"/>
        </w:rPr>
        <w:t xml:space="preserve"> la portée </w:t>
      </w:r>
      <w:r w:rsidR="008F08F2" w:rsidRPr="000729D4">
        <w:rPr>
          <w:lang w:val="fr-FR"/>
        </w:rPr>
        <w:t>de ces portefeuilles;</w:t>
      </w:r>
    </w:p>
    <w:p w:rsidR="00F94A54" w:rsidRPr="000729D4" w:rsidRDefault="00961780" w:rsidP="00AE69CC">
      <w:pPr>
        <w:pStyle w:val="ONUMFS"/>
        <w:numPr>
          <w:ilvl w:val="0"/>
          <w:numId w:val="24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0729D4">
        <w:rPr>
          <w:lang w:val="fr-FR"/>
        </w:rPr>
        <w:t>établissement de panoramas technologiques</w:t>
      </w:r>
      <w:r w:rsidR="006401A6" w:rsidRPr="000729D4">
        <w:rPr>
          <w:lang w:val="fr-FR"/>
        </w:rPr>
        <w:t> :</w:t>
      </w:r>
      <w:r w:rsidRPr="000729D4">
        <w:rPr>
          <w:lang w:val="fr-FR"/>
        </w:rPr>
        <w:t xml:space="preserve"> le panorama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un</w:t>
      </w:r>
      <w:r w:rsidR="00F70EC7" w:rsidRPr="000729D4">
        <w:rPr>
          <w:lang w:val="fr-FR"/>
        </w:rPr>
        <w:t xml:space="preserve"> domaine technique </w:t>
      </w:r>
      <w:r w:rsidR="001C3F57" w:rsidRPr="000729D4">
        <w:rPr>
          <w:lang w:val="fr-FR"/>
        </w:rPr>
        <w:t>permet de se faire une idée de l</w:t>
      </w:r>
      <w:r w:rsidR="006401A6" w:rsidRPr="000729D4">
        <w:rPr>
          <w:lang w:val="fr-FR"/>
        </w:rPr>
        <w:t>’</w:t>
      </w:r>
      <w:r w:rsidR="001C3F57" w:rsidRPr="000729D4">
        <w:rPr>
          <w:lang w:val="fr-FR"/>
        </w:rPr>
        <w:t>activité en matière de brevets</w:t>
      </w:r>
      <w:r w:rsidR="00F70EC7" w:rsidRPr="000729D4">
        <w:rPr>
          <w:lang w:val="fr-FR"/>
        </w:rPr>
        <w:t xml:space="preserve"> </w:t>
      </w:r>
      <w:r w:rsidR="0094174B" w:rsidRPr="000729D4">
        <w:rPr>
          <w:lang w:val="fr-FR"/>
        </w:rPr>
        <w:t>que connaît</w:t>
      </w:r>
      <w:r w:rsidR="00F70EC7" w:rsidRPr="000729D4">
        <w:rPr>
          <w:lang w:val="fr-FR"/>
        </w:rPr>
        <w:t xml:space="preserve"> ce dernier</w:t>
      </w:r>
      <w:r w:rsidR="0094174B" w:rsidRPr="000729D4">
        <w:rPr>
          <w:lang w:val="fr-FR"/>
        </w:rPr>
        <w:t>,</w:t>
      </w:r>
      <w:r w:rsidR="001C3F57" w:rsidRPr="000729D4">
        <w:rPr>
          <w:lang w:val="fr-FR"/>
        </w:rPr>
        <w:t xml:space="preserve"> et </w:t>
      </w:r>
      <w:r w:rsidR="00F73FC2" w:rsidRPr="000729D4">
        <w:rPr>
          <w:lang w:val="fr-FR"/>
        </w:rPr>
        <w:t>de</w:t>
      </w:r>
      <w:r w:rsidR="001C3F57" w:rsidRPr="000729D4">
        <w:rPr>
          <w:lang w:val="fr-FR"/>
        </w:rPr>
        <w:t xml:space="preserve"> savoir</w:t>
      </w:r>
      <w:r w:rsidR="00F73FC2" w:rsidRPr="000729D4">
        <w:rPr>
          <w:lang w:val="fr-FR"/>
        </w:rPr>
        <w:t xml:space="preserve"> qui en sont les acteu</w:t>
      </w:r>
      <w:r w:rsidR="000729D4" w:rsidRPr="000729D4">
        <w:rPr>
          <w:lang w:val="fr-FR"/>
        </w:rPr>
        <w:t>rs.  La</w:t>
      </w:r>
      <w:r w:rsidR="00F73FC2" w:rsidRPr="000729D4">
        <w:rPr>
          <w:lang w:val="fr-FR"/>
        </w:rPr>
        <w:t xml:space="preserve"> réponse à cette dernière question se trouve dans l</w:t>
      </w:r>
      <w:r w:rsidR="006401A6" w:rsidRPr="000729D4">
        <w:rPr>
          <w:lang w:val="fr-FR"/>
        </w:rPr>
        <w:t>’</w:t>
      </w:r>
      <w:r w:rsidR="00F73FC2" w:rsidRPr="000729D4">
        <w:rPr>
          <w:lang w:val="fr-FR"/>
        </w:rPr>
        <w:t>information relative aux déposants.</w:t>
      </w:r>
    </w:p>
    <w:p w:rsidR="00E559E8" w:rsidRPr="00E559E8" w:rsidRDefault="000678E2" w:rsidP="00E559E8">
      <w:pPr>
        <w:pStyle w:val="ONUMFS"/>
        <w:rPr>
          <w:lang w:val="fr-FR"/>
        </w:rPr>
      </w:pPr>
      <w:r w:rsidRPr="000729D4">
        <w:rPr>
          <w:lang w:val="fr-FR"/>
        </w:rPr>
        <w:t>Le renseignement qui intéresse au premier chef les utilisateurs d</w:t>
      </w:r>
      <w:r w:rsidR="0094174B" w:rsidRPr="000729D4">
        <w:rPr>
          <w:lang w:val="fr-FR"/>
        </w:rPr>
        <w:t>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information en matière de brevets est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identité du titulaire de</w:t>
      </w:r>
      <w:r w:rsidR="0046795A" w:rsidRPr="000729D4">
        <w:rPr>
          <w:lang w:val="fr-FR"/>
        </w:rPr>
        <w:t>s</w:t>
      </w:r>
      <w:r w:rsidRPr="000729D4">
        <w:rPr>
          <w:lang w:val="fr-FR"/>
        </w:rPr>
        <w:t xml:space="preserve"> droi</w:t>
      </w:r>
      <w:r w:rsidR="000729D4" w:rsidRPr="000729D4">
        <w:rPr>
          <w:lang w:val="fr-FR"/>
        </w:rPr>
        <w:t>ts.  Or</w:t>
      </w:r>
      <w:r w:rsidRPr="000729D4">
        <w:rPr>
          <w:lang w:val="fr-FR"/>
        </w:rPr>
        <w:t>, il peut être particulièrement difficile</w:t>
      </w:r>
      <w:r w:rsidR="0046795A" w:rsidRPr="000729D4">
        <w:rPr>
          <w:lang w:val="fr-FR"/>
        </w:rPr>
        <w:t xml:space="preserve"> de déterminer à qui appartiennent ces droits à un moment donné,</w:t>
      </w:r>
      <w:r w:rsidR="00F015CD" w:rsidRPr="000729D4">
        <w:rPr>
          <w:lang w:val="fr-FR"/>
        </w:rPr>
        <w:t xml:space="preserve"> notamment </w:t>
      </w:r>
      <w:r w:rsidR="00AB6D42" w:rsidRPr="000729D4">
        <w:rPr>
          <w:lang w:val="fr-FR"/>
        </w:rPr>
        <w:t xml:space="preserve">parce que les noms des déposants </w:t>
      </w:r>
      <w:r w:rsidR="00975A24" w:rsidRPr="000729D4">
        <w:rPr>
          <w:lang w:val="fr-FR"/>
        </w:rPr>
        <w:t>ne sont pas clai</w:t>
      </w:r>
      <w:r w:rsidR="000729D4" w:rsidRPr="000729D4">
        <w:rPr>
          <w:lang w:val="fr-FR"/>
        </w:rPr>
        <w:t>rs.  Le</w:t>
      </w:r>
      <w:r w:rsidR="00F015CD" w:rsidRPr="000729D4">
        <w:rPr>
          <w:lang w:val="fr-FR"/>
        </w:rPr>
        <w:t xml:space="preserve"> souhait des entreprises</w:t>
      </w:r>
      <w:r w:rsidR="00700E8C" w:rsidRPr="000729D4">
        <w:rPr>
          <w:lang w:val="fr-FR"/>
        </w:rPr>
        <w:t xml:space="preserve"> est de voir dans les documents de propriété industrielle des noms de déposants identifiables sans équivoque, normalisés et correctement orthographiés.</w:t>
      </w:r>
      <w:r w:rsidR="00E559E8" w:rsidRPr="00E559E8">
        <w:rPr>
          <w:lang w:val="fr-FR"/>
        </w:rPr>
        <w:br w:type="page"/>
      </w:r>
    </w:p>
    <w:p w:rsidR="006401A6" w:rsidRPr="000729D4" w:rsidRDefault="00A63A98" w:rsidP="00AE69CC">
      <w:pPr>
        <w:pStyle w:val="ONUMFS"/>
        <w:keepNext/>
        <w:keepLines/>
        <w:spacing w:after="120"/>
        <w:rPr>
          <w:lang w:val="fr-FR"/>
        </w:rPr>
      </w:pPr>
      <w:r w:rsidRPr="000729D4">
        <w:rPr>
          <w:lang w:val="fr-FR"/>
        </w:rPr>
        <w:t>Les facteurs suivants ont une incidence sur le résultat des analyses de brevets</w:t>
      </w:r>
      <w:r w:rsidR="006401A6" w:rsidRPr="000729D4">
        <w:rPr>
          <w:lang w:val="fr-FR"/>
        </w:rPr>
        <w:t> :</w:t>
      </w:r>
    </w:p>
    <w:p w:rsidR="00F94A54" w:rsidRPr="000729D4" w:rsidRDefault="00A63A98" w:rsidP="00AE69CC">
      <w:pPr>
        <w:pStyle w:val="ONUMFS"/>
        <w:keepNext/>
        <w:keepLines/>
        <w:numPr>
          <w:ilvl w:val="0"/>
          <w:numId w:val="25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 xml:space="preserve">les brevets enregistrés aux noms de </w:t>
      </w:r>
      <w:r w:rsidRPr="000729D4">
        <w:rPr>
          <w:b/>
          <w:lang w:val="fr-FR"/>
        </w:rPr>
        <w:t>filiales</w:t>
      </w:r>
      <w:r w:rsidRPr="000729D4">
        <w:rPr>
          <w:lang w:val="fr-FR"/>
        </w:rPr>
        <w:t xml:space="preserve"> sont fréquemment absents de la liste des brevets appartenant à la maison</w:t>
      </w:r>
      <w:r w:rsidR="0047468A">
        <w:rPr>
          <w:lang w:val="fr-FR"/>
        </w:rPr>
        <w:t xml:space="preserve"> </w:t>
      </w:r>
      <w:r w:rsidRPr="000729D4">
        <w:rPr>
          <w:lang w:val="fr-FR"/>
        </w:rPr>
        <w:t>mère;</w:t>
      </w:r>
    </w:p>
    <w:p w:rsidR="00F94A54" w:rsidRPr="000729D4" w:rsidRDefault="00A63A98" w:rsidP="00AE69CC">
      <w:pPr>
        <w:pStyle w:val="ONUMFS"/>
        <w:numPr>
          <w:ilvl w:val="0"/>
          <w:numId w:val="25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 xml:space="preserve">les documents de brevet peuvent contenir </w:t>
      </w:r>
      <w:r w:rsidRPr="000729D4">
        <w:rPr>
          <w:b/>
          <w:lang w:val="fr-FR"/>
        </w:rPr>
        <w:t>plusieurs variantes du nom</w:t>
      </w:r>
      <w:r w:rsidRPr="000729D4">
        <w:rPr>
          <w:lang w:val="fr-FR"/>
        </w:rPr>
        <w:t xml:space="preserve">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un même déposant;</w:t>
      </w:r>
    </w:p>
    <w:p w:rsidR="00F94A54" w:rsidRPr="000729D4" w:rsidRDefault="006358B3" w:rsidP="00AE69CC">
      <w:pPr>
        <w:pStyle w:val="ONUMFS"/>
        <w:numPr>
          <w:ilvl w:val="0"/>
          <w:numId w:val="25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 xml:space="preserve">des </w:t>
      </w:r>
      <w:r w:rsidRPr="000729D4">
        <w:rPr>
          <w:b/>
          <w:lang w:val="fr-FR"/>
        </w:rPr>
        <w:t>noms de cessionnaires différents</w:t>
      </w:r>
      <w:r w:rsidRPr="000729D4">
        <w:rPr>
          <w:lang w:val="fr-FR"/>
        </w:rPr>
        <w:t xml:space="preserve"> peuvent figurer dans une </w:t>
      </w:r>
      <w:r w:rsidRPr="000729D4">
        <w:rPr>
          <w:b/>
          <w:lang w:val="fr-FR"/>
        </w:rPr>
        <w:t>même famille de brevets</w:t>
      </w:r>
      <w:r w:rsidRPr="000729D4">
        <w:rPr>
          <w:lang w:val="fr-FR"/>
        </w:rPr>
        <w:t>;</w:t>
      </w:r>
    </w:p>
    <w:p w:rsidR="00F94A54" w:rsidRPr="000729D4" w:rsidRDefault="00F836DA" w:rsidP="00AE69CC">
      <w:pPr>
        <w:pStyle w:val="ONUMFS"/>
        <w:numPr>
          <w:ilvl w:val="0"/>
          <w:numId w:val="25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 xml:space="preserve">une même demande internationale peut contenir </w:t>
      </w:r>
      <w:r w:rsidRPr="000729D4">
        <w:rPr>
          <w:b/>
          <w:lang w:val="fr-FR"/>
        </w:rPr>
        <w:t>plusieurs déposants</w:t>
      </w:r>
      <w:r w:rsidRPr="000729D4">
        <w:rPr>
          <w:lang w:val="fr-FR"/>
        </w:rPr>
        <w:t xml:space="preserve"> (pour des États désignés différents);</w:t>
      </w:r>
    </w:p>
    <w:p w:rsidR="00F94A54" w:rsidRPr="000729D4" w:rsidRDefault="00F836DA" w:rsidP="00AE69CC">
      <w:pPr>
        <w:pStyle w:val="ONUMFS"/>
        <w:numPr>
          <w:ilvl w:val="0"/>
          <w:numId w:val="25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 xml:space="preserve">les noms des déposants peuvent être </w:t>
      </w:r>
      <w:r w:rsidRPr="000729D4">
        <w:rPr>
          <w:b/>
          <w:lang w:val="fr-FR"/>
        </w:rPr>
        <w:t>mal orthographiés</w:t>
      </w:r>
      <w:r w:rsidRPr="000729D4">
        <w:rPr>
          <w:lang w:val="fr-FR"/>
        </w:rPr>
        <w:t>;</w:t>
      </w:r>
    </w:p>
    <w:p w:rsidR="00F94A54" w:rsidRPr="000729D4" w:rsidRDefault="00F836DA" w:rsidP="00AE69CC">
      <w:pPr>
        <w:pStyle w:val="ONUMFS"/>
        <w:numPr>
          <w:ilvl w:val="0"/>
          <w:numId w:val="25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0729D4">
        <w:rPr>
          <w:lang w:val="fr-FR"/>
        </w:rPr>
        <w:t xml:space="preserve">le </w:t>
      </w:r>
      <w:r w:rsidRPr="000729D4">
        <w:rPr>
          <w:b/>
          <w:lang w:val="fr-FR"/>
        </w:rPr>
        <w:t>nom de l</w:t>
      </w:r>
      <w:r w:rsidR="006401A6" w:rsidRPr="000729D4">
        <w:rPr>
          <w:b/>
          <w:lang w:val="fr-FR"/>
        </w:rPr>
        <w:t>’</w:t>
      </w:r>
      <w:r w:rsidRPr="000729D4">
        <w:rPr>
          <w:b/>
          <w:lang w:val="fr-FR"/>
        </w:rPr>
        <w:t>inventeur</w:t>
      </w:r>
      <w:r w:rsidRPr="000729D4">
        <w:rPr>
          <w:lang w:val="fr-FR"/>
        </w:rPr>
        <w:t xml:space="preserve"> peut apparaître en tant que nom de cessionnaire.</w:t>
      </w:r>
    </w:p>
    <w:p w:rsidR="002B57F0" w:rsidRDefault="002E2167" w:rsidP="00AE69CC">
      <w:pPr>
        <w:pStyle w:val="Heading3"/>
        <w:spacing w:before="0"/>
        <w:rPr>
          <w:lang w:val="fr-FR"/>
        </w:rPr>
      </w:pPr>
      <w:r w:rsidRPr="000729D4">
        <w:rPr>
          <w:lang w:val="fr-FR"/>
        </w:rPr>
        <w:t>Offices de brevets</w:t>
      </w:r>
    </w:p>
    <w:p w:rsidR="00FE3A76" w:rsidRPr="000729D4" w:rsidRDefault="00614E48" w:rsidP="00AE69CC">
      <w:pPr>
        <w:pStyle w:val="ONUMFS"/>
        <w:rPr>
          <w:lang w:val="fr-FR"/>
        </w:rPr>
      </w:pPr>
      <w:r w:rsidRPr="000729D4">
        <w:rPr>
          <w:lang w:val="fr-FR"/>
        </w:rPr>
        <w:t>Les offices de propriété industrielle sont conscients de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absence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harmonisation des noms de déposants</w:t>
      </w:r>
      <w:r w:rsidR="00FD6B05" w:rsidRPr="000729D4">
        <w:rPr>
          <w:lang w:val="fr-FR"/>
        </w:rPr>
        <w:t>, et s</w:t>
      </w:r>
      <w:r w:rsidR="006401A6" w:rsidRPr="000729D4">
        <w:rPr>
          <w:lang w:val="fr-FR"/>
        </w:rPr>
        <w:t>’</w:t>
      </w:r>
      <w:r w:rsidR="00FD6B05" w:rsidRPr="000729D4">
        <w:rPr>
          <w:lang w:val="fr-FR"/>
        </w:rPr>
        <w:t>attachent à trouver des solutions</w:t>
      </w:r>
      <w:r w:rsidR="00C53742" w:rsidRPr="000729D4">
        <w:rPr>
          <w:lang w:val="fr-FR"/>
        </w:rPr>
        <w:t xml:space="preserve"> susceptibles de faciliter l</w:t>
      </w:r>
      <w:r w:rsidR="006401A6" w:rsidRPr="000729D4">
        <w:rPr>
          <w:lang w:val="fr-FR"/>
        </w:rPr>
        <w:t>’</w:t>
      </w:r>
      <w:r w:rsidR="00C53742" w:rsidRPr="000729D4">
        <w:rPr>
          <w:lang w:val="fr-FR"/>
        </w:rPr>
        <w:t xml:space="preserve">utilisation des données ainsi que la connectivité </w:t>
      </w:r>
      <w:r w:rsidR="00DB61B2" w:rsidRPr="000729D4">
        <w:rPr>
          <w:lang w:val="fr-FR"/>
        </w:rPr>
        <w:t>à</w:t>
      </w:r>
      <w:r w:rsidR="00C53742" w:rsidRPr="000729D4">
        <w:rPr>
          <w:lang w:val="fr-FR"/>
        </w:rPr>
        <w:t xml:space="preserve"> d</w:t>
      </w:r>
      <w:r w:rsidR="006401A6" w:rsidRPr="000729D4">
        <w:rPr>
          <w:lang w:val="fr-FR"/>
        </w:rPr>
        <w:t>’</w:t>
      </w:r>
      <w:r w:rsidR="00C53742" w:rsidRPr="000729D4">
        <w:rPr>
          <w:lang w:val="fr-FR"/>
        </w:rPr>
        <w:t>autres sources de données.</w:t>
      </w:r>
    </w:p>
    <w:p w:rsidR="00CB7381" w:rsidRPr="000729D4" w:rsidRDefault="00E77CCB" w:rsidP="00AE69CC">
      <w:pPr>
        <w:pStyle w:val="ONUMFS"/>
        <w:spacing w:after="120"/>
        <w:rPr>
          <w:lang w:val="fr-FR"/>
        </w:rPr>
      </w:pPr>
      <w:r w:rsidRPr="000729D4">
        <w:rPr>
          <w:lang w:val="fr-FR"/>
        </w:rPr>
        <w:t>Un grand nombre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offices de propriété industrielle publient les noms des déposants</w:t>
      </w:r>
      <w:r w:rsidR="00C53742" w:rsidRPr="000729D4">
        <w:rPr>
          <w:lang w:val="fr-FR"/>
        </w:rPr>
        <w:t xml:space="preserve"> </w:t>
      </w:r>
      <w:r w:rsidRPr="000729D4">
        <w:rPr>
          <w:lang w:val="fr-FR"/>
        </w:rPr>
        <w:t xml:space="preserve">sous la forme sous laquelle ils les ont reçus, </w:t>
      </w:r>
      <w:r w:rsidR="00655F7D" w:rsidRPr="000729D4">
        <w:rPr>
          <w:lang w:val="fr-FR"/>
        </w:rPr>
        <w:t>souvent parce qu</w:t>
      </w:r>
      <w:r w:rsidR="006401A6" w:rsidRPr="000729D4">
        <w:rPr>
          <w:lang w:val="fr-FR"/>
        </w:rPr>
        <w:t>’</w:t>
      </w:r>
      <w:r w:rsidR="00DC0FC4" w:rsidRPr="000729D4">
        <w:rPr>
          <w:lang w:val="fr-FR"/>
        </w:rPr>
        <w:t>en vertu de</w:t>
      </w:r>
      <w:r w:rsidR="00655F7D" w:rsidRPr="000729D4">
        <w:rPr>
          <w:lang w:val="fr-FR"/>
        </w:rPr>
        <w:t xml:space="preserve"> leur législation nationale</w:t>
      </w:r>
      <w:r w:rsidR="00DC0FC4" w:rsidRPr="000729D4">
        <w:rPr>
          <w:lang w:val="fr-FR"/>
        </w:rPr>
        <w:t xml:space="preserve">, </w:t>
      </w:r>
      <w:r w:rsidR="00655F7D" w:rsidRPr="000729D4">
        <w:rPr>
          <w:lang w:val="fr-FR"/>
        </w:rPr>
        <w:t>une action du déposant est nécessaire pour apporter une correction aux données bibliographiques</w:t>
      </w:r>
      <w:r w:rsidR="00DB61B2" w:rsidRPr="000729D4">
        <w:rPr>
          <w:lang w:val="fr-FR"/>
        </w:rPr>
        <w:t>,</w:t>
      </w:r>
      <w:r w:rsidR="00655F7D" w:rsidRPr="000729D4">
        <w:rPr>
          <w:lang w:val="fr-FR"/>
        </w:rPr>
        <w:t xml:space="preserve"> et que cela</w:t>
      </w:r>
      <w:r w:rsidR="00DC0FC4" w:rsidRPr="000729D4">
        <w:rPr>
          <w:lang w:val="fr-FR"/>
        </w:rPr>
        <w:t xml:space="preserve"> peut nécessiter le versement de taxes </w:t>
      </w:r>
      <w:r w:rsidR="00DB61B2" w:rsidRPr="000729D4">
        <w:rPr>
          <w:lang w:val="fr-FR"/>
        </w:rPr>
        <w:t>additionnell</w:t>
      </w:r>
      <w:r w:rsidR="000729D4" w:rsidRPr="000729D4">
        <w:rPr>
          <w:lang w:val="fr-FR"/>
        </w:rPr>
        <w:t>es.  Il</w:t>
      </w:r>
      <w:r w:rsidR="00D43440" w:rsidRPr="000729D4">
        <w:rPr>
          <w:lang w:val="fr-FR"/>
        </w:rPr>
        <w:t xml:space="preserve"> en résulte que </w:t>
      </w:r>
      <w:r w:rsidR="001976DA" w:rsidRPr="000729D4">
        <w:rPr>
          <w:lang w:val="fr-FR"/>
        </w:rPr>
        <w:t xml:space="preserve">les offices </w:t>
      </w:r>
      <w:r w:rsidR="00A717E5" w:rsidRPr="000729D4">
        <w:rPr>
          <w:lang w:val="fr-FR"/>
        </w:rPr>
        <w:t>n</w:t>
      </w:r>
      <w:r w:rsidR="006401A6" w:rsidRPr="000729D4">
        <w:rPr>
          <w:lang w:val="fr-FR"/>
        </w:rPr>
        <w:t>’</w:t>
      </w:r>
      <w:r w:rsidR="001976DA" w:rsidRPr="000729D4">
        <w:rPr>
          <w:lang w:val="fr-FR"/>
        </w:rPr>
        <w:t xml:space="preserve">ont </w:t>
      </w:r>
      <w:r w:rsidR="00A717E5" w:rsidRPr="000729D4">
        <w:rPr>
          <w:lang w:val="fr-FR"/>
        </w:rPr>
        <w:t>pas la possibilité</w:t>
      </w:r>
      <w:r w:rsidR="006401A6" w:rsidRPr="000729D4">
        <w:rPr>
          <w:lang w:val="fr-FR"/>
        </w:rPr>
        <w:t> :</w:t>
      </w:r>
    </w:p>
    <w:p w:rsidR="00CB7381" w:rsidRPr="000729D4" w:rsidRDefault="00D77648" w:rsidP="00AE69CC">
      <w:pPr>
        <w:pStyle w:val="ONUMFS"/>
        <w:numPr>
          <w:ilvl w:val="0"/>
          <w:numId w:val="26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 xml:space="preserve">de </w:t>
      </w:r>
      <w:r w:rsidR="001976DA" w:rsidRPr="000729D4">
        <w:rPr>
          <w:lang w:val="fr-FR"/>
        </w:rPr>
        <w:t xml:space="preserve">corriger efficacement les erreurs, </w:t>
      </w:r>
      <w:r w:rsidRPr="000729D4">
        <w:rPr>
          <w:lang w:val="fr-FR"/>
        </w:rPr>
        <w:t>notamment typographiques, se trouvant dans les noms des déposants;</w:t>
      </w:r>
    </w:p>
    <w:p w:rsidR="00CB7381" w:rsidRPr="000729D4" w:rsidRDefault="00D77648" w:rsidP="00AE69CC">
      <w:pPr>
        <w:pStyle w:val="ONUMFS"/>
        <w:numPr>
          <w:ilvl w:val="0"/>
          <w:numId w:val="26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utiliser une variante orthographique du nom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 xml:space="preserve">un déposant </w:t>
      </w:r>
      <w:r w:rsidR="00CB7381" w:rsidRPr="000729D4">
        <w:rPr>
          <w:lang w:val="fr-FR"/>
        </w:rPr>
        <w:t xml:space="preserve">(“IBM” </w:t>
      </w:r>
      <w:r w:rsidRPr="000729D4">
        <w:rPr>
          <w:lang w:val="fr-FR"/>
        </w:rPr>
        <w:t>pour</w:t>
      </w:r>
      <w:r w:rsidR="00CB7381" w:rsidRPr="000729D4">
        <w:rPr>
          <w:lang w:val="fr-FR"/>
        </w:rPr>
        <w:t xml:space="preserve"> “I.B.M.”)</w:t>
      </w:r>
      <w:r w:rsidRPr="000729D4">
        <w:rPr>
          <w:lang w:val="fr-FR"/>
        </w:rPr>
        <w:t>;</w:t>
      </w:r>
    </w:p>
    <w:p w:rsidR="00CB7381" w:rsidRPr="000729D4" w:rsidRDefault="00D32BF3" w:rsidP="00AE69CC">
      <w:pPr>
        <w:pStyle w:val="ONUMFS"/>
        <w:numPr>
          <w:ilvl w:val="0"/>
          <w:numId w:val="26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 xml:space="preserve">adopter </w:t>
      </w:r>
      <w:r w:rsidR="00A436DB" w:rsidRPr="000729D4">
        <w:rPr>
          <w:lang w:val="fr-FR"/>
        </w:rPr>
        <w:t>des règles uniformes d</w:t>
      </w:r>
      <w:r w:rsidR="006401A6" w:rsidRPr="000729D4">
        <w:rPr>
          <w:lang w:val="fr-FR"/>
        </w:rPr>
        <w:t>’</w:t>
      </w:r>
      <w:r w:rsidR="00EC4323" w:rsidRPr="000729D4">
        <w:rPr>
          <w:lang w:val="fr-FR"/>
        </w:rPr>
        <w:t>indication de la</w:t>
      </w:r>
      <w:r w:rsidR="00774DED" w:rsidRPr="000729D4">
        <w:rPr>
          <w:lang w:val="fr-FR"/>
        </w:rPr>
        <w:t xml:space="preserve"> forme légale et </w:t>
      </w:r>
      <w:r w:rsidR="00EC4323" w:rsidRPr="000729D4">
        <w:rPr>
          <w:lang w:val="fr-FR"/>
        </w:rPr>
        <w:t>d</w:t>
      </w:r>
      <w:r w:rsidR="006401A6" w:rsidRPr="000729D4">
        <w:rPr>
          <w:lang w:val="fr-FR"/>
        </w:rPr>
        <w:t>’</w:t>
      </w:r>
      <w:r w:rsidR="00774DED" w:rsidRPr="000729D4">
        <w:rPr>
          <w:lang w:val="fr-FR"/>
        </w:rPr>
        <w:t xml:space="preserve">autres </w:t>
      </w:r>
      <w:r w:rsidR="00CB7381" w:rsidRPr="000729D4">
        <w:rPr>
          <w:lang w:val="fr-FR"/>
        </w:rPr>
        <w:t>“</w:t>
      </w:r>
      <w:r w:rsidR="00774DED" w:rsidRPr="000729D4">
        <w:rPr>
          <w:lang w:val="fr-FR"/>
        </w:rPr>
        <w:t>éléments non significatifs</w:t>
      </w:r>
      <w:r w:rsidR="00CB7381" w:rsidRPr="000729D4">
        <w:rPr>
          <w:lang w:val="fr-FR"/>
        </w:rPr>
        <w:t>”</w:t>
      </w:r>
      <w:r w:rsidR="00CB7381" w:rsidRPr="000729D4">
        <w:rPr>
          <w:rStyle w:val="FootnoteReference"/>
          <w:lang w:val="fr-FR"/>
        </w:rPr>
        <w:footnoteReference w:id="2"/>
      </w:r>
      <w:r w:rsidR="00CB7381" w:rsidRPr="000729D4">
        <w:rPr>
          <w:lang w:val="fr-FR"/>
        </w:rPr>
        <w:t xml:space="preserve"> </w:t>
      </w:r>
      <w:r w:rsidR="00774DED" w:rsidRPr="000729D4">
        <w:rPr>
          <w:lang w:val="fr-FR"/>
        </w:rPr>
        <w:t>des noms des déposants;</w:t>
      </w:r>
    </w:p>
    <w:p w:rsidR="00010EE9" w:rsidRPr="000729D4" w:rsidRDefault="00E1396A" w:rsidP="00AE69CC">
      <w:pPr>
        <w:pStyle w:val="ONUMFS"/>
        <w:numPr>
          <w:ilvl w:val="0"/>
          <w:numId w:val="26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0729D4">
        <w:rPr>
          <w:lang w:val="fr-FR"/>
        </w:rPr>
        <w:t>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 xml:space="preserve">adopter </w:t>
      </w:r>
      <w:r w:rsidR="007B2EAE" w:rsidRPr="000729D4">
        <w:rPr>
          <w:lang w:val="fr-FR"/>
        </w:rPr>
        <w:t xml:space="preserve">des règles uniformes </w:t>
      </w:r>
      <w:r w:rsidR="00A436DB" w:rsidRPr="000729D4">
        <w:rPr>
          <w:lang w:val="fr-FR"/>
        </w:rPr>
        <w:t>d</w:t>
      </w:r>
      <w:r w:rsidR="006401A6" w:rsidRPr="000729D4">
        <w:rPr>
          <w:lang w:val="fr-FR"/>
        </w:rPr>
        <w:t>’</w:t>
      </w:r>
      <w:r w:rsidR="007B2EAE" w:rsidRPr="000729D4">
        <w:rPr>
          <w:lang w:val="fr-FR"/>
        </w:rPr>
        <w:t>utilisation d</w:t>
      </w:r>
      <w:r w:rsidRPr="000729D4">
        <w:rPr>
          <w:lang w:val="fr-FR"/>
        </w:rPr>
        <w:t>es acronymes dans les noms des déposants.</w:t>
      </w:r>
    </w:p>
    <w:p w:rsidR="00E559E8" w:rsidRPr="00E559E8" w:rsidRDefault="00A56799" w:rsidP="00E559E8">
      <w:pPr>
        <w:pStyle w:val="ONUMFS"/>
        <w:rPr>
          <w:lang w:val="fr-FR"/>
        </w:rPr>
      </w:pPr>
      <w:r w:rsidRPr="00E559E8">
        <w:rPr>
          <w:lang w:val="fr-FR"/>
        </w:rPr>
        <w:t>Un</w:t>
      </w:r>
      <w:r w:rsidR="0095738D" w:rsidRPr="00E559E8">
        <w:rPr>
          <w:lang w:val="fr-FR"/>
        </w:rPr>
        <w:t xml:space="preserve">e autre source de problèmes </w:t>
      </w:r>
      <w:r w:rsidRPr="00E559E8">
        <w:rPr>
          <w:lang w:val="fr-FR"/>
        </w:rPr>
        <w:t>est l</w:t>
      </w:r>
      <w:r w:rsidR="006401A6" w:rsidRPr="00E559E8">
        <w:rPr>
          <w:lang w:val="fr-FR"/>
        </w:rPr>
        <w:t>’</w:t>
      </w:r>
      <w:r w:rsidR="006F75A2" w:rsidRPr="00E559E8">
        <w:rPr>
          <w:lang w:val="fr-FR"/>
        </w:rPr>
        <w:t xml:space="preserve">absence de recommandations concernant la présentation des noms étrangers dans les langues de travail des différents offices et la </w:t>
      </w:r>
      <w:r w:rsidR="00A436DB" w:rsidRPr="00E559E8">
        <w:rPr>
          <w:lang w:val="fr-FR"/>
        </w:rPr>
        <w:t xml:space="preserve">fourniture de </w:t>
      </w:r>
      <w:r w:rsidR="006F75A2" w:rsidRPr="00E559E8">
        <w:rPr>
          <w:lang w:val="fr-FR"/>
        </w:rPr>
        <w:t>traduction</w:t>
      </w:r>
      <w:r w:rsidR="00A436DB" w:rsidRPr="00E559E8">
        <w:rPr>
          <w:lang w:val="fr-FR"/>
        </w:rPr>
        <w:t>s</w:t>
      </w:r>
      <w:r w:rsidR="006F75A2" w:rsidRPr="00E559E8">
        <w:rPr>
          <w:lang w:val="fr-FR"/>
        </w:rPr>
        <w:t xml:space="preserve"> (généralement en anglais) des données bibliographiques contenues dans les demandes publiées</w:t>
      </w:r>
      <w:r w:rsidR="00A717E5" w:rsidRPr="00E559E8">
        <w:rPr>
          <w:lang w:val="fr-FR"/>
        </w:rPr>
        <w:t xml:space="preserve"> par les offices aux fins de l</w:t>
      </w:r>
      <w:r w:rsidR="006401A6" w:rsidRPr="00E559E8">
        <w:rPr>
          <w:lang w:val="fr-FR"/>
        </w:rPr>
        <w:t>’</w:t>
      </w:r>
      <w:r w:rsidR="00A717E5" w:rsidRPr="00E559E8">
        <w:rPr>
          <w:lang w:val="fr-FR"/>
        </w:rPr>
        <w:t>échange international de donné</w:t>
      </w:r>
      <w:r w:rsidR="000729D4" w:rsidRPr="00E559E8">
        <w:rPr>
          <w:lang w:val="fr-FR"/>
        </w:rPr>
        <w:t>es.  Le</w:t>
      </w:r>
      <w:r w:rsidR="001E68F7" w:rsidRPr="00E559E8">
        <w:rPr>
          <w:lang w:val="fr-FR"/>
        </w:rPr>
        <w:t xml:space="preserve">s choses se compliquent encore plus </w:t>
      </w:r>
      <w:r w:rsidR="00E33C1C" w:rsidRPr="00E559E8">
        <w:rPr>
          <w:lang w:val="fr-FR"/>
        </w:rPr>
        <w:t xml:space="preserve">lorsque les demandes de brevet sont déposées selon </w:t>
      </w:r>
      <w:r w:rsidR="001E68F7" w:rsidRPr="00E559E8">
        <w:rPr>
          <w:lang w:val="fr-FR"/>
        </w:rPr>
        <w:t>un système régional ou international de protection des droits de propriété intellectuelle (par exemple</w:t>
      </w:r>
      <w:r w:rsidR="006401A6" w:rsidRPr="00E559E8">
        <w:rPr>
          <w:lang w:val="fr-FR"/>
        </w:rPr>
        <w:t xml:space="preserve"> le PCT</w:t>
      </w:r>
      <w:r w:rsidR="001E68F7" w:rsidRPr="00E559E8">
        <w:rPr>
          <w:lang w:val="fr-FR"/>
        </w:rPr>
        <w:t>)</w:t>
      </w:r>
      <w:r w:rsidR="00AB33C2" w:rsidRPr="000729D4">
        <w:rPr>
          <w:rStyle w:val="FootnoteReference"/>
          <w:lang w:val="fr-FR"/>
        </w:rPr>
        <w:footnoteReference w:id="3"/>
      </w:r>
      <w:r w:rsidR="00E33C1C" w:rsidRPr="00E559E8">
        <w:rPr>
          <w:lang w:val="fr-FR"/>
        </w:rPr>
        <w:t>.</w:t>
      </w:r>
      <w:r w:rsidR="00E559E8" w:rsidRPr="00E559E8">
        <w:rPr>
          <w:lang w:val="fr-FR"/>
        </w:rPr>
        <w:br w:type="page"/>
      </w:r>
    </w:p>
    <w:p w:rsidR="00DF3F4F" w:rsidRPr="000729D4" w:rsidRDefault="00E33C1C" w:rsidP="00AE69CC">
      <w:pPr>
        <w:pStyle w:val="ONUMFS"/>
        <w:keepNext/>
        <w:keepLines/>
        <w:spacing w:after="120"/>
        <w:rPr>
          <w:lang w:val="fr-FR"/>
        </w:rPr>
      </w:pPr>
      <w:r w:rsidRPr="000729D4">
        <w:rPr>
          <w:lang w:val="fr-FR"/>
        </w:rPr>
        <w:t xml:space="preserve">Les offices de propriété industrielle </w:t>
      </w:r>
      <w:r w:rsidR="002B68FC" w:rsidRPr="000729D4">
        <w:rPr>
          <w:lang w:val="fr-FR"/>
        </w:rPr>
        <w:t>o</w:t>
      </w:r>
      <w:r w:rsidRPr="000729D4">
        <w:rPr>
          <w:lang w:val="fr-FR"/>
        </w:rPr>
        <w:t xml:space="preserve">nt en outre </w:t>
      </w:r>
      <w:r w:rsidR="002B68FC" w:rsidRPr="000729D4">
        <w:rPr>
          <w:lang w:val="fr-FR"/>
        </w:rPr>
        <w:t xml:space="preserve">à </w:t>
      </w:r>
      <w:r w:rsidRPr="000729D4">
        <w:rPr>
          <w:lang w:val="fr-FR"/>
        </w:rPr>
        <w:t>composer avec tout un éventail de difficultés techniques en ce qui concerne les noms des déposants, par exemple</w:t>
      </w:r>
      <w:r w:rsidR="006401A6" w:rsidRPr="000729D4">
        <w:rPr>
          <w:lang w:val="fr-FR"/>
        </w:rPr>
        <w:t> :</w:t>
      </w:r>
    </w:p>
    <w:p w:rsidR="00A35CDA" w:rsidRPr="000729D4" w:rsidRDefault="0005252E" w:rsidP="00AE69CC">
      <w:pPr>
        <w:pStyle w:val="ONUMFS"/>
        <w:keepNext/>
        <w:keepLines/>
        <w:numPr>
          <w:ilvl w:val="0"/>
          <w:numId w:val="27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 xml:space="preserve">noms de déposants trop </w:t>
      </w:r>
      <w:r w:rsidR="00A35CDA" w:rsidRPr="000729D4">
        <w:rPr>
          <w:lang w:val="fr-FR"/>
        </w:rPr>
        <w:t>long</w:t>
      </w:r>
      <w:r w:rsidRPr="000729D4">
        <w:rPr>
          <w:lang w:val="fr-FR"/>
        </w:rPr>
        <w:t>s pour les champs des bases de données ou des formulaires en ligne</w:t>
      </w:r>
      <w:r w:rsidR="0095738D" w:rsidRPr="000729D4">
        <w:rPr>
          <w:lang w:val="fr-FR"/>
        </w:rPr>
        <w:t>;</w:t>
      </w:r>
    </w:p>
    <w:p w:rsidR="00A35CDA" w:rsidRPr="000729D4" w:rsidRDefault="00A200BC" w:rsidP="00AE69CC">
      <w:pPr>
        <w:pStyle w:val="ONUMFS"/>
        <w:numPr>
          <w:ilvl w:val="0"/>
          <w:numId w:val="27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 xml:space="preserve">corruption de </w:t>
      </w:r>
      <w:r w:rsidR="0095738D" w:rsidRPr="000729D4">
        <w:rPr>
          <w:lang w:val="fr-FR"/>
        </w:rPr>
        <w:t>signes diacritiques ou autres caractères spéciaux</w:t>
      </w:r>
      <w:r w:rsidRPr="000729D4">
        <w:rPr>
          <w:lang w:val="fr-FR"/>
        </w:rPr>
        <w:t>;</w:t>
      </w:r>
    </w:p>
    <w:p w:rsidR="00A35CDA" w:rsidRPr="000729D4" w:rsidRDefault="00455BAB" w:rsidP="00AE69CC">
      <w:pPr>
        <w:pStyle w:val="ONUMFS"/>
        <w:numPr>
          <w:ilvl w:val="0"/>
          <w:numId w:val="27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0729D4">
        <w:rPr>
          <w:lang w:val="fr-FR"/>
        </w:rPr>
        <w:t xml:space="preserve">différences de codes pour des caractères </w:t>
      </w:r>
      <w:r w:rsidR="005D1236" w:rsidRPr="000729D4">
        <w:rPr>
          <w:lang w:val="fr-FR"/>
        </w:rPr>
        <w:t>d</w:t>
      </w:r>
      <w:r w:rsidR="006401A6" w:rsidRPr="000729D4">
        <w:rPr>
          <w:lang w:val="fr-FR"/>
        </w:rPr>
        <w:t>’</w:t>
      </w:r>
      <w:r w:rsidR="005D1236" w:rsidRPr="000729D4">
        <w:rPr>
          <w:lang w:val="fr-FR"/>
        </w:rPr>
        <w:t xml:space="preserve">aspect identique </w:t>
      </w:r>
      <w:r w:rsidR="002A4434" w:rsidRPr="000729D4">
        <w:rPr>
          <w:lang w:val="fr-FR"/>
        </w:rPr>
        <w:t>(par exemple</w:t>
      </w:r>
      <w:r w:rsidR="00510902" w:rsidRPr="000729D4">
        <w:rPr>
          <w:lang w:val="fr-FR"/>
        </w:rPr>
        <w:t xml:space="preserve"> dans le système de codage</w:t>
      </w:r>
      <w:r w:rsidR="0047468A">
        <w:rPr>
          <w:lang w:val="fr-FR"/>
        </w:rPr>
        <w:t> </w:t>
      </w:r>
      <w:r w:rsidR="00510902" w:rsidRPr="000729D4">
        <w:rPr>
          <w:lang w:val="fr-FR"/>
        </w:rPr>
        <w:t>UTF</w:t>
      </w:r>
      <w:r w:rsidR="00057587">
        <w:rPr>
          <w:lang w:val="fr-FR"/>
        </w:rPr>
        <w:noBreakHyphen/>
      </w:r>
      <w:r w:rsidR="00510902" w:rsidRPr="000729D4">
        <w:rPr>
          <w:lang w:val="fr-FR"/>
        </w:rPr>
        <w:t xml:space="preserve">8, le code hexadécimal du </w:t>
      </w:r>
      <w:r w:rsidR="002A4434" w:rsidRPr="000729D4">
        <w:rPr>
          <w:lang w:val="fr-FR"/>
        </w:rPr>
        <w:t xml:space="preserve">caractère cyrillique </w:t>
      </w:r>
      <w:r w:rsidR="0090220F" w:rsidRPr="000729D4">
        <w:rPr>
          <w:lang w:val="fr-FR"/>
        </w:rPr>
        <w:t>“P”</w:t>
      </w:r>
      <w:r w:rsidR="002A4434" w:rsidRPr="000729D4">
        <w:rPr>
          <w:lang w:val="fr-FR"/>
        </w:rPr>
        <w:t xml:space="preserve"> est 0</w:t>
      </w:r>
      <w:r w:rsidR="009B04B6">
        <w:rPr>
          <w:lang w:val="fr-FR"/>
        </w:rPr>
        <w:t>4</w:t>
      </w:r>
      <w:r w:rsidR="002A4434" w:rsidRPr="000729D4">
        <w:rPr>
          <w:lang w:val="fr-FR"/>
        </w:rPr>
        <w:t xml:space="preserve">20, alors que </w:t>
      </w:r>
      <w:r w:rsidR="00510902" w:rsidRPr="000729D4">
        <w:rPr>
          <w:lang w:val="fr-FR"/>
        </w:rPr>
        <w:t>celui</w:t>
      </w:r>
      <w:r w:rsidR="00CE515F" w:rsidRPr="000729D4">
        <w:rPr>
          <w:lang w:val="fr-FR"/>
        </w:rPr>
        <w:t xml:space="preserve"> </w:t>
      </w:r>
      <w:r w:rsidR="002A4434" w:rsidRPr="000729D4">
        <w:rPr>
          <w:lang w:val="fr-FR"/>
        </w:rPr>
        <w:t xml:space="preserve">du caractère latin </w:t>
      </w:r>
      <w:r w:rsidR="0090220F" w:rsidRPr="000729D4">
        <w:rPr>
          <w:lang w:val="fr-FR"/>
        </w:rPr>
        <w:t>“P”</w:t>
      </w:r>
      <w:r w:rsidR="002A4434" w:rsidRPr="000729D4">
        <w:rPr>
          <w:lang w:val="fr-FR"/>
        </w:rPr>
        <w:t xml:space="preserve"> est 0050</w:t>
      </w:r>
      <w:r w:rsidR="0090220F" w:rsidRPr="000729D4">
        <w:rPr>
          <w:lang w:val="fr-FR"/>
        </w:rPr>
        <w:t>)</w:t>
      </w:r>
      <w:r w:rsidR="002A4434" w:rsidRPr="000729D4">
        <w:rPr>
          <w:lang w:val="fr-FR"/>
        </w:rPr>
        <w:t>.</w:t>
      </w:r>
    </w:p>
    <w:p w:rsidR="002B57F0" w:rsidRDefault="009421D7" w:rsidP="00AE69CC">
      <w:pPr>
        <w:pStyle w:val="Heading3"/>
        <w:spacing w:before="0"/>
        <w:rPr>
          <w:lang w:val="fr-FR"/>
        </w:rPr>
      </w:pPr>
      <w:r w:rsidRPr="000729D4">
        <w:rPr>
          <w:lang w:val="fr-FR"/>
        </w:rPr>
        <w:t>Fournisseurs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information en matière de brevets</w:t>
      </w:r>
    </w:p>
    <w:p w:rsidR="001A3F02" w:rsidRPr="000729D4" w:rsidRDefault="00707621" w:rsidP="00AE69CC">
      <w:pPr>
        <w:pStyle w:val="ONUMFS"/>
        <w:rPr>
          <w:lang w:val="fr-FR"/>
        </w:rPr>
      </w:pPr>
      <w:r w:rsidRPr="000729D4">
        <w:rPr>
          <w:lang w:val="fr-FR"/>
        </w:rPr>
        <w:t>Les fournisseurs privés d</w:t>
      </w:r>
      <w:r w:rsidR="0009395C" w:rsidRPr="000729D4">
        <w:rPr>
          <w:lang w:val="fr-FR"/>
        </w:rPr>
        <w:t>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information en matière de brevets consacrent des ressources considérables à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actualisation</w:t>
      </w:r>
      <w:r w:rsidR="00B27486" w:rsidRPr="000729D4">
        <w:rPr>
          <w:lang w:val="fr-FR"/>
        </w:rPr>
        <w:t xml:space="preserve"> de données relatives aux déposants de demandes de brevet et aux titulaires de droi</w:t>
      </w:r>
      <w:r w:rsidR="000729D4" w:rsidRPr="000729D4">
        <w:rPr>
          <w:lang w:val="fr-FR"/>
        </w:rPr>
        <w:t>ts.  L’a</w:t>
      </w:r>
      <w:r w:rsidR="007A5831" w:rsidRPr="000729D4">
        <w:rPr>
          <w:lang w:val="fr-FR"/>
        </w:rPr>
        <w:t>spect le plus problématique pour eux est la piètre qualité de l</w:t>
      </w:r>
      <w:r w:rsidR="006401A6" w:rsidRPr="000729D4">
        <w:rPr>
          <w:lang w:val="fr-FR"/>
        </w:rPr>
        <w:t>’</w:t>
      </w:r>
      <w:r w:rsidR="007A5831" w:rsidRPr="000729D4">
        <w:rPr>
          <w:lang w:val="fr-FR"/>
        </w:rPr>
        <w:t>information “brute” relative aux noms des déposan</w:t>
      </w:r>
      <w:r w:rsidR="000729D4" w:rsidRPr="000729D4">
        <w:rPr>
          <w:lang w:val="fr-FR"/>
        </w:rPr>
        <w:t>ts.  De</w:t>
      </w:r>
      <w:r w:rsidR="005B22DC" w:rsidRPr="000729D4">
        <w:rPr>
          <w:lang w:val="fr-FR"/>
        </w:rPr>
        <w:t>s corrections ou une révision des données sont nécessaires dans 20% environ des brevets trait</w:t>
      </w:r>
      <w:r w:rsidR="000729D4" w:rsidRPr="000729D4">
        <w:rPr>
          <w:lang w:val="fr-FR"/>
        </w:rPr>
        <w:t>és.  Ce</w:t>
      </w:r>
      <w:r w:rsidR="005B22DC" w:rsidRPr="000729D4">
        <w:rPr>
          <w:lang w:val="fr-FR"/>
        </w:rPr>
        <w:t>la représente 11 000</w:t>
      </w:r>
      <w:r w:rsidR="0047468A">
        <w:rPr>
          <w:lang w:val="fr-FR"/>
        </w:rPr>
        <w:t> </w:t>
      </w:r>
      <w:r w:rsidR="005B22DC" w:rsidRPr="000729D4">
        <w:rPr>
          <w:lang w:val="fr-FR"/>
        </w:rPr>
        <w:t>brevets par semaine,</w:t>
      </w:r>
      <w:r w:rsidR="006210AB" w:rsidRPr="000729D4">
        <w:rPr>
          <w:lang w:val="fr-FR"/>
        </w:rPr>
        <w:t xml:space="preserve"> </w:t>
      </w:r>
      <w:r w:rsidR="00B87CCB" w:rsidRPr="000729D4">
        <w:rPr>
          <w:lang w:val="fr-FR"/>
        </w:rPr>
        <w:t xml:space="preserve">et nécessite un </w:t>
      </w:r>
      <w:r w:rsidR="002D0D36" w:rsidRPr="000729D4">
        <w:rPr>
          <w:lang w:val="fr-FR"/>
        </w:rPr>
        <w:t xml:space="preserve">surcroît de </w:t>
      </w:r>
      <w:r w:rsidR="00947E73" w:rsidRPr="000729D4">
        <w:rPr>
          <w:lang w:val="fr-FR"/>
        </w:rPr>
        <w:t>travail i</w:t>
      </w:r>
      <w:r w:rsidR="006210AB" w:rsidRPr="000729D4">
        <w:rPr>
          <w:lang w:val="fr-FR"/>
        </w:rPr>
        <w:t xml:space="preserve">ntellectuel </w:t>
      </w:r>
      <w:r w:rsidR="000F524A" w:rsidRPr="000729D4">
        <w:rPr>
          <w:lang w:val="fr-FR"/>
        </w:rPr>
        <w:t>(</w:t>
      </w:r>
      <w:r w:rsidR="006210AB" w:rsidRPr="000729D4">
        <w:rPr>
          <w:lang w:val="fr-FR"/>
        </w:rPr>
        <w:t>pour plus de détails, voir</w:t>
      </w:r>
      <w:r w:rsidR="0009395C" w:rsidRPr="000729D4">
        <w:rPr>
          <w:lang w:val="fr-FR"/>
        </w:rPr>
        <w:t xml:space="preserve"> ci</w:t>
      </w:r>
      <w:r w:rsidR="00057587">
        <w:rPr>
          <w:lang w:val="fr-FR"/>
        </w:rPr>
        <w:noBreakHyphen/>
      </w:r>
      <w:r w:rsidR="0009395C" w:rsidRPr="000729D4">
        <w:rPr>
          <w:lang w:val="fr-FR"/>
        </w:rPr>
        <w:t>après “Pratiques et solutions existantes” et “Thomson Reuters”</w:t>
      </w:r>
      <w:r w:rsidR="000F524A" w:rsidRPr="000729D4">
        <w:rPr>
          <w:lang w:val="fr-FR"/>
        </w:rPr>
        <w:t>)</w:t>
      </w:r>
      <w:r w:rsidR="006210AB" w:rsidRPr="000729D4">
        <w:rPr>
          <w:lang w:val="fr-FR"/>
        </w:rPr>
        <w:t>.</w:t>
      </w:r>
    </w:p>
    <w:p w:rsidR="004E1CE0" w:rsidRDefault="00947E73" w:rsidP="00AE69CC">
      <w:pPr>
        <w:pStyle w:val="Heading3"/>
        <w:spacing w:before="0"/>
        <w:rPr>
          <w:lang w:val="fr-FR"/>
        </w:rPr>
      </w:pPr>
      <w:r w:rsidRPr="000729D4">
        <w:rPr>
          <w:lang w:val="fr-FR"/>
        </w:rPr>
        <w:t xml:space="preserve">Résumé et </w:t>
      </w:r>
      <w:r w:rsidR="004E1CE0" w:rsidRPr="000729D4">
        <w:rPr>
          <w:lang w:val="fr-FR"/>
        </w:rPr>
        <w:t>conclusions</w:t>
      </w:r>
    </w:p>
    <w:p w:rsidR="004E1CE0" w:rsidRPr="000729D4" w:rsidRDefault="00F4633A" w:rsidP="00AE69CC">
      <w:pPr>
        <w:pStyle w:val="ONUMFS"/>
        <w:rPr>
          <w:lang w:val="fr-FR"/>
        </w:rPr>
      </w:pPr>
      <w:r w:rsidRPr="000729D4">
        <w:rPr>
          <w:lang w:val="fr-FR"/>
        </w:rPr>
        <w:t>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absence de normalisation des noms des déposants constitue depuis longtemps un problème pour les utilisateurs de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information en matière de brevets.</w:t>
      </w:r>
    </w:p>
    <w:p w:rsidR="004E1CE0" w:rsidRPr="000729D4" w:rsidRDefault="00F4633A" w:rsidP="00AE69CC">
      <w:pPr>
        <w:pStyle w:val="ONUMFS"/>
        <w:rPr>
          <w:lang w:val="fr-FR"/>
        </w:rPr>
      </w:pPr>
      <w:r w:rsidRPr="000729D4">
        <w:rPr>
          <w:lang w:val="fr-FR"/>
        </w:rPr>
        <w:t>Les fournisseurs privés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information en matière de propriété industrielle</w:t>
      </w:r>
      <w:r w:rsidR="003022EA" w:rsidRPr="000729D4">
        <w:rPr>
          <w:lang w:val="fr-FR"/>
        </w:rPr>
        <w:t xml:space="preserve"> investis</w:t>
      </w:r>
      <w:r w:rsidR="00BE6F72" w:rsidRPr="000729D4">
        <w:rPr>
          <w:lang w:val="fr-FR"/>
        </w:rPr>
        <w:t xml:space="preserve">sent des moyens importants pour uniformiser les noms des déposants dans leurs produits; </w:t>
      </w:r>
      <w:r w:rsidR="008F79A5" w:rsidRPr="000729D4">
        <w:rPr>
          <w:lang w:val="fr-FR"/>
        </w:rPr>
        <w:t xml:space="preserve"> leur tâche est </w:t>
      </w:r>
      <w:r w:rsidR="002D0D36" w:rsidRPr="000729D4">
        <w:rPr>
          <w:lang w:val="fr-FR"/>
        </w:rPr>
        <w:t xml:space="preserve">rendue </w:t>
      </w:r>
      <w:r w:rsidR="008F79A5" w:rsidRPr="000729D4">
        <w:rPr>
          <w:lang w:val="fr-FR"/>
        </w:rPr>
        <w:t>extrêmement difficile</w:t>
      </w:r>
      <w:r w:rsidR="002D0D36" w:rsidRPr="000729D4">
        <w:rPr>
          <w:lang w:val="fr-FR"/>
        </w:rPr>
        <w:t xml:space="preserve"> par le fait que </w:t>
      </w:r>
      <w:r w:rsidR="00B431FA" w:rsidRPr="000729D4">
        <w:rPr>
          <w:lang w:val="fr-FR"/>
        </w:rPr>
        <w:t>l</w:t>
      </w:r>
      <w:r w:rsidR="006401A6" w:rsidRPr="000729D4">
        <w:rPr>
          <w:lang w:val="fr-FR"/>
        </w:rPr>
        <w:t>’</w:t>
      </w:r>
      <w:r w:rsidR="00B431FA" w:rsidRPr="000729D4">
        <w:rPr>
          <w:lang w:val="fr-FR"/>
        </w:rPr>
        <w:t>information de base (celle qui est publiée par les offices de propriété industrielle)</w:t>
      </w:r>
      <w:r w:rsidR="00FE31FD" w:rsidRPr="000729D4">
        <w:rPr>
          <w:lang w:val="fr-FR"/>
        </w:rPr>
        <w:t xml:space="preserve"> n</w:t>
      </w:r>
      <w:r w:rsidR="006401A6" w:rsidRPr="000729D4">
        <w:rPr>
          <w:lang w:val="fr-FR"/>
        </w:rPr>
        <w:t>’</w:t>
      </w:r>
      <w:r w:rsidR="00FE31FD" w:rsidRPr="000729D4">
        <w:rPr>
          <w:lang w:val="fr-FR"/>
        </w:rPr>
        <w:t>est pas suffisamment normalisée.</w:t>
      </w:r>
    </w:p>
    <w:p w:rsidR="005626FF" w:rsidRPr="000729D4" w:rsidRDefault="002D0D36" w:rsidP="00AE69CC">
      <w:pPr>
        <w:pStyle w:val="ONUMFS"/>
        <w:rPr>
          <w:lang w:val="fr-FR"/>
        </w:rPr>
      </w:pPr>
      <w:r w:rsidRPr="000729D4">
        <w:rPr>
          <w:lang w:val="fr-FR"/>
        </w:rPr>
        <w:t>Les offices de propriété industrielle sont pleinement conscients des difficultés</w:t>
      </w:r>
      <w:r w:rsidR="00587004" w:rsidRPr="000729D4">
        <w:rPr>
          <w:lang w:val="fr-FR"/>
        </w:rPr>
        <w:t xml:space="preserve"> posées aux utilisateurs, </w:t>
      </w:r>
      <w:r w:rsidR="00BF7ACE" w:rsidRPr="000729D4">
        <w:rPr>
          <w:lang w:val="fr-FR"/>
        </w:rPr>
        <w:t xml:space="preserve">mais ne disposent </w:t>
      </w:r>
      <w:r w:rsidR="00717FA4" w:rsidRPr="000729D4">
        <w:rPr>
          <w:lang w:val="fr-FR"/>
        </w:rPr>
        <w:t>ni</w:t>
      </w:r>
      <w:r w:rsidR="00BF7ACE" w:rsidRPr="000729D4">
        <w:rPr>
          <w:lang w:val="fr-FR"/>
        </w:rPr>
        <w:t xml:space="preserve"> des ressources</w:t>
      </w:r>
      <w:r w:rsidR="00717FA4" w:rsidRPr="000729D4">
        <w:rPr>
          <w:lang w:val="fr-FR"/>
        </w:rPr>
        <w:t xml:space="preserve"> ni</w:t>
      </w:r>
      <w:r w:rsidR="00BF7ACE" w:rsidRPr="000729D4">
        <w:rPr>
          <w:lang w:val="fr-FR"/>
        </w:rPr>
        <w:t xml:space="preserve"> des connaissances ou des pouvoirs</w:t>
      </w:r>
      <w:r w:rsidRPr="000729D4">
        <w:rPr>
          <w:lang w:val="fr-FR"/>
        </w:rPr>
        <w:t xml:space="preserve"> </w:t>
      </w:r>
      <w:r w:rsidR="001E6DF9" w:rsidRPr="000729D4">
        <w:rPr>
          <w:lang w:val="fr-FR"/>
        </w:rPr>
        <w:t xml:space="preserve">nécessaires pour </w:t>
      </w:r>
      <w:r w:rsidR="007516B0" w:rsidRPr="000729D4">
        <w:rPr>
          <w:lang w:val="fr-FR"/>
        </w:rPr>
        <w:t>renforcer la</w:t>
      </w:r>
      <w:r w:rsidR="001E6DF9" w:rsidRPr="000729D4">
        <w:rPr>
          <w:lang w:val="fr-FR"/>
        </w:rPr>
        <w:t xml:space="preserve"> “qualité à la source” </w:t>
      </w:r>
      <w:r w:rsidR="007516B0" w:rsidRPr="000729D4">
        <w:rPr>
          <w:lang w:val="fr-FR"/>
        </w:rPr>
        <w:t>des noms des déposants qu</w:t>
      </w:r>
      <w:r w:rsidR="006401A6" w:rsidRPr="000729D4">
        <w:rPr>
          <w:lang w:val="fr-FR"/>
        </w:rPr>
        <w:t>’</w:t>
      </w:r>
      <w:r w:rsidR="007516B0" w:rsidRPr="000729D4">
        <w:rPr>
          <w:lang w:val="fr-FR"/>
        </w:rPr>
        <w:t>ils acceptent et publient.</w:t>
      </w:r>
    </w:p>
    <w:p w:rsidR="002B57F0" w:rsidRDefault="000729D4" w:rsidP="00AE69CC">
      <w:pPr>
        <w:pStyle w:val="Heading2"/>
        <w:spacing w:before="0"/>
        <w:rPr>
          <w:lang w:val="fr-FR"/>
        </w:rPr>
      </w:pPr>
      <w:r>
        <w:rPr>
          <w:lang w:val="fr-FR"/>
        </w:rPr>
        <w:t>P</w:t>
      </w:r>
      <w:r w:rsidR="00896C07" w:rsidRPr="000729D4">
        <w:rPr>
          <w:lang w:val="fr-FR"/>
        </w:rPr>
        <w:t>ratiques et solutions existantes</w:t>
      </w:r>
    </w:p>
    <w:p w:rsidR="00AA35F5" w:rsidRPr="000729D4" w:rsidRDefault="00D8760C" w:rsidP="00AE69CC">
      <w:pPr>
        <w:pStyle w:val="ONUMFS"/>
        <w:spacing w:after="120"/>
        <w:rPr>
          <w:lang w:val="fr-FR"/>
        </w:rPr>
      </w:pPr>
      <w:r w:rsidRPr="000729D4">
        <w:rPr>
          <w:lang w:val="fr-FR"/>
        </w:rPr>
        <w:t xml:space="preserve">Le processus de normalisation des noms des déposants </w:t>
      </w:r>
      <w:r w:rsidR="0015460E" w:rsidRPr="000729D4">
        <w:rPr>
          <w:lang w:val="fr-FR"/>
        </w:rPr>
        <w:t>comporte</w:t>
      </w:r>
      <w:r w:rsidRPr="000729D4">
        <w:rPr>
          <w:lang w:val="fr-FR"/>
        </w:rPr>
        <w:t xml:space="preserve"> quatre</w:t>
      </w:r>
      <w:r w:rsidR="00A92EE9" w:rsidRPr="000729D4">
        <w:rPr>
          <w:lang w:val="fr-FR"/>
        </w:rPr>
        <w:t> </w:t>
      </w:r>
      <w:r w:rsidR="006409B8" w:rsidRPr="000729D4">
        <w:rPr>
          <w:lang w:val="fr-FR"/>
        </w:rPr>
        <w:t>degrés</w:t>
      </w:r>
      <w:r w:rsidR="00AA35F5" w:rsidRPr="000729D4">
        <w:rPr>
          <w:rStyle w:val="FootnoteReference"/>
          <w:lang w:val="fr-FR"/>
        </w:rPr>
        <w:footnoteReference w:id="4"/>
      </w:r>
      <w:r w:rsidR="006401A6" w:rsidRPr="000729D4">
        <w:rPr>
          <w:lang w:val="fr-FR"/>
        </w:rPr>
        <w:t> :</w:t>
      </w:r>
    </w:p>
    <w:p w:rsidR="00AA35F5" w:rsidRPr="000729D4" w:rsidRDefault="006E33F6" w:rsidP="00AE69CC">
      <w:pPr>
        <w:pStyle w:val="ONUMFS"/>
        <w:numPr>
          <w:ilvl w:val="0"/>
          <w:numId w:val="28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uniformisation</w:t>
      </w:r>
      <w:r w:rsidR="006401A6" w:rsidRPr="000729D4">
        <w:rPr>
          <w:lang w:val="fr-FR"/>
        </w:rPr>
        <w:t> :</w:t>
      </w:r>
      <w:r w:rsidRPr="000729D4">
        <w:rPr>
          <w:lang w:val="fr-FR"/>
        </w:rPr>
        <w:t xml:space="preserve"> </w:t>
      </w:r>
      <w:r w:rsidR="00A26F1B" w:rsidRPr="000729D4">
        <w:rPr>
          <w:lang w:val="fr-FR"/>
        </w:rPr>
        <w:t>correction des erreurs mineures (</w:t>
      </w:r>
      <w:r w:rsidR="00307337" w:rsidRPr="000729D4">
        <w:rPr>
          <w:lang w:val="fr-FR"/>
        </w:rPr>
        <w:t>celles</w:t>
      </w:r>
      <w:r w:rsidR="00057587">
        <w:rPr>
          <w:lang w:val="fr-FR"/>
        </w:rPr>
        <w:noBreakHyphen/>
      </w:r>
      <w:r w:rsidR="00307337" w:rsidRPr="000729D4">
        <w:rPr>
          <w:lang w:val="fr-FR"/>
        </w:rPr>
        <w:t xml:space="preserve">ci pouvant </w:t>
      </w:r>
      <w:r w:rsidR="00D13F1A" w:rsidRPr="000729D4">
        <w:rPr>
          <w:lang w:val="fr-FR"/>
        </w:rPr>
        <w:t xml:space="preserve">conduire à la création de plusieurs </w:t>
      </w:r>
      <w:r w:rsidR="00307337" w:rsidRPr="000729D4">
        <w:rPr>
          <w:lang w:val="fr-FR"/>
        </w:rPr>
        <w:t>variantes du nom d</w:t>
      </w:r>
      <w:r w:rsidR="006401A6" w:rsidRPr="000729D4">
        <w:rPr>
          <w:lang w:val="fr-FR"/>
        </w:rPr>
        <w:t>’</w:t>
      </w:r>
      <w:r w:rsidR="00307337" w:rsidRPr="000729D4">
        <w:rPr>
          <w:lang w:val="fr-FR"/>
        </w:rPr>
        <w:t xml:space="preserve">un </w:t>
      </w:r>
      <w:r w:rsidR="00D13F1A" w:rsidRPr="000729D4">
        <w:rPr>
          <w:lang w:val="fr-FR"/>
        </w:rPr>
        <w:t xml:space="preserve">même </w:t>
      </w:r>
      <w:r w:rsidR="00307337" w:rsidRPr="000729D4">
        <w:rPr>
          <w:lang w:val="fr-FR"/>
        </w:rPr>
        <w:t>déposant);</w:t>
      </w:r>
    </w:p>
    <w:p w:rsidR="00AA35F5" w:rsidRPr="000729D4" w:rsidRDefault="006E33F6" w:rsidP="00AE69CC">
      <w:pPr>
        <w:pStyle w:val="ONUMFS"/>
        <w:numPr>
          <w:ilvl w:val="0"/>
          <w:numId w:val="28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harmon</w:t>
      </w:r>
      <w:r w:rsidR="005F5C31" w:rsidRPr="000729D4">
        <w:rPr>
          <w:lang w:val="fr-FR"/>
        </w:rPr>
        <w:t>i</w:t>
      </w:r>
      <w:r w:rsidR="00D13F1A" w:rsidRPr="000729D4">
        <w:rPr>
          <w:lang w:val="fr-FR"/>
        </w:rPr>
        <w:t>s</w:t>
      </w:r>
      <w:r w:rsidR="00AA35F5" w:rsidRPr="000729D4">
        <w:rPr>
          <w:lang w:val="fr-FR"/>
        </w:rPr>
        <w:t>ation</w:t>
      </w:r>
      <w:r w:rsidR="006401A6" w:rsidRPr="000729D4">
        <w:rPr>
          <w:lang w:val="fr-FR"/>
        </w:rPr>
        <w:t> :</w:t>
      </w:r>
      <w:r w:rsidRPr="000729D4">
        <w:rPr>
          <w:lang w:val="fr-FR"/>
        </w:rPr>
        <w:t xml:space="preserve"> utilisation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une forme</w:t>
      </w:r>
      <w:r w:rsidR="005F5C31" w:rsidRPr="000729D4">
        <w:rPr>
          <w:lang w:val="fr-FR"/>
        </w:rPr>
        <w:t xml:space="preserve"> </w:t>
      </w:r>
      <w:r w:rsidR="00525336" w:rsidRPr="000729D4">
        <w:rPr>
          <w:lang w:val="fr-FR"/>
        </w:rPr>
        <w:t xml:space="preserve">donnée </w:t>
      </w:r>
      <w:r w:rsidR="005F5C31" w:rsidRPr="000729D4">
        <w:rPr>
          <w:lang w:val="fr-FR"/>
        </w:rPr>
        <w:t>du nom du déposant (</w:t>
      </w:r>
      <w:r w:rsidR="00E84E7C" w:rsidRPr="000729D4">
        <w:rPr>
          <w:lang w:val="fr-FR"/>
        </w:rPr>
        <w:t>qui</w:t>
      </w:r>
      <w:r w:rsidR="0015460E" w:rsidRPr="000729D4">
        <w:rPr>
          <w:lang w:val="fr-FR"/>
        </w:rPr>
        <w:t xml:space="preserve"> n</w:t>
      </w:r>
      <w:r w:rsidR="006401A6" w:rsidRPr="000729D4">
        <w:rPr>
          <w:lang w:val="fr-FR"/>
        </w:rPr>
        <w:t>’</w:t>
      </w:r>
      <w:r w:rsidR="0015460E" w:rsidRPr="000729D4">
        <w:rPr>
          <w:lang w:val="fr-FR"/>
        </w:rPr>
        <w:t>est</w:t>
      </w:r>
      <w:r w:rsidR="005F5C31" w:rsidRPr="000729D4">
        <w:rPr>
          <w:lang w:val="fr-FR"/>
        </w:rPr>
        <w:t xml:space="preserve"> pas </w:t>
      </w:r>
      <w:r w:rsidR="00525336" w:rsidRPr="000729D4">
        <w:rPr>
          <w:lang w:val="fr-FR"/>
        </w:rPr>
        <w:t>toujours</w:t>
      </w:r>
      <w:r w:rsidR="005F5C31" w:rsidRPr="000729D4">
        <w:rPr>
          <w:lang w:val="fr-FR"/>
        </w:rPr>
        <w:t xml:space="preserve"> </w:t>
      </w:r>
      <w:r w:rsidR="00525336" w:rsidRPr="000729D4">
        <w:rPr>
          <w:lang w:val="fr-FR"/>
        </w:rPr>
        <w:t xml:space="preserve">le nom </w:t>
      </w:r>
      <w:r w:rsidR="00E84E7C" w:rsidRPr="000729D4">
        <w:rPr>
          <w:lang w:val="fr-FR"/>
        </w:rPr>
        <w:t>du</w:t>
      </w:r>
      <w:r w:rsidR="005F5C31" w:rsidRPr="000729D4">
        <w:rPr>
          <w:lang w:val="fr-FR"/>
        </w:rPr>
        <w:t xml:space="preserve"> titulaire</w:t>
      </w:r>
      <w:r w:rsidR="008714FB" w:rsidRPr="000729D4">
        <w:rPr>
          <w:lang w:val="fr-FR"/>
        </w:rPr>
        <w:t xml:space="preserve"> proprement dit</w:t>
      </w:r>
      <w:r w:rsidR="00095773" w:rsidRPr="000729D4">
        <w:rPr>
          <w:lang w:val="fr-FR"/>
        </w:rPr>
        <w:t>, les droits de propriété industrielle p</w:t>
      </w:r>
      <w:r w:rsidR="008714FB" w:rsidRPr="000729D4">
        <w:rPr>
          <w:lang w:val="fr-FR"/>
        </w:rPr>
        <w:t>o</w:t>
      </w:r>
      <w:r w:rsidR="00095773" w:rsidRPr="000729D4">
        <w:rPr>
          <w:lang w:val="fr-FR"/>
        </w:rPr>
        <w:t>uv</w:t>
      </w:r>
      <w:r w:rsidR="008714FB" w:rsidRPr="000729D4">
        <w:rPr>
          <w:lang w:val="fr-FR"/>
        </w:rPr>
        <w:t>a</w:t>
      </w:r>
      <w:r w:rsidR="00095773" w:rsidRPr="000729D4">
        <w:rPr>
          <w:lang w:val="fr-FR"/>
        </w:rPr>
        <w:t>nt</w:t>
      </w:r>
      <w:r w:rsidR="008714FB" w:rsidRPr="000729D4">
        <w:rPr>
          <w:lang w:val="fr-FR"/>
        </w:rPr>
        <w:t>, par exemple,</w:t>
      </w:r>
      <w:r w:rsidR="00095773" w:rsidRPr="000729D4">
        <w:rPr>
          <w:lang w:val="fr-FR"/>
        </w:rPr>
        <w:t xml:space="preserve"> être enregistrés au nom d</w:t>
      </w:r>
      <w:r w:rsidR="006401A6" w:rsidRPr="000729D4">
        <w:rPr>
          <w:lang w:val="fr-FR"/>
        </w:rPr>
        <w:t>’</w:t>
      </w:r>
      <w:r w:rsidR="00095773" w:rsidRPr="000729D4">
        <w:rPr>
          <w:lang w:val="fr-FR"/>
        </w:rPr>
        <w:t>une filiale</w:t>
      </w:r>
      <w:r w:rsidR="00366641" w:rsidRPr="000729D4">
        <w:rPr>
          <w:lang w:val="fr-FR"/>
        </w:rPr>
        <w:t xml:space="preserve">, </w:t>
      </w:r>
      <w:r w:rsidR="00E84E7C" w:rsidRPr="000729D4">
        <w:rPr>
          <w:lang w:val="fr-FR"/>
        </w:rPr>
        <w:t>a</w:t>
      </w:r>
      <w:r w:rsidR="00366641" w:rsidRPr="000729D4">
        <w:rPr>
          <w:lang w:val="fr-FR"/>
        </w:rPr>
        <w:t>lors</w:t>
      </w:r>
      <w:r w:rsidR="00E84E7C" w:rsidRPr="000729D4">
        <w:rPr>
          <w:lang w:val="fr-FR"/>
        </w:rPr>
        <w:t xml:space="preserve"> </w:t>
      </w:r>
      <w:r w:rsidR="00366641" w:rsidRPr="000729D4">
        <w:rPr>
          <w:lang w:val="fr-FR"/>
        </w:rPr>
        <w:t>que le bénéficiaire est la maison</w:t>
      </w:r>
      <w:r w:rsidR="0088544C" w:rsidRPr="000729D4">
        <w:rPr>
          <w:lang w:val="fr-FR"/>
        </w:rPr>
        <w:t xml:space="preserve"> </w:t>
      </w:r>
      <w:r w:rsidR="00366641" w:rsidRPr="000729D4">
        <w:rPr>
          <w:lang w:val="fr-FR"/>
        </w:rPr>
        <w:t>mère);</w:t>
      </w:r>
    </w:p>
    <w:p w:rsidR="00AA35F5" w:rsidRPr="000729D4" w:rsidRDefault="0015460E" w:rsidP="00AE69CC">
      <w:pPr>
        <w:pStyle w:val="ONUMFS"/>
        <w:numPr>
          <w:ilvl w:val="0"/>
          <w:numId w:val="28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mise en contexte de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information relative au nom du déposant</w:t>
      </w:r>
      <w:r w:rsidR="00AF43A8" w:rsidRPr="000729D4">
        <w:rPr>
          <w:lang w:val="fr-FR"/>
        </w:rPr>
        <w:t xml:space="preserve"> par l</w:t>
      </w:r>
      <w:r w:rsidR="006401A6" w:rsidRPr="000729D4">
        <w:rPr>
          <w:lang w:val="fr-FR"/>
        </w:rPr>
        <w:t>’</w:t>
      </w:r>
      <w:r w:rsidR="003A2F27" w:rsidRPr="000729D4">
        <w:rPr>
          <w:lang w:val="fr-FR"/>
        </w:rPr>
        <w:t>indication de la structure d</w:t>
      </w:r>
      <w:r w:rsidR="006401A6" w:rsidRPr="000729D4">
        <w:rPr>
          <w:lang w:val="fr-FR"/>
        </w:rPr>
        <w:t>’</w:t>
      </w:r>
      <w:r w:rsidR="003A2F27" w:rsidRPr="000729D4">
        <w:rPr>
          <w:lang w:val="fr-FR"/>
        </w:rPr>
        <w:t>entreprise (lors du dépôt de la demande);</w:t>
      </w:r>
    </w:p>
    <w:p w:rsidR="00AA35F5" w:rsidRPr="000729D4" w:rsidRDefault="0053301B" w:rsidP="00AE69CC">
      <w:pPr>
        <w:pStyle w:val="ONUMFS"/>
        <w:numPr>
          <w:ilvl w:val="0"/>
          <w:numId w:val="28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0729D4">
        <w:rPr>
          <w:lang w:val="fr-FR"/>
        </w:rPr>
        <w:t xml:space="preserve">suivi </w:t>
      </w:r>
      <w:r w:rsidR="002E0885" w:rsidRPr="000729D4">
        <w:rPr>
          <w:lang w:val="fr-FR"/>
        </w:rPr>
        <w:t>diligent</w:t>
      </w:r>
      <w:r w:rsidRPr="000729D4">
        <w:rPr>
          <w:lang w:val="fr-FR"/>
        </w:rPr>
        <w:t xml:space="preserve"> des changements de titularité</w:t>
      </w:r>
      <w:r w:rsidR="00F75334" w:rsidRPr="000729D4">
        <w:rPr>
          <w:lang w:val="fr-FR"/>
        </w:rPr>
        <w:t>.</w:t>
      </w:r>
    </w:p>
    <w:p w:rsidR="00AA35F5" w:rsidRPr="000729D4" w:rsidRDefault="001B73CC" w:rsidP="00E559E8">
      <w:pPr>
        <w:pStyle w:val="ONUMFS"/>
        <w:spacing w:after="120"/>
        <w:rPr>
          <w:lang w:val="fr-FR"/>
        </w:rPr>
      </w:pPr>
      <w:r w:rsidRPr="000729D4">
        <w:rPr>
          <w:lang w:val="fr-FR"/>
        </w:rPr>
        <w:t xml:space="preserve">Le choix du </w:t>
      </w:r>
      <w:r w:rsidR="006409B8" w:rsidRPr="000729D4">
        <w:rPr>
          <w:lang w:val="fr-FR"/>
        </w:rPr>
        <w:t>degré</w:t>
      </w:r>
      <w:r w:rsidRPr="000729D4">
        <w:rPr>
          <w:lang w:val="fr-FR"/>
        </w:rPr>
        <w:t xml:space="preserve"> de normalisation à viser est un exercice complexe, d</w:t>
      </w:r>
      <w:r w:rsidR="001A1484" w:rsidRPr="000729D4">
        <w:rPr>
          <w:lang w:val="fr-FR"/>
        </w:rPr>
        <w:t xml:space="preserve">éterminé par </w:t>
      </w:r>
      <w:r w:rsidR="006409B8" w:rsidRPr="000729D4">
        <w:rPr>
          <w:lang w:val="fr-FR"/>
        </w:rPr>
        <w:t>le but recherché</w:t>
      </w:r>
      <w:r w:rsidRPr="000729D4">
        <w:rPr>
          <w:lang w:val="fr-FR"/>
        </w:rPr>
        <w:t>.</w:t>
      </w:r>
    </w:p>
    <w:p w:rsidR="00E559E8" w:rsidRPr="00E559E8" w:rsidRDefault="0087432B" w:rsidP="00E559E8">
      <w:pPr>
        <w:pStyle w:val="ONUMFS"/>
        <w:rPr>
          <w:rFonts w:eastAsia="SimSun"/>
          <w:bCs/>
          <w:szCs w:val="26"/>
          <w:u w:val="single"/>
          <w:lang w:val="fr-FR"/>
        </w:rPr>
      </w:pPr>
      <w:r w:rsidRPr="00E559E8">
        <w:rPr>
          <w:lang w:val="fr-FR"/>
        </w:rPr>
        <w:t>Différentes approches adoptées par les parties sont expliquées ci</w:t>
      </w:r>
      <w:r w:rsidR="00057587" w:rsidRPr="00E559E8">
        <w:rPr>
          <w:lang w:val="fr-FR"/>
        </w:rPr>
        <w:noBreakHyphen/>
      </w:r>
      <w:r w:rsidRPr="00E559E8">
        <w:rPr>
          <w:lang w:val="fr-FR"/>
        </w:rPr>
        <w:t>après.</w:t>
      </w:r>
      <w:r w:rsidR="00E559E8" w:rsidRPr="00E559E8">
        <w:rPr>
          <w:rFonts w:eastAsia="SimSun"/>
          <w:bCs/>
          <w:szCs w:val="26"/>
          <w:u w:val="single"/>
          <w:lang w:val="fr-FR"/>
        </w:rPr>
        <w:br w:type="page"/>
      </w:r>
    </w:p>
    <w:p w:rsidR="00DF3F4F" w:rsidRDefault="00F47719" w:rsidP="00AE69CC">
      <w:pPr>
        <w:pStyle w:val="Heading3"/>
        <w:spacing w:before="0"/>
        <w:rPr>
          <w:lang w:val="fr-FR"/>
        </w:rPr>
      </w:pPr>
      <w:r w:rsidRPr="000729D4">
        <w:rPr>
          <w:lang w:val="fr-FR"/>
        </w:rPr>
        <w:t>Coopé</w:t>
      </w:r>
      <w:r w:rsidR="00DF3F4F" w:rsidRPr="000729D4">
        <w:rPr>
          <w:lang w:val="fr-FR"/>
        </w:rPr>
        <w:t xml:space="preserve">ration </w:t>
      </w:r>
      <w:r w:rsidRPr="000729D4">
        <w:rPr>
          <w:lang w:val="fr-FR"/>
        </w:rPr>
        <w:t>entre les offices de l</w:t>
      </w:r>
      <w:r w:rsidR="006401A6" w:rsidRPr="000729D4">
        <w:rPr>
          <w:lang w:val="fr-FR"/>
        </w:rPr>
        <w:t>’</w:t>
      </w:r>
      <w:r w:rsidR="00DF3F4F" w:rsidRPr="000729D4">
        <w:rPr>
          <w:lang w:val="fr-FR"/>
        </w:rPr>
        <w:t>IP5</w:t>
      </w:r>
    </w:p>
    <w:p w:rsidR="003B08F0" w:rsidRPr="000729D4" w:rsidRDefault="00B5492E" w:rsidP="00656407">
      <w:pPr>
        <w:pStyle w:val="ONUMFS"/>
        <w:spacing w:after="120"/>
        <w:rPr>
          <w:lang w:val="fr-FR"/>
        </w:rPr>
      </w:pPr>
      <w:r w:rsidRPr="000729D4">
        <w:rPr>
          <w:lang w:val="fr-FR"/>
        </w:rPr>
        <w:t>La normalisation des noms des déposants est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une des priorités du projet “Dossier mondial” de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IP5</w:t>
      </w:r>
      <w:r w:rsidR="00AC29D0" w:rsidRPr="000729D4">
        <w:rPr>
          <w:lang w:val="fr-FR"/>
        </w:rPr>
        <w:t>;</w:t>
      </w:r>
      <w:r w:rsidRPr="000729D4">
        <w:rPr>
          <w:lang w:val="fr-FR"/>
        </w:rPr>
        <w:t xml:space="preserve"> </w:t>
      </w:r>
      <w:r w:rsidR="00AC29D0" w:rsidRPr="000729D4">
        <w:rPr>
          <w:lang w:val="fr-FR"/>
        </w:rPr>
        <w:t xml:space="preserve"> </w:t>
      </w:r>
      <w:r w:rsidR="0012426F" w:rsidRPr="000729D4">
        <w:rPr>
          <w:lang w:val="fr-FR"/>
        </w:rPr>
        <w:t>elle vise à améliorer les</w:t>
      </w:r>
      <w:r w:rsidR="0021271B" w:rsidRPr="000729D4">
        <w:rPr>
          <w:lang w:val="fr-FR"/>
        </w:rPr>
        <w:t xml:space="preserve"> résultats des recherches sur l</w:t>
      </w:r>
      <w:r w:rsidR="006401A6" w:rsidRPr="000729D4">
        <w:rPr>
          <w:lang w:val="fr-FR"/>
        </w:rPr>
        <w:t>’</w:t>
      </w:r>
      <w:r w:rsidR="0021271B" w:rsidRPr="000729D4">
        <w:rPr>
          <w:lang w:val="fr-FR"/>
        </w:rPr>
        <w:t xml:space="preserve">état de la technique </w:t>
      </w:r>
      <w:r w:rsidR="0012426F" w:rsidRPr="000729D4">
        <w:rPr>
          <w:lang w:val="fr-FR"/>
        </w:rPr>
        <w:t>ainsi que</w:t>
      </w:r>
      <w:r w:rsidR="0021271B" w:rsidRPr="000729D4">
        <w:rPr>
          <w:lang w:val="fr-FR"/>
        </w:rPr>
        <w:t xml:space="preserve"> l</w:t>
      </w:r>
      <w:r w:rsidR="006401A6" w:rsidRPr="000729D4">
        <w:rPr>
          <w:lang w:val="fr-FR"/>
        </w:rPr>
        <w:t>’</w:t>
      </w:r>
      <w:r w:rsidR="0021271B" w:rsidRPr="000729D4">
        <w:rPr>
          <w:lang w:val="fr-FR"/>
        </w:rPr>
        <w:t xml:space="preserve">administration des dossiers des brevets </w:t>
      </w:r>
      <w:r w:rsidR="0012426F" w:rsidRPr="000729D4">
        <w:rPr>
          <w:lang w:val="fr-FR"/>
        </w:rPr>
        <w:t xml:space="preserve">grâce à une harmonisation </w:t>
      </w:r>
      <w:r w:rsidR="00B46664" w:rsidRPr="000729D4">
        <w:rPr>
          <w:lang w:val="fr-FR"/>
        </w:rPr>
        <w:t>général</w:t>
      </w:r>
      <w:r w:rsidR="0012426F" w:rsidRPr="000729D4">
        <w:rPr>
          <w:lang w:val="fr-FR"/>
        </w:rPr>
        <w:t>e des noms des déposants</w:t>
      </w:r>
      <w:r w:rsidR="0021271B" w:rsidRPr="000729D4">
        <w:rPr>
          <w:lang w:val="fr-FR"/>
        </w:rPr>
        <w:t xml:space="preserve"> </w:t>
      </w:r>
      <w:r w:rsidR="0012426F" w:rsidRPr="000729D4">
        <w:rPr>
          <w:lang w:val="fr-FR"/>
        </w:rPr>
        <w:t>dans les collections de documents de brevet de l</w:t>
      </w:r>
      <w:r w:rsidR="006401A6" w:rsidRPr="000729D4">
        <w:rPr>
          <w:lang w:val="fr-FR"/>
        </w:rPr>
        <w:t>’</w:t>
      </w:r>
      <w:r w:rsidR="0012426F" w:rsidRPr="000729D4">
        <w:rPr>
          <w:lang w:val="fr-FR"/>
        </w:rPr>
        <w:t>IP5.</w:t>
      </w:r>
    </w:p>
    <w:p w:rsidR="003B08F0" w:rsidRPr="000729D4" w:rsidRDefault="00005A24" w:rsidP="00656407">
      <w:pPr>
        <w:pStyle w:val="ONUMFS"/>
        <w:spacing w:after="120"/>
        <w:rPr>
          <w:lang w:val="fr-FR"/>
        </w:rPr>
      </w:pPr>
      <w:r w:rsidRPr="000729D4">
        <w:rPr>
          <w:lang w:val="fr-FR"/>
        </w:rPr>
        <w:t xml:space="preserve">Cet exercice a pour objectif de </w:t>
      </w:r>
      <w:r w:rsidR="00E23216" w:rsidRPr="000729D4">
        <w:rPr>
          <w:lang w:val="fr-FR"/>
        </w:rPr>
        <w:t xml:space="preserve">recenser </w:t>
      </w:r>
      <w:r w:rsidR="008746FC" w:rsidRPr="000729D4">
        <w:rPr>
          <w:lang w:val="fr-FR"/>
        </w:rPr>
        <w:t xml:space="preserve">toutes </w:t>
      </w:r>
      <w:r w:rsidR="00E23216" w:rsidRPr="000729D4">
        <w:rPr>
          <w:lang w:val="fr-FR"/>
        </w:rPr>
        <w:t xml:space="preserve">les versions </w:t>
      </w:r>
      <w:r w:rsidR="0044080B" w:rsidRPr="000729D4">
        <w:rPr>
          <w:lang w:val="fr-FR"/>
        </w:rPr>
        <w:t xml:space="preserve">sous lesquelles apparaissent les noms des </w:t>
      </w:r>
      <w:r w:rsidR="00E23216" w:rsidRPr="000729D4">
        <w:rPr>
          <w:lang w:val="fr-FR"/>
        </w:rPr>
        <w:t>déposant</w:t>
      </w:r>
      <w:r w:rsidR="0044080B" w:rsidRPr="000729D4">
        <w:rPr>
          <w:lang w:val="fr-FR"/>
        </w:rPr>
        <w:t>s</w:t>
      </w:r>
      <w:r w:rsidR="00E23216" w:rsidRPr="000729D4">
        <w:rPr>
          <w:lang w:val="fr-FR"/>
        </w:rPr>
        <w:t>, d</w:t>
      </w:r>
      <w:r w:rsidR="006401A6" w:rsidRPr="000729D4">
        <w:rPr>
          <w:lang w:val="fr-FR"/>
        </w:rPr>
        <w:t>’</w:t>
      </w:r>
      <w:r w:rsidR="00AD7DD6" w:rsidRPr="000729D4">
        <w:rPr>
          <w:lang w:val="fr-FR"/>
        </w:rPr>
        <w:t xml:space="preserve">en adopter </w:t>
      </w:r>
      <w:r w:rsidR="00E23216" w:rsidRPr="000729D4">
        <w:rPr>
          <w:lang w:val="fr-FR"/>
        </w:rPr>
        <w:t>une graph</w:t>
      </w:r>
      <w:r w:rsidR="0039754D" w:rsidRPr="000729D4">
        <w:rPr>
          <w:lang w:val="fr-FR"/>
        </w:rPr>
        <w:t>i</w:t>
      </w:r>
      <w:r w:rsidR="00E23216" w:rsidRPr="000729D4">
        <w:rPr>
          <w:lang w:val="fr-FR"/>
        </w:rPr>
        <w:t>e unifiée et de créer un tableau de correspondance</w:t>
      </w:r>
      <w:r w:rsidR="00AD7DD6" w:rsidRPr="000729D4">
        <w:rPr>
          <w:lang w:val="fr-FR"/>
        </w:rPr>
        <w:t xml:space="preserve"> entre les noms figurant à l</w:t>
      </w:r>
      <w:r w:rsidR="006401A6" w:rsidRPr="000729D4">
        <w:rPr>
          <w:lang w:val="fr-FR"/>
        </w:rPr>
        <w:t>’</w:t>
      </w:r>
      <w:r w:rsidR="00AD7DD6" w:rsidRPr="000729D4">
        <w:rPr>
          <w:lang w:val="fr-FR"/>
        </w:rPr>
        <w:t>origine dans les documents de l</w:t>
      </w:r>
      <w:r w:rsidR="006401A6" w:rsidRPr="000729D4">
        <w:rPr>
          <w:lang w:val="fr-FR"/>
        </w:rPr>
        <w:t>’</w:t>
      </w:r>
      <w:r w:rsidR="00AD7DD6" w:rsidRPr="000729D4">
        <w:rPr>
          <w:lang w:val="fr-FR"/>
        </w:rPr>
        <w:t>IP5 et leur version normalisée.</w:t>
      </w:r>
    </w:p>
    <w:p w:rsidR="00AD0BC8" w:rsidRPr="000729D4" w:rsidRDefault="001B6928" w:rsidP="00656407">
      <w:pPr>
        <w:pStyle w:val="ONUMFS"/>
        <w:spacing w:after="120"/>
        <w:rPr>
          <w:lang w:val="fr-FR"/>
        </w:rPr>
      </w:pPr>
      <w:r w:rsidRPr="000729D4">
        <w:rPr>
          <w:lang w:val="fr-FR"/>
        </w:rPr>
        <w:t>Au départ,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intention était</w:t>
      </w:r>
      <w:r w:rsidR="00A5386E" w:rsidRPr="000729D4">
        <w:rPr>
          <w:lang w:val="fr-FR"/>
        </w:rPr>
        <w:t xml:space="preserve"> de créer un code numérique unique pour chaque groupe de variantes du nom d</w:t>
      </w:r>
      <w:r w:rsidR="006401A6" w:rsidRPr="000729D4">
        <w:rPr>
          <w:lang w:val="fr-FR"/>
        </w:rPr>
        <w:t>’</w:t>
      </w:r>
      <w:r w:rsidR="00A5386E" w:rsidRPr="000729D4">
        <w:rPr>
          <w:lang w:val="fr-FR"/>
        </w:rPr>
        <w:t>un même déposa</w:t>
      </w:r>
      <w:r w:rsidR="000729D4" w:rsidRPr="000729D4">
        <w:rPr>
          <w:lang w:val="fr-FR"/>
        </w:rPr>
        <w:t>nt.  Le</w:t>
      </w:r>
      <w:r w:rsidR="00646D6B" w:rsidRPr="000729D4">
        <w:rPr>
          <w:lang w:val="fr-FR"/>
        </w:rPr>
        <w:t>s critères utilisés pour la constitution de ces groupes devaient être la proximité syntaxique, l</w:t>
      </w:r>
      <w:r w:rsidR="006401A6" w:rsidRPr="000729D4">
        <w:rPr>
          <w:lang w:val="fr-FR"/>
        </w:rPr>
        <w:t>’</w:t>
      </w:r>
      <w:r w:rsidR="00646D6B" w:rsidRPr="000729D4">
        <w:rPr>
          <w:lang w:val="fr-FR"/>
        </w:rPr>
        <w:t>adresse et le numéro de téléphone.  L</w:t>
      </w:r>
      <w:r w:rsidR="006401A6" w:rsidRPr="000729D4">
        <w:rPr>
          <w:lang w:val="fr-FR"/>
        </w:rPr>
        <w:t>’</w:t>
      </w:r>
      <w:r w:rsidR="00646D6B" w:rsidRPr="000729D4">
        <w:rPr>
          <w:lang w:val="fr-FR"/>
        </w:rPr>
        <w:t>IP5 a toutefois été empêché d</w:t>
      </w:r>
      <w:r w:rsidR="006401A6" w:rsidRPr="000729D4">
        <w:rPr>
          <w:lang w:val="fr-FR"/>
        </w:rPr>
        <w:t>’</w:t>
      </w:r>
      <w:r w:rsidR="00646D6B" w:rsidRPr="000729D4">
        <w:rPr>
          <w:lang w:val="fr-FR"/>
        </w:rPr>
        <w:t>élaborer ce système de code par les facteurs suivants</w:t>
      </w:r>
      <w:r w:rsidR="006401A6" w:rsidRPr="000729D4">
        <w:rPr>
          <w:lang w:val="fr-FR"/>
        </w:rPr>
        <w:t> :</w:t>
      </w:r>
    </w:p>
    <w:p w:rsidR="00AD0BC8" w:rsidRPr="000729D4" w:rsidRDefault="00646D6B" w:rsidP="00656407">
      <w:pPr>
        <w:pStyle w:val="ONUMFS"/>
        <w:numPr>
          <w:ilvl w:val="0"/>
          <w:numId w:val="29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 xml:space="preserve">dans certains cas, les noms des déposants étaient différents, mais </w:t>
      </w:r>
      <w:r w:rsidR="00107FC6" w:rsidRPr="000729D4">
        <w:rPr>
          <w:lang w:val="fr-FR"/>
        </w:rPr>
        <w:t>ne présentaient aucune proximité syntaxique;</w:t>
      </w:r>
    </w:p>
    <w:p w:rsidR="00AD0BC8" w:rsidRPr="000729D4" w:rsidRDefault="00107FC6" w:rsidP="00656407">
      <w:pPr>
        <w:pStyle w:val="ONUMFS"/>
        <w:numPr>
          <w:ilvl w:val="0"/>
          <w:numId w:val="29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il s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est avéré que le travail de comparaison des adresses et numéros de téléphone nécessitait un temps considérable;</w:t>
      </w:r>
    </w:p>
    <w:p w:rsidR="00AD0BC8" w:rsidRPr="000729D4" w:rsidRDefault="00E26D98" w:rsidP="00656407">
      <w:pPr>
        <w:pStyle w:val="ONUMFS"/>
        <w:numPr>
          <w:ilvl w:val="0"/>
          <w:numId w:val="29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adoption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 xml:space="preserve">un système de code de déposant </w:t>
      </w:r>
      <w:r w:rsidR="003060C2" w:rsidRPr="000729D4">
        <w:rPr>
          <w:lang w:val="fr-FR"/>
        </w:rPr>
        <w:t>n</w:t>
      </w:r>
      <w:r w:rsidR="006401A6" w:rsidRPr="000729D4">
        <w:rPr>
          <w:lang w:val="fr-FR"/>
        </w:rPr>
        <w:t>’</w:t>
      </w:r>
      <w:r w:rsidR="003060C2" w:rsidRPr="000729D4">
        <w:rPr>
          <w:lang w:val="fr-FR"/>
        </w:rPr>
        <w:t>a pas emporté l</w:t>
      </w:r>
      <w:r w:rsidR="006401A6" w:rsidRPr="000729D4">
        <w:rPr>
          <w:lang w:val="fr-FR"/>
        </w:rPr>
        <w:t>’</w:t>
      </w:r>
      <w:r w:rsidR="003060C2" w:rsidRPr="000729D4">
        <w:rPr>
          <w:lang w:val="fr-FR"/>
        </w:rPr>
        <w:t>adhésion de tous les offices de l</w:t>
      </w:r>
      <w:r w:rsidR="006401A6" w:rsidRPr="000729D4">
        <w:rPr>
          <w:lang w:val="fr-FR"/>
        </w:rPr>
        <w:t>’</w:t>
      </w:r>
      <w:r w:rsidR="003060C2" w:rsidRPr="000729D4">
        <w:rPr>
          <w:lang w:val="fr-FR"/>
        </w:rPr>
        <w:t>IP5, en raison de contraintes juridiques et d</w:t>
      </w:r>
      <w:r w:rsidR="006401A6" w:rsidRPr="000729D4">
        <w:rPr>
          <w:lang w:val="fr-FR"/>
        </w:rPr>
        <w:t>’</w:t>
      </w:r>
      <w:r w:rsidR="003060C2" w:rsidRPr="000729D4">
        <w:rPr>
          <w:lang w:val="fr-FR"/>
        </w:rPr>
        <w:t>une opposition des entreprises.</w:t>
      </w:r>
    </w:p>
    <w:p w:rsidR="0066043E" w:rsidRDefault="004B50E4" w:rsidP="00AE69CC">
      <w:pPr>
        <w:pStyle w:val="Heading4"/>
        <w:spacing w:before="0"/>
        <w:rPr>
          <w:lang w:val="fr-FR"/>
        </w:rPr>
      </w:pPr>
      <w:r w:rsidRPr="000729D4">
        <w:rPr>
          <w:lang w:val="fr-FR"/>
        </w:rPr>
        <w:t>La position de l</w:t>
      </w:r>
      <w:r w:rsidR="006401A6" w:rsidRPr="000729D4">
        <w:rPr>
          <w:lang w:val="fr-FR"/>
        </w:rPr>
        <w:t>’</w:t>
      </w:r>
      <w:r w:rsidR="0066043E" w:rsidRPr="000729D4">
        <w:rPr>
          <w:lang w:val="fr-FR"/>
        </w:rPr>
        <w:t>A</w:t>
      </w:r>
      <w:r w:rsidR="00C21F3B" w:rsidRPr="000729D4">
        <w:rPr>
          <w:lang w:val="fr-FR"/>
        </w:rPr>
        <w:t>I</w:t>
      </w:r>
      <w:r w:rsidR="0066043E" w:rsidRPr="000729D4">
        <w:rPr>
          <w:lang w:val="fr-FR"/>
        </w:rPr>
        <w:t>PLA</w:t>
      </w:r>
    </w:p>
    <w:p w:rsidR="0066043E" w:rsidRPr="000729D4" w:rsidRDefault="004B50E4" w:rsidP="00656407">
      <w:pPr>
        <w:pStyle w:val="ONUMFS"/>
        <w:spacing w:after="120"/>
        <w:rPr>
          <w:lang w:val="fr-FR"/>
        </w:rPr>
      </w:pPr>
      <w:r w:rsidRPr="000729D4">
        <w:rPr>
          <w:lang w:val="fr-FR"/>
        </w:rPr>
        <w:t>Les représentants de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 xml:space="preserve">Association américaine du droit de la propriété intellectuelle (AIPLA) ont demandé que </w:t>
      </w:r>
      <w:r w:rsidR="00B97B4D" w:rsidRPr="000729D4">
        <w:rPr>
          <w:lang w:val="fr-FR"/>
        </w:rPr>
        <w:t xml:space="preserve">le déposant soit consulté par </w:t>
      </w:r>
      <w:r w:rsidRPr="000729D4">
        <w:rPr>
          <w:lang w:val="fr-FR"/>
        </w:rPr>
        <w:t>les offices de propriété industrielle</w:t>
      </w:r>
      <w:r w:rsidR="00B97B4D" w:rsidRPr="000729D4">
        <w:rPr>
          <w:lang w:val="fr-FR"/>
        </w:rPr>
        <w:t xml:space="preserve"> </w:t>
      </w:r>
      <w:r w:rsidRPr="000729D4">
        <w:rPr>
          <w:lang w:val="fr-FR"/>
        </w:rPr>
        <w:t xml:space="preserve">avant </w:t>
      </w:r>
      <w:r w:rsidR="00B97B4D" w:rsidRPr="000729D4">
        <w:rPr>
          <w:lang w:val="fr-FR"/>
        </w:rPr>
        <w:t>que</w:t>
      </w:r>
      <w:r w:rsidRPr="000729D4">
        <w:rPr>
          <w:lang w:val="fr-FR"/>
        </w:rPr>
        <w:t xml:space="preserve"> son nom </w:t>
      </w:r>
      <w:r w:rsidR="00B97B4D" w:rsidRPr="000729D4">
        <w:rPr>
          <w:lang w:val="fr-FR"/>
        </w:rPr>
        <w:t xml:space="preserve">soit remplacé </w:t>
      </w:r>
      <w:r w:rsidRPr="000729D4">
        <w:rPr>
          <w:lang w:val="fr-FR"/>
        </w:rPr>
        <w:t xml:space="preserve">par une version normalisée ou </w:t>
      </w:r>
      <w:r w:rsidR="00B97B4D" w:rsidRPr="000729D4">
        <w:rPr>
          <w:lang w:val="fr-FR"/>
        </w:rPr>
        <w:t>qu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un identifiant</w:t>
      </w:r>
      <w:r w:rsidR="00B97B4D" w:rsidRPr="000729D4">
        <w:rPr>
          <w:lang w:val="fr-FR"/>
        </w:rPr>
        <w:t xml:space="preserve"> lui soit attribué</w:t>
      </w:r>
      <w:r w:rsidRPr="000729D4">
        <w:rPr>
          <w:lang w:val="fr-FR"/>
        </w:rPr>
        <w:t>.</w:t>
      </w:r>
    </w:p>
    <w:p w:rsidR="002B57F0" w:rsidRDefault="004B50E4" w:rsidP="00AE69CC">
      <w:pPr>
        <w:pStyle w:val="Heading3"/>
        <w:spacing w:before="0"/>
        <w:rPr>
          <w:lang w:val="fr-FR"/>
        </w:rPr>
      </w:pPr>
      <w:r w:rsidRPr="000729D4">
        <w:rPr>
          <w:lang w:val="fr-FR"/>
        </w:rPr>
        <w:t>Noms harmonisés</w:t>
      </w:r>
    </w:p>
    <w:p w:rsidR="009D3FBC" w:rsidRDefault="0095126B" w:rsidP="00AE69CC">
      <w:pPr>
        <w:pStyle w:val="Heading4"/>
        <w:spacing w:before="0"/>
        <w:rPr>
          <w:lang w:val="fr-FR"/>
        </w:rPr>
      </w:pPr>
      <w:r w:rsidRPr="000729D4">
        <w:rPr>
          <w:lang w:val="fr-FR"/>
        </w:rPr>
        <w:t>Harmonisation des données client pour la procédure</w:t>
      </w:r>
      <w:r w:rsidR="000E62CD" w:rsidRPr="000729D4">
        <w:rPr>
          <w:lang w:val="fr-FR"/>
        </w:rPr>
        <w:t xml:space="preserve"> de délivrance de brevet européen (projet NACM)</w:t>
      </w:r>
    </w:p>
    <w:p w:rsidR="0066043E" w:rsidRPr="000729D4" w:rsidRDefault="00E30EA5" w:rsidP="00656407">
      <w:pPr>
        <w:pStyle w:val="ONUMFS"/>
        <w:rPr>
          <w:lang w:val="fr-FR"/>
        </w:rPr>
      </w:pPr>
      <w:r w:rsidRPr="000729D4">
        <w:rPr>
          <w:lang w:val="fr-FR"/>
        </w:rPr>
        <w:t>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 xml:space="preserve">OEB </w:t>
      </w:r>
      <w:r w:rsidR="00EF7E30" w:rsidRPr="000729D4">
        <w:rPr>
          <w:lang w:val="fr-FR"/>
        </w:rPr>
        <w:t>envisage de créer un identifiant unique pour chaque personne physique ou morale, ainsi qu</w:t>
      </w:r>
      <w:r w:rsidR="006401A6" w:rsidRPr="000729D4">
        <w:rPr>
          <w:lang w:val="fr-FR"/>
        </w:rPr>
        <w:t>’</w:t>
      </w:r>
      <w:r w:rsidR="00EF7E30" w:rsidRPr="000729D4">
        <w:rPr>
          <w:lang w:val="fr-FR"/>
        </w:rPr>
        <w:t>un dépôt central de données de référence</w:t>
      </w:r>
      <w:r w:rsidR="00352797" w:rsidRPr="000729D4">
        <w:rPr>
          <w:lang w:val="fr-FR"/>
        </w:rPr>
        <w:t xml:space="preserve"> </w:t>
      </w:r>
      <w:r w:rsidR="00191DBC" w:rsidRPr="000729D4">
        <w:rPr>
          <w:lang w:val="fr-FR"/>
        </w:rPr>
        <w:t>d</w:t>
      </w:r>
      <w:r w:rsidR="00352797" w:rsidRPr="000729D4">
        <w:rPr>
          <w:lang w:val="fr-FR"/>
        </w:rPr>
        <w:t>es demandeurs de brevets européens</w:t>
      </w:r>
      <w:r w:rsidR="00191DBC" w:rsidRPr="000729D4">
        <w:rPr>
          <w:lang w:val="fr-FR"/>
        </w:rPr>
        <w:t>, avec des noms et adresses harmonisés (projet NACM).  À cet effet, l</w:t>
      </w:r>
      <w:r w:rsidR="006401A6" w:rsidRPr="000729D4">
        <w:rPr>
          <w:lang w:val="fr-FR"/>
        </w:rPr>
        <w:t>’</w:t>
      </w:r>
      <w:r w:rsidR="00191DBC" w:rsidRPr="000729D4">
        <w:rPr>
          <w:lang w:val="fr-FR"/>
        </w:rPr>
        <w:t xml:space="preserve">OEB </w:t>
      </w:r>
      <w:r w:rsidR="005B51A4" w:rsidRPr="000729D4">
        <w:rPr>
          <w:lang w:val="fr-FR"/>
        </w:rPr>
        <w:t>travaille à l</w:t>
      </w:r>
      <w:r w:rsidR="006401A6" w:rsidRPr="000729D4">
        <w:rPr>
          <w:lang w:val="fr-FR"/>
        </w:rPr>
        <w:t>’</w:t>
      </w:r>
      <w:r w:rsidR="005B51A4" w:rsidRPr="000729D4">
        <w:rPr>
          <w:lang w:val="fr-FR"/>
        </w:rPr>
        <w:t>élaboration d</w:t>
      </w:r>
      <w:r w:rsidR="006401A6" w:rsidRPr="000729D4">
        <w:rPr>
          <w:lang w:val="fr-FR"/>
        </w:rPr>
        <w:t>’</w:t>
      </w:r>
      <w:r w:rsidR="005B51A4" w:rsidRPr="000729D4">
        <w:rPr>
          <w:lang w:val="fr-FR"/>
        </w:rPr>
        <w:t xml:space="preserve">une </w:t>
      </w:r>
      <w:r w:rsidR="0066043E" w:rsidRPr="000729D4">
        <w:rPr>
          <w:lang w:val="fr-FR"/>
        </w:rPr>
        <w:t>“</w:t>
      </w:r>
      <w:r w:rsidR="005B51A4" w:rsidRPr="000729D4">
        <w:rPr>
          <w:lang w:val="fr-FR"/>
        </w:rPr>
        <w:t>stratégie de nettoyage</w:t>
      </w:r>
      <w:r w:rsidR="0066043E" w:rsidRPr="000729D4">
        <w:rPr>
          <w:lang w:val="fr-FR"/>
        </w:rPr>
        <w:t>”</w:t>
      </w:r>
      <w:r w:rsidR="006D3CF6" w:rsidRPr="000729D4">
        <w:rPr>
          <w:lang w:val="fr-FR"/>
        </w:rPr>
        <w:t xml:space="preserve"> visant à normaliser les noms et à supprimer les doublons;  il établit en outre des normes de qualité (analyse syntaxique des noms), ainsi que des politiques en matière de qualité des donné</w:t>
      </w:r>
      <w:r w:rsidR="000729D4" w:rsidRPr="000729D4">
        <w:rPr>
          <w:lang w:val="fr-FR"/>
        </w:rPr>
        <w:t>es.  Le</w:t>
      </w:r>
      <w:r w:rsidR="005A52C2" w:rsidRPr="000729D4">
        <w:rPr>
          <w:lang w:val="fr-FR"/>
        </w:rPr>
        <w:t>s noms normalisés seront soumis aux demandeurs de brevets aux fins d</w:t>
      </w:r>
      <w:r w:rsidR="006401A6" w:rsidRPr="000729D4">
        <w:rPr>
          <w:lang w:val="fr-FR"/>
        </w:rPr>
        <w:t>’</w:t>
      </w:r>
      <w:r w:rsidR="00DF5F6B" w:rsidRPr="000729D4">
        <w:rPr>
          <w:lang w:val="fr-FR"/>
        </w:rPr>
        <w:t>approb</w:t>
      </w:r>
      <w:r w:rsidR="005A52C2" w:rsidRPr="000729D4">
        <w:rPr>
          <w:lang w:val="fr-FR"/>
        </w:rPr>
        <w:t>ation.</w:t>
      </w:r>
    </w:p>
    <w:p w:rsidR="005547BA" w:rsidRDefault="00937964" w:rsidP="00AE69CC">
      <w:pPr>
        <w:pStyle w:val="Heading4"/>
        <w:spacing w:before="0"/>
        <w:rPr>
          <w:lang w:val="fr-FR"/>
        </w:rPr>
      </w:pPr>
      <w:r w:rsidRPr="000729D4">
        <w:rPr>
          <w:lang w:val="fr-FR"/>
        </w:rPr>
        <w:t xml:space="preserve">Information relative aux noms des déposants dans </w:t>
      </w:r>
      <w:r w:rsidR="005547BA" w:rsidRPr="000729D4">
        <w:rPr>
          <w:lang w:val="fr-FR"/>
        </w:rPr>
        <w:t>PATSTAT</w:t>
      </w:r>
    </w:p>
    <w:p w:rsidR="005547BA" w:rsidRPr="000729D4" w:rsidRDefault="005547BA" w:rsidP="00AE69CC">
      <w:pPr>
        <w:pStyle w:val="ONUMFS"/>
        <w:spacing w:after="120"/>
        <w:rPr>
          <w:lang w:val="fr-FR"/>
        </w:rPr>
      </w:pPr>
      <w:r w:rsidRPr="000729D4">
        <w:rPr>
          <w:lang w:val="fr-FR"/>
        </w:rPr>
        <w:t xml:space="preserve">PATSTAT </w:t>
      </w:r>
      <w:r w:rsidR="005E0EF8" w:rsidRPr="000729D4">
        <w:rPr>
          <w:lang w:val="fr-FR"/>
        </w:rPr>
        <w:t>est un outil mis au point par l</w:t>
      </w:r>
      <w:r w:rsidR="006401A6" w:rsidRPr="000729D4">
        <w:rPr>
          <w:lang w:val="fr-FR"/>
        </w:rPr>
        <w:t>’</w:t>
      </w:r>
      <w:r w:rsidR="005E0EF8" w:rsidRPr="000729D4">
        <w:rPr>
          <w:lang w:val="fr-FR"/>
        </w:rPr>
        <w:t>OEB qui permet d</w:t>
      </w:r>
      <w:r w:rsidR="006401A6" w:rsidRPr="000729D4">
        <w:rPr>
          <w:lang w:val="fr-FR"/>
        </w:rPr>
        <w:t>’</w:t>
      </w:r>
      <w:r w:rsidR="005E0EF8" w:rsidRPr="000729D4">
        <w:rPr>
          <w:lang w:val="fr-FR"/>
        </w:rPr>
        <w:t xml:space="preserve">effectuer des analyses statistiques complexes dans les données de brevet.  </w:t>
      </w:r>
      <w:r w:rsidRPr="000729D4">
        <w:rPr>
          <w:lang w:val="fr-FR"/>
        </w:rPr>
        <w:t>PATSTAT</w:t>
      </w:r>
      <w:r w:rsidR="00944FAE" w:rsidRPr="000729D4">
        <w:rPr>
          <w:lang w:val="fr-FR"/>
        </w:rPr>
        <w:t xml:space="preserve"> comporte plusieurs </w:t>
      </w:r>
      <w:r w:rsidR="00F56983" w:rsidRPr="000729D4">
        <w:rPr>
          <w:lang w:val="fr-FR"/>
        </w:rPr>
        <w:t xml:space="preserve">solutions </w:t>
      </w:r>
      <w:r w:rsidR="00535A85" w:rsidRPr="000729D4">
        <w:rPr>
          <w:lang w:val="fr-FR"/>
        </w:rPr>
        <w:t>pour</w:t>
      </w:r>
      <w:r w:rsidR="00F56983" w:rsidRPr="000729D4">
        <w:rPr>
          <w:lang w:val="fr-FR"/>
        </w:rPr>
        <w:t xml:space="preserve"> la normalisation des noms des déposants, et offre à ses utilisateurs les possibilités suivantes</w:t>
      </w:r>
      <w:r w:rsidR="006401A6" w:rsidRPr="000729D4">
        <w:rPr>
          <w:lang w:val="fr-FR"/>
        </w:rPr>
        <w:t> :</w:t>
      </w:r>
    </w:p>
    <w:p w:rsidR="005547BA" w:rsidRPr="000729D4" w:rsidRDefault="00F56983" w:rsidP="00AE69CC">
      <w:pPr>
        <w:pStyle w:val="ONUMFS"/>
        <w:numPr>
          <w:ilvl w:val="0"/>
          <w:numId w:val="30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noms originaux;</w:t>
      </w:r>
    </w:p>
    <w:p w:rsidR="005547BA" w:rsidRPr="000729D4" w:rsidRDefault="00F56983" w:rsidP="00AE69CC">
      <w:pPr>
        <w:pStyle w:val="ONUMFS"/>
        <w:numPr>
          <w:ilvl w:val="0"/>
          <w:numId w:val="30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 xml:space="preserve">noms normalisés dans la base de données documentaire </w:t>
      </w:r>
      <w:r w:rsidR="005547BA" w:rsidRPr="000729D4">
        <w:rPr>
          <w:lang w:val="fr-FR"/>
        </w:rPr>
        <w:t>DOCDB (</w:t>
      </w:r>
      <w:r w:rsidR="00C132C2" w:rsidRPr="000729D4">
        <w:rPr>
          <w:lang w:val="fr-FR"/>
        </w:rPr>
        <w:t>actualisation semestrielle);</w:t>
      </w:r>
    </w:p>
    <w:p w:rsidR="005547BA" w:rsidRPr="000729D4" w:rsidRDefault="003932AA" w:rsidP="00AE69CC">
      <w:pPr>
        <w:pStyle w:val="ONUMFS"/>
        <w:numPr>
          <w:ilvl w:val="0"/>
          <w:numId w:val="30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 xml:space="preserve">base de données </w:t>
      </w:r>
      <w:r w:rsidR="005547BA" w:rsidRPr="000729D4">
        <w:rPr>
          <w:lang w:val="fr-FR"/>
        </w:rPr>
        <w:t>HAN</w:t>
      </w:r>
      <w:r w:rsidR="00CC062B" w:rsidRPr="000729D4">
        <w:rPr>
          <w:lang w:val="fr-FR"/>
        </w:rPr>
        <w:t xml:space="preserve"> de l</w:t>
      </w:r>
      <w:r w:rsidR="006401A6" w:rsidRPr="000729D4">
        <w:rPr>
          <w:lang w:val="fr-FR"/>
        </w:rPr>
        <w:t>’</w:t>
      </w:r>
      <w:r w:rsidR="00CC062B" w:rsidRPr="000729D4">
        <w:rPr>
          <w:lang w:val="fr-FR"/>
        </w:rPr>
        <w:t>OCDE</w:t>
      </w:r>
      <w:r w:rsidR="005547BA" w:rsidRPr="000729D4">
        <w:rPr>
          <w:lang w:val="fr-FR"/>
        </w:rPr>
        <w:t xml:space="preserve"> </w:t>
      </w:r>
      <w:r w:rsidR="00CC062B" w:rsidRPr="000729D4">
        <w:rPr>
          <w:lang w:val="fr-FR"/>
        </w:rPr>
        <w:t xml:space="preserve">sur les noms des déposants </w:t>
      </w:r>
      <w:r w:rsidR="005547BA" w:rsidRPr="000729D4">
        <w:rPr>
          <w:lang w:val="fr-FR"/>
        </w:rPr>
        <w:t>(</w:t>
      </w:r>
      <w:r w:rsidR="00CC062B" w:rsidRPr="000729D4">
        <w:rPr>
          <w:lang w:val="fr-FR"/>
        </w:rPr>
        <w:t>actualisation semestrielle</w:t>
      </w:r>
      <w:r w:rsidR="005547BA" w:rsidRPr="000729D4">
        <w:rPr>
          <w:lang w:val="fr-FR"/>
        </w:rPr>
        <w:t>)</w:t>
      </w:r>
      <w:r w:rsidR="00CC062B" w:rsidRPr="000729D4">
        <w:rPr>
          <w:lang w:val="fr-FR"/>
        </w:rPr>
        <w:t>;</w:t>
      </w:r>
    </w:p>
    <w:p w:rsidR="00AE69CC" w:rsidRPr="00656407" w:rsidRDefault="00CC062B" w:rsidP="00AE69CC">
      <w:pPr>
        <w:pStyle w:val="ONUMFS"/>
        <w:numPr>
          <w:ilvl w:val="0"/>
          <w:numId w:val="30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656407">
        <w:rPr>
          <w:lang w:val="fr-FR"/>
        </w:rPr>
        <w:t xml:space="preserve">noms harmonisés des déposants et inventeurs dans </w:t>
      </w:r>
      <w:r w:rsidR="005547BA" w:rsidRPr="00656407">
        <w:rPr>
          <w:lang w:val="fr-FR"/>
        </w:rPr>
        <w:t>PATSTAT</w:t>
      </w:r>
      <w:r w:rsidRPr="00656407">
        <w:rPr>
          <w:lang w:val="fr-FR"/>
        </w:rPr>
        <w:t xml:space="preserve"> (actualisation semestrielle).</w:t>
      </w:r>
      <w:r w:rsidR="00AE69CC" w:rsidRPr="00656407">
        <w:rPr>
          <w:lang w:val="fr-FR"/>
        </w:rPr>
        <w:br w:type="page"/>
      </w:r>
    </w:p>
    <w:p w:rsidR="009D3FBC" w:rsidRDefault="000A7B4E" w:rsidP="00AE69CC">
      <w:pPr>
        <w:pStyle w:val="Heading4"/>
        <w:spacing w:before="0"/>
        <w:rPr>
          <w:lang w:val="fr-FR"/>
        </w:rPr>
      </w:pPr>
      <w:r w:rsidRPr="000729D4">
        <w:rPr>
          <w:lang w:val="fr-FR"/>
        </w:rPr>
        <w:t xml:space="preserve">Normalisation des noms des déposants pour </w:t>
      </w:r>
      <w:r w:rsidR="009D3FBC" w:rsidRPr="000729D4">
        <w:rPr>
          <w:lang w:val="fr-FR"/>
        </w:rPr>
        <w:t>DOCDB (STAN)</w:t>
      </w:r>
    </w:p>
    <w:p w:rsidR="008E78CE" w:rsidRPr="000729D4" w:rsidRDefault="000A7B4E" w:rsidP="00AE69CC">
      <w:pPr>
        <w:pStyle w:val="ONUMFS"/>
        <w:rPr>
          <w:lang w:val="fr-FR"/>
        </w:rPr>
      </w:pPr>
      <w:r w:rsidRPr="000729D4">
        <w:rPr>
          <w:lang w:val="fr-FR"/>
        </w:rPr>
        <w:t xml:space="preserve">La base de données documentaire </w:t>
      </w:r>
      <w:r w:rsidR="00F753D7" w:rsidRPr="000729D4">
        <w:rPr>
          <w:lang w:val="fr-FR"/>
        </w:rPr>
        <w:t xml:space="preserve">DOCDB </w:t>
      </w:r>
      <w:r w:rsidRPr="000729D4">
        <w:rPr>
          <w:lang w:val="fr-FR"/>
        </w:rPr>
        <w:t xml:space="preserve">comporte un champ pour les noms normalisés attribués aux déposants </w:t>
      </w:r>
      <w:r w:rsidR="00F473BA" w:rsidRPr="000729D4">
        <w:rPr>
          <w:lang w:val="fr-FR"/>
        </w:rPr>
        <w:t>qui sont des entreprises, des universités et d</w:t>
      </w:r>
      <w:r w:rsidR="006401A6" w:rsidRPr="000729D4">
        <w:rPr>
          <w:lang w:val="fr-FR"/>
        </w:rPr>
        <w:t>’</w:t>
      </w:r>
      <w:r w:rsidR="00F473BA" w:rsidRPr="000729D4">
        <w:rPr>
          <w:lang w:val="fr-FR"/>
        </w:rPr>
        <w:t>autres personnes moral</w:t>
      </w:r>
      <w:r w:rsidR="000729D4" w:rsidRPr="000729D4">
        <w:rPr>
          <w:lang w:val="fr-FR"/>
        </w:rPr>
        <w:t>es.  L’a</w:t>
      </w:r>
      <w:r w:rsidR="00F473BA" w:rsidRPr="000729D4">
        <w:rPr>
          <w:lang w:val="fr-FR"/>
        </w:rPr>
        <w:t>ttribution de noms normalisés dans DOCDB s</w:t>
      </w:r>
      <w:r w:rsidR="006401A6" w:rsidRPr="000729D4">
        <w:rPr>
          <w:lang w:val="fr-FR"/>
        </w:rPr>
        <w:t>’</w:t>
      </w:r>
      <w:r w:rsidR="00F473BA" w:rsidRPr="000729D4">
        <w:rPr>
          <w:lang w:val="fr-FR"/>
        </w:rPr>
        <w:t>effectue en deux</w:t>
      </w:r>
      <w:r w:rsidR="00A92EE9" w:rsidRPr="000729D4">
        <w:rPr>
          <w:lang w:val="fr-FR"/>
        </w:rPr>
        <w:t> </w:t>
      </w:r>
      <w:r w:rsidR="00F473BA" w:rsidRPr="000729D4">
        <w:rPr>
          <w:lang w:val="fr-FR"/>
        </w:rPr>
        <w:t>étapes</w:t>
      </w:r>
      <w:r w:rsidR="006401A6" w:rsidRPr="000729D4">
        <w:rPr>
          <w:lang w:val="fr-FR"/>
        </w:rPr>
        <w:t> :</w:t>
      </w:r>
      <w:r w:rsidR="00F473BA" w:rsidRPr="000729D4">
        <w:rPr>
          <w:lang w:val="fr-FR"/>
        </w:rPr>
        <w:t xml:space="preserve"> analyse automatique effectuée par un algorithme spécialement conçu à cet effet et,</w:t>
      </w:r>
      <w:r w:rsidR="0030253A" w:rsidRPr="000729D4">
        <w:rPr>
          <w:lang w:val="fr-FR"/>
        </w:rPr>
        <w:t xml:space="preserve"> si le résultat n</w:t>
      </w:r>
      <w:r w:rsidR="006401A6" w:rsidRPr="000729D4">
        <w:rPr>
          <w:lang w:val="fr-FR"/>
        </w:rPr>
        <w:t>’</w:t>
      </w:r>
      <w:r w:rsidR="0030253A" w:rsidRPr="000729D4">
        <w:rPr>
          <w:lang w:val="fr-FR"/>
        </w:rPr>
        <w:t>est pas concluant, vérification par un humain.</w:t>
      </w:r>
    </w:p>
    <w:p w:rsidR="005547BA" w:rsidRPr="000729D4" w:rsidRDefault="00A95BF1" w:rsidP="00AE69CC">
      <w:pPr>
        <w:pStyle w:val="ONUMFS"/>
        <w:rPr>
          <w:lang w:val="fr-FR"/>
        </w:rPr>
      </w:pPr>
      <w:r w:rsidRPr="000729D4">
        <w:rPr>
          <w:lang w:val="fr-FR"/>
        </w:rPr>
        <w:t xml:space="preserve">La </w:t>
      </w:r>
      <w:r w:rsidR="00F753D7" w:rsidRPr="000729D4">
        <w:rPr>
          <w:lang w:val="fr-FR"/>
        </w:rPr>
        <w:t xml:space="preserve">DOCDB </w:t>
      </w:r>
      <w:r w:rsidRPr="000729D4">
        <w:rPr>
          <w:lang w:val="fr-FR"/>
        </w:rPr>
        <w:t xml:space="preserve">contient actuellement </w:t>
      </w:r>
      <w:r w:rsidR="00535A85" w:rsidRPr="000729D4">
        <w:rPr>
          <w:lang w:val="fr-FR"/>
        </w:rPr>
        <w:t>environ</w:t>
      </w:r>
      <w:r w:rsidR="0012097B" w:rsidRPr="000729D4">
        <w:rPr>
          <w:lang w:val="fr-FR"/>
        </w:rPr>
        <w:t xml:space="preserve"> </w:t>
      </w:r>
      <w:r w:rsidRPr="000729D4">
        <w:rPr>
          <w:lang w:val="fr-FR"/>
        </w:rPr>
        <w:t>250 000</w:t>
      </w:r>
      <w:r w:rsidR="0047468A">
        <w:rPr>
          <w:lang w:val="fr-FR"/>
        </w:rPr>
        <w:t> </w:t>
      </w:r>
      <w:r w:rsidRPr="000729D4">
        <w:rPr>
          <w:lang w:val="fr-FR"/>
        </w:rPr>
        <w:t>noms</w:t>
      </w:r>
      <w:r w:rsidR="00782CCD" w:rsidRPr="000729D4">
        <w:rPr>
          <w:lang w:val="fr-FR"/>
        </w:rPr>
        <w:t xml:space="preserve"> de déposants </w:t>
      </w:r>
      <w:r w:rsidRPr="000729D4">
        <w:rPr>
          <w:lang w:val="fr-FR"/>
        </w:rPr>
        <w:t>normalisés</w:t>
      </w:r>
      <w:r w:rsidR="00C8668D" w:rsidRPr="000729D4">
        <w:rPr>
          <w:lang w:val="fr-FR"/>
        </w:rPr>
        <w:t xml:space="preserve">, qui </w:t>
      </w:r>
      <w:r w:rsidR="0012097B" w:rsidRPr="000729D4">
        <w:rPr>
          <w:lang w:val="fr-FR"/>
        </w:rPr>
        <w:t>correspond</w:t>
      </w:r>
      <w:r w:rsidR="00C8668D" w:rsidRPr="000729D4">
        <w:rPr>
          <w:lang w:val="fr-FR"/>
        </w:rPr>
        <w:t>e</w:t>
      </w:r>
      <w:r w:rsidR="0012097B" w:rsidRPr="000729D4">
        <w:rPr>
          <w:lang w:val="fr-FR"/>
        </w:rPr>
        <w:t>nt</w:t>
      </w:r>
      <w:r w:rsidR="00C8668D" w:rsidRPr="000729D4">
        <w:rPr>
          <w:lang w:val="fr-FR"/>
        </w:rPr>
        <w:t xml:space="preserve"> </w:t>
      </w:r>
      <w:r w:rsidR="00535A85" w:rsidRPr="000729D4">
        <w:rPr>
          <w:lang w:val="fr-FR"/>
        </w:rPr>
        <w:t xml:space="preserve">approximativement </w:t>
      </w:r>
      <w:r w:rsidR="0012097B" w:rsidRPr="000729D4">
        <w:rPr>
          <w:lang w:val="fr-FR"/>
        </w:rPr>
        <w:t xml:space="preserve">à </w:t>
      </w:r>
      <w:r w:rsidR="00C8668D" w:rsidRPr="000729D4">
        <w:rPr>
          <w:lang w:val="fr-FR"/>
        </w:rPr>
        <w:t>945 000</w:t>
      </w:r>
      <w:r w:rsidR="0047468A">
        <w:rPr>
          <w:lang w:val="fr-FR"/>
        </w:rPr>
        <w:t> </w:t>
      </w:r>
      <w:r w:rsidR="00C8668D" w:rsidRPr="000729D4">
        <w:rPr>
          <w:lang w:val="fr-FR"/>
        </w:rPr>
        <w:t>varia</w:t>
      </w:r>
      <w:r w:rsidR="0012097B" w:rsidRPr="000729D4">
        <w:rPr>
          <w:lang w:val="fr-FR"/>
        </w:rPr>
        <w:t>ntes</w:t>
      </w:r>
      <w:r w:rsidR="00C8668D" w:rsidRPr="000729D4">
        <w:rPr>
          <w:lang w:val="fr-FR"/>
        </w:rPr>
        <w:t xml:space="preserve"> </w:t>
      </w:r>
      <w:r w:rsidR="00782CCD" w:rsidRPr="000729D4">
        <w:rPr>
          <w:lang w:val="fr-FR"/>
        </w:rPr>
        <w:t>contenues dans les demandes déposé</w:t>
      </w:r>
      <w:r w:rsidR="000729D4" w:rsidRPr="000729D4">
        <w:rPr>
          <w:lang w:val="fr-FR"/>
        </w:rPr>
        <w:t>es.  L’i</w:t>
      </w:r>
      <w:r w:rsidR="00782CCD" w:rsidRPr="000729D4">
        <w:rPr>
          <w:lang w:val="fr-FR"/>
        </w:rPr>
        <w:t>nformation relative aux noms des déposants reçus à l</w:t>
      </w:r>
      <w:r w:rsidR="006401A6" w:rsidRPr="000729D4">
        <w:rPr>
          <w:lang w:val="fr-FR"/>
        </w:rPr>
        <w:t>’</w:t>
      </w:r>
      <w:r w:rsidR="00782CCD" w:rsidRPr="000729D4">
        <w:rPr>
          <w:lang w:val="fr-FR"/>
        </w:rPr>
        <w:t>origine figure également dans</w:t>
      </w:r>
      <w:r w:rsidR="006401A6" w:rsidRPr="000729D4">
        <w:rPr>
          <w:lang w:val="fr-FR"/>
        </w:rPr>
        <w:t xml:space="preserve"> la DOC</w:t>
      </w:r>
      <w:r w:rsidR="008E78CE" w:rsidRPr="000729D4">
        <w:rPr>
          <w:lang w:val="fr-FR"/>
        </w:rPr>
        <w:t>DB.</w:t>
      </w:r>
    </w:p>
    <w:p w:rsidR="00782ABF" w:rsidRDefault="0086339B" w:rsidP="00AE69CC">
      <w:pPr>
        <w:pStyle w:val="Heading4"/>
        <w:spacing w:before="0"/>
        <w:rPr>
          <w:lang w:val="fr-FR"/>
        </w:rPr>
      </w:pPr>
      <w:r w:rsidRPr="000729D4">
        <w:rPr>
          <w:lang w:val="fr-FR"/>
        </w:rPr>
        <w:t>Base de données sur l</w:t>
      </w:r>
      <w:r w:rsidR="003932AA" w:rsidRPr="000729D4">
        <w:rPr>
          <w:lang w:val="fr-FR"/>
        </w:rPr>
        <w:t>es noms</w:t>
      </w:r>
      <w:r w:rsidRPr="000729D4">
        <w:rPr>
          <w:lang w:val="fr-FR"/>
        </w:rPr>
        <w:t xml:space="preserve"> harmonisés</w:t>
      </w:r>
      <w:r w:rsidR="003932AA" w:rsidRPr="000729D4">
        <w:rPr>
          <w:lang w:val="fr-FR"/>
        </w:rPr>
        <w:t xml:space="preserve"> de</w:t>
      </w:r>
      <w:r w:rsidRPr="000729D4">
        <w:rPr>
          <w:lang w:val="fr-FR"/>
        </w:rPr>
        <w:t>s</w:t>
      </w:r>
      <w:r w:rsidR="003932AA" w:rsidRPr="000729D4">
        <w:rPr>
          <w:lang w:val="fr-FR"/>
        </w:rPr>
        <w:t xml:space="preserve"> déposants </w:t>
      </w:r>
      <w:r w:rsidR="003C684D" w:rsidRPr="000729D4">
        <w:rPr>
          <w:lang w:val="fr-FR"/>
        </w:rPr>
        <w:t>(HAN)</w:t>
      </w:r>
      <w:r w:rsidR="00782ABF" w:rsidRPr="000729D4">
        <w:rPr>
          <w:lang w:val="fr-FR"/>
        </w:rPr>
        <w:t xml:space="preserve"> </w:t>
      </w:r>
      <w:r w:rsidR="00CA2CC8" w:rsidRPr="000729D4">
        <w:rPr>
          <w:lang w:val="fr-FR"/>
        </w:rPr>
        <w:t>élaborée par l</w:t>
      </w:r>
      <w:r w:rsidR="006401A6" w:rsidRPr="000729D4">
        <w:rPr>
          <w:lang w:val="fr-FR"/>
        </w:rPr>
        <w:t>’</w:t>
      </w:r>
      <w:r w:rsidR="00CA2CC8" w:rsidRPr="000729D4">
        <w:rPr>
          <w:lang w:val="fr-FR"/>
        </w:rPr>
        <w:t>OCDE</w:t>
      </w:r>
    </w:p>
    <w:p w:rsidR="003E5C50" w:rsidRPr="000729D4" w:rsidRDefault="00CA2CC8" w:rsidP="00AE69CC">
      <w:pPr>
        <w:pStyle w:val="ONUMFS"/>
        <w:spacing w:after="120"/>
        <w:rPr>
          <w:lang w:val="fr-FR"/>
        </w:rPr>
      </w:pPr>
      <w:r w:rsidRPr="000729D4">
        <w:rPr>
          <w:lang w:val="fr-FR"/>
        </w:rPr>
        <w:t>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Organisation de coopération et de développement économiques (OCDE)</w:t>
      </w:r>
      <w:r w:rsidR="00A61957" w:rsidRPr="000729D4">
        <w:rPr>
          <w:lang w:val="fr-FR"/>
        </w:rPr>
        <w:t xml:space="preserve"> </w:t>
      </w:r>
      <w:r w:rsidR="0044782C" w:rsidRPr="000729D4">
        <w:rPr>
          <w:lang w:val="fr-FR"/>
        </w:rPr>
        <w:t>utilise des indicateurs en matière de brevets pour</w:t>
      </w:r>
      <w:r w:rsidR="006401A6" w:rsidRPr="000729D4">
        <w:rPr>
          <w:lang w:val="fr-FR"/>
        </w:rPr>
        <w:t> :</w:t>
      </w:r>
    </w:p>
    <w:p w:rsidR="006401A6" w:rsidRPr="000729D4" w:rsidRDefault="00217CA2" w:rsidP="00AE69CC">
      <w:pPr>
        <w:pStyle w:val="ONUMFS"/>
        <w:numPr>
          <w:ilvl w:val="0"/>
          <w:numId w:val="31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évaluer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efficacité technologique des entreprises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 xml:space="preserve">un secteur </w:t>
      </w:r>
      <w:r w:rsidR="00A04769" w:rsidRPr="000729D4">
        <w:rPr>
          <w:lang w:val="fr-FR"/>
        </w:rPr>
        <w:t>déterminé</w:t>
      </w:r>
      <w:r w:rsidR="00535A85" w:rsidRPr="000729D4">
        <w:rPr>
          <w:lang w:val="fr-FR"/>
        </w:rPr>
        <w:t xml:space="preserve"> </w:t>
      </w:r>
      <w:r w:rsidRPr="000729D4">
        <w:rPr>
          <w:lang w:val="fr-FR"/>
        </w:rPr>
        <w:t>de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économie;</w:t>
      </w:r>
    </w:p>
    <w:p w:rsidR="003E5C50" w:rsidRPr="000729D4" w:rsidRDefault="00217CA2" w:rsidP="00AE69CC">
      <w:pPr>
        <w:pStyle w:val="ONUMFS"/>
        <w:numPr>
          <w:ilvl w:val="0"/>
          <w:numId w:val="31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identifier les technologies émergentes;</w:t>
      </w:r>
    </w:p>
    <w:p w:rsidR="003E5C50" w:rsidRPr="000729D4" w:rsidRDefault="003025E0" w:rsidP="00AE69CC">
      <w:pPr>
        <w:pStyle w:val="ONUMFS"/>
        <w:numPr>
          <w:ilvl w:val="0"/>
          <w:numId w:val="31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étudier la diffusion des savoirs, ainsi que la dynamique du changement technique et les propriétés géographiques du processus inventif;</w:t>
      </w:r>
    </w:p>
    <w:p w:rsidR="003E5C50" w:rsidRPr="000729D4" w:rsidRDefault="007A2145" w:rsidP="00AE69CC">
      <w:pPr>
        <w:pStyle w:val="ONUMFS"/>
        <w:numPr>
          <w:ilvl w:val="0"/>
          <w:numId w:val="31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étudier la dynamique de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innovation et des entreprises;</w:t>
      </w:r>
    </w:p>
    <w:p w:rsidR="003E5C50" w:rsidRPr="000729D4" w:rsidRDefault="007A2145" w:rsidP="00AE69CC">
      <w:pPr>
        <w:pStyle w:val="ONUMFS"/>
        <w:numPr>
          <w:ilvl w:val="0"/>
          <w:numId w:val="31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évaluer la valeur économique des inventions;</w:t>
      </w:r>
    </w:p>
    <w:p w:rsidR="003E5C50" w:rsidRPr="000729D4" w:rsidRDefault="007A2145" w:rsidP="00AE69CC">
      <w:pPr>
        <w:pStyle w:val="ONUMFS"/>
        <w:numPr>
          <w:ilvl w:val="0"/>
          <w:numId w:val="31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évaluer le rôle des universités dans le développement technologique;</w:t>
      </w:r>
    </w:p>
    <w:p w:rsidR="006E634C" w:rsidRPr="000729D4" w:rsidRDefault="007A2145" w:rsidP="00AE69CC">
      <w:pPr>
        <w:pStyle w:val="ONUMFS"/>
        <w:numPr>
          <w:ilvl w:val="0"/>
          <w:numId w:val="31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0729D4">
        <w:rPr>
          <w:lang w:val="fr-FR"/>
        </w:rPr>
        <w:t>étudier le processus de mondialisation des activités de recherche</w:t>
      </w:r>
      <w:r w:rsidR="00057587">
        <w:rPr>
          <w:lang w:val="fr-FR"/>
        </w:rPr>
        <w:noBreakHyphen/>
      </w:r>
      <w:r w:rsidRPr="000729D4">
        <w:rPr>
          <w:lang w:val="fr-FR"/>
        </w:rPr>
        <w:t>développement.</w:t>
      </w:r>
    </w:p>
    <w:p w:rsidR="003E5C50" w:rsidRPr="000729D4" w:rsidRDefault="003C2C8A" w:rsidP="00AE69CC">
      <w:pPr>
        <w:pStyle w:val="ONUMFS"/>
        <w:spacing w:after="120"/>
        <w:rPr>
          <w:lang w:val="fr-FR"/>
        </w:rPr>
      </w:pPr>
      <w:r w:rsidRPr="000729D4">
        <w:rPr>
          <w:lang w:val="fr-FR"/>
        </w:rPr>
        <w:t xml:space="preserve">Pour pouvoir effectuer ces analyses, </w:t>
      </w:r>
      <w:r w:rsidR="00E32942" w:rsidRPr="000729D4">
        <w:rPr>
          <w:lang w:val="fr-FR"/>
        </w:rPr>
        <w:t>l</w:t>
      </w:r>
      <w:r w:rsidR="006401A6" w:rsidRPr="000729D4">
        <w:rPr>
          <w:lang w:val="fr-FR"/>
        </w:rPr>
        <w:t>’</w:t>
      </w:r>
      <w:r w:rsidR="00E32942" w:rsidRPr="000729D4">
        <w:rPr>
          <w:lang w:val="fr-FR"/>
        </w:rPr>
        <w:t>OCDE a besoin de relier les données des brevets avec une information à jour sur les entreprises qui en sont titulair</w:t>
      </w:r>
      <w:r w:rsidR="000729D4" w:rsidRPr="000729D4">
        <w:rPr>
          <w:lang w:val="fr-FR"/>
        </w:rPr>
        <w:t>es.  Po</w:t>
      </w:r>
      <w:r w:rsidR="00B524BB" w:rsidRPr="000729D4">
        <w:rPr>
          <w:lang w:val="fr-FR"/>
        </w:rPr>
        <w:t>ur ce faire, l</w:t>
      </w:r>
      <w:r w:rsidR="006401A6" w:rsidRPr="000729D4">
        <w:rPr>
          <w:lang w:val="fr-FR"/>
        </w:rPr>
        <w:t>’</w:t>
      </w:r>
      <w:r w:rsidR="00B524BB" w:rsidRPr="000729D4">
        <w:rPr>
          <w:lang w:val="fr-FR"/>
        </w:rPr>
        <w:t xml:space="preserve">OCDE a élaboré des dictionnaires de noms de déposants par pays </w:t>
      </w:r>
      <w:r w:rsidR="00123FFF" w:rsidRPr="000729D4">
        <w:rPr>
          <w:lang w:val="fr-FR"/>
        </w:rPr>
        <w:t>(</w:t>
      </w:r>
      <w:r w:rsidRPr="000729D4">
        <w:rPr>
          <w:lang w:val="fr-FR"/>
        </w:rPr>
        <w:t>la base de données HAN de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OCDE</w:t>
      </w:r>
      <w:r w:rsidR="00123FFF" w:rsidRPr="000729D4">
        <w:rPr>
          <w:lang w:val="fr-FR"/>
        </w:rPr>
        <w:t xml:space="preserve">), </w:t>
      </w:r>
      <w:r w:rsidR="00B524BB" w:rsidRPr="000729D4">
        <w:rPr>
          <w:lang w:val="fr-FR"/>
        </w:rPr>
        <w:t>dans lesquels les noms des demandeurs de brevets sont appariés avec</w:t>
      </w:r>
      <w:r w:rsidR="00E6788D" w:rsidRPr="000729D4">
        <w:rPr>
          <w:lang w:val="fr-FR"/>
        </w:rPr>
        <w:t xml:space="preserve"> des noms d</w:t>
      </w:r>
      <w:r w:rsidR="006401A6" w:rsidRPr="000729D4">
        <w:rPr>
          <w:lang w:val="fr-FR"/>
        </w:rPr>
        <w:t>’</w:t>
      </w:r>
      <w:r w:rsidR="00E6788D" w:rsidRPr="000729D4">
        <w:rPr>
          <w:lang w:val="fr-FR"/>
        </w:rPr>
        <w:t>entreprises contenus dans la base de données ORBIS© à l</w:t>
      </w:r>
      <w:r w:rsidR="006401A6" w:rsidRPr="000729D4">
        <w:rPr>
          <w:lang w:val="fr-FR"/>
        </w:rPr>
        <w:t>’</w:t>
      </w:r>
      <w:r w:rsidR="00E6788D" w:rsidRPr="000729D4">
        <w:rPr>
          <w:lang w:val="fr-FR"/>
        </w:rPr>
        <w:t>aide d</w:t>
      </w:r>
      <w:r w:rsidR="006401A6" w:rsidRPr="000729D4">
        <w:rPr>
          <w:lang w:val="fr-FR"/>
        </w:rPr>
        <w:t>’</w:t>
      </w:r>
      <w:r w:rsidR="00E6788D" w:rsidRPr="000729D4">
        <w:rPr>
          <w:lang w:val="fr-FR"/>
        </w:rPr>
        <w:t>un algorithme spécialement conçu, nommé</w:t>
      </w:r>
      <w:r w:rsidR="00B524BB" w:rsidRPr="000729D4">
        <w:rPr>
          <w:lang w:val="fr-FR"/>
        </w:rPr>
        <w:t xml:space="preserve"> </w:t>
      </w:r>
      <w:proofErr w:type="spellStart"/>
      <w:r w:rsidR="00123FFF" w:rsidRPr="000729D4">
        <w:rPr>
          <w:lang w:val="fr-FR"/>
        </w:rPr>
        <w:t>Imalinker</w:t>
      </w:r>
      <w:proofErr w:type="spellEnd"/>
      <w:r w:rsidR="00123FFF" w:rsidRPr="000729D4">
        <w:rPr>
          <w:lang w:val="fr-FR"/>
        </w:rPr>
        <w:t xml:space="preserve"> (</w:t>
      </w:r>
      <w:proofErr w:type="spellStart"/>
      <w:r w:rsidR="00123FFF" w:rsidRPr="000729D4">
        <w:rPr>
          <w:lang w:val="fr-FR"/>
        </w:rPr>
        <w:t>Idener</w:t>
      </w:r>
      <w:proofErr w:type="spellEnd"/>
      <w:r w:rsidR="00123FFF" w:rsidRPr="000729D4">
        <w:rPr>
          <w:lang w:val="fr-FR"/>
        </w:rPr>
        <w:t xml:space="preserve"> Multi </w:t>
      </w:r>
      <w:proofErr w:type="spellStart"/>
      <w:r w:rsidR="00123FFF" w:rsidRPr="000729D4">
        <w:rPr>
          <w:lang w:val="fr-FR"/>
        </w:rPr>
        <w:t>Algorithm</w:t>
      </w:r>
      <w:proofErr w:type="spellEnd"/>
      <w:r w:rsidR="00123FFF" w:rsidRPr="000729D4">
        <w:rPr>
          <w:lang w:val="fr-FR"/>
        </w:rPr>
        <w:t xml:space="preserve"> Link</w:t>
      </w:r>
      <w:r w:rsidR="000729D4" w:rsidRPr="000729D4">
        <w:rPr>
          <w:lang w:val="fr-FR"/>
        </w:rPr>
        <w:t>er).  Ce</w:t>
      </w:r>
      <w:r w:rsidR="00681609" w:rsidRPr="000729D4">
        <w:rPr>
          <w:lang w:val="fr-FR"/>
        </w:rPr>
        <w:t xml:space="preserve"> dernier présente les caractéristiques suivantes</w:t>
      </w:r>
      <w:r w:rsidR="006401A6" w:rsidRPr="000729D4">
        <w:rPr>
          <w:lang w:val="fr-FR"/>
        </w:rPr>
        <w:t> :</w:t>
      </w:r>
    </w:p>
    <w:p w:rsidR="00123FFF" w:rsidRPr="000729D4" w:rsidRDefault="00DD15EB" w:rsidP="00AE69CC">
      <w:pPr>
        <w:pStyle w:val="ONUMFS"/>
        <w:numPr>
          <w:ilvl w:val="0"/>
          <w:numId w:val="32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 xml:space="preserve">appariement est effectué </w:t>
      </w:r>
      <w:r w:rsidRPr="000729D4">
        <w:rPr>
          <w:b/>
          <w:lang w:val="fr-FR"/>
        </w:rPr>
        <w:t>pays par pays</w:t>
      </w:r>
      <w:r w:rsidRPr="000729D4">
        <w:rPr>
          <w:lang w:val="fr-FR"/>
        </w:rPr>
        <w:t>;</w:t>
      </w:r>
    </w:p>
    <w:p w:rsidR="00123FFF" w:rsidRPr="000729D4" w:rsidRDefault="00AF4C4A" w:rsidP="00AE69CC">
      <w:pPr>
        <w:pStyle w:val="ONUMFS"/>
        <w:numPr>
          <w:ilvl w:val="0"/>
          <w:numId w:val="32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 xml:space="preserve">harmonisation des noms </w:t>
      </w:r>
      <w:r w:rsidR="00361D8E" w:rsidRPr="000729D4">
        <w:rPr>
          <w:lang w:val="fr-FR"/>
        </w:rPr>
        <w:t>est ef</w:t>
      </w:r>
      <w:r w:rsidR="00F96ECF" w:rsidRPr="000729D4">
        <w:rPr>
          <w:lang w:val="fr-FR"/>
        </w:rPr>
        <w:t>fectuée à l</w:t>
      </w:r>
      <w:r w:rsidR="006401A6" w:rsidRPr="000729D4">
        <w:rPr>
          <w:lang w:val="fr-FR"/>
        </w:rPr>
        <w:t>’</w:t>
      </w:r>
      <w:r w:rsidR="00F96ECF" w:rsidRPr="000729D4">
        <w:rPr>
          <w:lang w:val="fr-FR"/>
        </w:rPr>
        <w:t xml:space="preserve">aide de </w:t>
      </w:r>
      <w:r w:rsidR="00361D8E" w:rsidRPr="000729D4">
        <w:rPr>
          <w:b/>
          <w:lang w:val="fr-FR"/>
        </w:rPr>
        <w:t>dictionnaires propres à chaque pays</w:t>
      </w:r>
      <w:r w:rsidR="00361D8E" w:rsidRPr="000729D4">
        <w:rPr>
          <w:lang w:val="fr-FR"/>
        </w:rPr>
        <w:t>;</w:t>
      </w:r>
    </w:p>
    <w:p w:rsidR="00123FFF" w:rsidRPr="000729D4" w:rsidRDefault="00361D8E" w:rsidP="00AE69CC">
      <w:pPr>
        <w:pStyle w:val="ONUMFS"/>
        <w:numPr>
          <w:ilvl w:val="0"/>
          <w:numId w:val="32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 xml:space="preserve">des algorithmes </w:t>
      </w:r>
      <w:r w:rsidR="00C40320" w:rsidRPr="000729D4">
        <w:rPr>
          <w:b/>
          <w:lang w:val="fr-FR"/>
        </w:rPr>
        <w:t>de recherche de sous</w:t>
      </w:r>
      <w:r w:rsidR="00057587">
        <w:rPr>
          <w:b/>
          <w:lang w:val="fr-FR"/>
        </w:rPr>
        <w:noBreakHyphen/>
      </w:r>
      <w:r w:rsidR="00C40320" w:rsidRPr="000729D4">
        <w:rPr>
          <w:b/>
          <w:lang w:val="fr-FR"/>
        </w:rPr>
        <w:t>chaîne</w:t>
      </w:r>
      <w:r w:rsidR="00123FFF" w:rsidRPr="000729D4">
        <w:rPr>
          <w:lang w:val="fr-FR"/>
        </w:rPr>
        <w:t xml:space="preserve"> </w:t>
      </w:r>
      <w:r w:rsidR="00C40320" w:rsidRPr="000729D4">
        <w:rPr>
          <w:lang w:val="fr-FR"/>
        </w:rPr>
        <w:t xml:space="preserve">sont utilisés </w:t>
      </w:r>
      <w:r w:rsidR="00C37B9B" w:rsidRPr="000729D4">
        <w:rPr>
          <w:lang w:val="fr-FR"/>
        </w:rPr>
        <w:t>(</w:t>
      </w:r>
      <w:r w:rsidR="00AA34DF" w:rsidRPr="000729D4">
        <w:rPr>
          <w:lang w:val="fr-FR"/>
        </w:rPr>
        <w:t>à jeton/mesure de similarité);</w:t>
      </w:r>
    </w:p>
    <w:p w:rsidR="00123FFF" w:rsidRPr="000729D4" w:rsidRDefault="0047268D" w:rsidP="00AE69CC">
      <w:pPr>
        <w:pStyle w:val="ONUMFS"/>
        <w:numPr>
          <w:ilvl w:val="0"/>
          <w:numId w:val="32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 xml:space="preserve">les </w:t>
      </w:r>
      <w:r w:rsidR="00CA5AE3" w:rsidRPr="000729D4">
        <w:rPr>
          <w:b/>
          <w:lang w:val="fr-FR"/>
        </w:rPr>
        <w:t>seuils de distance</w:t>
      </w:r>
      <w:r w:rsidR="00EC61A1" w:rsidRPr="000729D4">
        <w:rPr>
          <w:b/>
          <w:lang w:val="fr-FR"/>
        </w:rPr>
        <w:t xml:space="preserve"> toléré</w:t>
      </w:r>
      <w:r w:rsidR="0086339B" w:rsidRPr="000729D4">
        <w:rPr>
          <w:b/>
          <w:lang w:val="fr-FR"/>
        </w:rPr>
        <w:t>s</w:t>
      </w:r>
      <w:r w:rsidR="00CA5AE3" w:rsidRPr="000729D4">
        <w:rPr>
          <w:b/>
          <w:lang w:val="fr-FR"/>
        </w:rPr>
        <w:t xml:space="preserve"> sont</w:t>
      </w:r>
      <w:r w:rsidR="00EC61A1" w:rsidRPr="000729D4">
        <w:rPr>
          <w:b/>
          <w:lang w:val="fr-FR"/>
        </w:rPr>
        <w:t xml:space="preserve"> très élevés</w:t>
      </w:r>
      <w:r w:rsidR="00123FFF" w:rsidRPr="000729D4">
        <w:rPr>
          <w:lang w:val="fr-FR"/>
        </w:rPr>
        <w:t xml:space="preserve">, </w:t>
      </w:r>
      <w:r w:rsidR="00EC61A1" w:rsidRPr="000729D4">
        <w:rPr>
          <w:lang w:val="fr-FR"/>
        </w:rPr>
        <w:t xml:space="preserve">de manière à limiter autant que possible le </w:t>
      </w:r>
      <w:r w:rsidR="003901A9" w:rsidRPr="000729D4">
        <w:rPr>
          <w:lang w:val="fr-FR"/>
        </w:rPr>
        <w:t>taux</w:t>
      </w:r>
      <w:r w:rsidR="00EC61A1" w:rsidRPr="000729D4">
        <w:rPr>
          <w:lang w:val="fr-FR"/>
        </w:rPr>
        <w:t xml:space="preserve"> de</w:t>
      </w:r>
      <w:r w:rsidR="003901A9" w:rsidRPr="000729D4">
        <w:rPr>
          <w:lang w:val="fr-FR"/>
        </w:rPr>
        <w:t xml:space="preserve"> faux positifs et de faux négatifs;</w:t>
      </w:r>
    </w:p>
    <w:p w:rsidR="00CE75DD" w:rsidRPr="00CE75DD" w:rsidRDefault="003901A9" w:rsidP="00CE75DD">
      <w:pPr>
        <w:pStyle w:val="ONUMFS"/>
        <w:numPr>
          <w:ilvl w:val="0"/>
          <w:numId w:val="32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CE75DD">
        <w:rPr>
          <w:lang w:val="fr-FR"/>
        </w:rPr>
        <w:t xml:space="preserve">des </w:t>
      </w:r>
      <w:r w:rsidRPr="00CE75DD">
        <w:rPr>
          <w:b/>
          <w:lang w:val="fr-FR"/>
        </w:rPr>
        <w:t>ajustements manuels</w:t>
      </w:r>
      <w:r w:rsidR="00123FFF" w:rsidRPr="00CE75DD">
        <w:rPr>
          <w:lang w:val="fr-FR"/>
        </w:rPr>
        <w:t xml:space="preserve"> </w:t>
      </w:r>
      <w:r w:rsidR="006E1BA8" w:rsidRPr="00CE75DD">
        <w:rPr>
          <w:lang w:val="fr-FR"/>
        </w:rPr>
        <w:t>peuvent être effectués, à des fins d</w:t>
      </w:r>
      <w:r w:rsidR="006401A6" w:rsidRPr="00CE75DD">
        <w:rPr>
          <w:lang w:val="fr-FR"/>
        </w:rPr>
        <w:t>’</w:t>
      </w:r>
      <w:r w:rsidR="006E1BA8" w:rsidRPr="00CE75DD">
        <w:rPr>
          <w:lang w:val="fr-FR"/>
        </w:rPr>
        <w:t>optimisation de la précision</w:t>
      </w:r>
      <w:r w:rsidR="003C684D" w:rsidRPr="000729D4">
        <w:rPr>
          <w:rStyle w:val="FootnoteReference"/>
          <w:lang w:val="fr-FR"/>
        </w:rPr>
        <w:footnoteReference w:id="5"/>
      </w:r>
      <w:r w:rsidR="006E1BA8" w:rsidRPr="00CE75DD">
        <w:rPr>
          <w:lang w:val="fr-FR"/>
        </w:rPr>
        <w:t>.</w:t>
      </w:r>
      <w:r w:rsidR="00CE75DD" w:rsidRPr="00CE75DD">
        <w:rPr>
          <w:lang w:val="fr-FR"/>
        </w:rPr>
        <w:br w:type="page"/>
      </w:r>
    </w:p>
    <w:p w:rsidR="005547BA" w:rsidRDefault="005547BA" w:rsidP="00AE69CC">
      <w:pPr>
        <w:pStyle w:val="Heading4"/>
        <w:spacing w:before="0"/>
        <w:rPr>
          <w:lang w:val="fr-FR"/>
        </w:rPr>
      </w:pPr>
      <w:r w:rsidRPr="000729D4">
        <w:rPr>
          <w:lang w:val="fr-FR"/>
        </w:rPr>
        <w:t>Harmoni</w:t>
      </w:r>
      <w:r w:rsidR="00D81144" w:rsidRPr="000729D4">
        <w:rPr>
          <w:lang w:val="fr-FR"/>
        </w:rPr>
        <w:t xml:space="preserve">sation des noms dans </w:t>
      </w:r>
      <w:r w:rsidRPr="000729D4">
        <w:rPr>
          <w:lang w:val="fr-FR"/>
        </w:rPr>
        <w:t>PATSTAT</w:t>
      </w:r>
    </w:p>
    <w:p w:rsidR="00BD6775" w:rsidRPr="000729D4" w:rsidRDefault="00D81144" w:rsidP="00AE69CC">
      <w:pPr>
        <w:pStyle w:val="ONUMFS"/>
        <w:rPr>
          <w:lang w:val="fr-FR"/>
        </w:rPr>
      </w:pPr>
      <w:r w:rsidRPr="000729D4">
        <w:rPr>
          <w:lang w:val="fr-FR"/>
        </w:rPr>
        <w:t>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 xml:space="preserve">harmonisation des noms des déposants (et inventeurs) </w:t>
      </w:r>
      <w:r w:rsidR="00DA4272" w:rsidRPr="000729D4">
        <w:rPr>
          <w:lang w:val="fr-FR"/>
        </w:rPr>
        <w:t xml:space="preserve">contenus dans la base de données PATSTAT </w:t>
      </w:r>
      <w:r w:rsidR="003E72F3" w:rsidRPr="000729D4">
        <w:rPr>
          <w:lang w:val="fr-FR"/>
        </w:rPr>
        <w:t>est un processus</w:t>
      </w:r>
      <w:r w:rsidR="00DA4272" w:rsidRPr="000729D4">
        <w:rPr>
          <w:lang w:val="fr-FR"/>
        </w:rPr>
        <w:t xml:space="preserve"> en deux</w:t>
      </w:r>
      <w:r w:rsidR="00A92EE9" w:rsidRPr="000729D4">
        <w:rPr>
          <w:lang w:val="fr-FR"/>
        </w:rPr>
        <w:t> </w:t>
      </w:r>
      <w:r w:rsidR="00DA4272" w:rsidRPr="000729D4">
        <w:rPr>
          <w:lang w:val="fr-FR"/>
        </w:rPr>
        <w:t>étapes</w:t>
      </w:r>
      <w:r w:rsidR="003E72F3" w:rsidRPr="000729D4">
        <w:rPr>
          <w:lang w:val="fr-FR"/>
        </w:rPr>
        <w:t xml:space="preserve">, </w:t>
      </w:r>
      <w:r w:rsidR="00D1683D" w:rsidRPr="000729D4">
        <w:rPr>
          <w:lang w:val="fr-FR"/>
        </w:rPr>
        <w:t xml:space="preserve">mis au point par </w:t>
      </w:r>
      <w:r w:rsidR="003E72F3" w:rsidRPr="000729D4">
        <w:rPr>
          <w:lang w:val="fr-FR"/>
        </w:rPr>
        <w:t>l</w:t>
      </w:r>
      <w:r w:rsidR="006401A6" w:rsidRPr="000729D4">
        <w:rPr>
          <w:lang w:val="fr-FR"/>
        </w:rPr>
        <w:t>’</w:t>
      </w:r>
      <w:r w:rsidR="003E72F3" w:rsidRPr="000729D4">
        <w:rPr>
          <w:lang w:val="fr-FR"/>
        </w:rPr>
        <w:t>Université catholique de Louvain et présenté dans le cadre du projet Eurostat de la Commission européenne.</w:t>
      </w:r>
      <w:r w:rsidR="00A92EE9" w:rsidRPr="000729D4">
        <w:rPr>
          <w:lang w:val="fr-FR"/>
        </w:rPr>
        <w:t xml:space="preserve"> </w:t>
      </w:r>
      <w:r w:rsidR="003E72F3" w:rsidRPr="000729D4">
        <w:rPr>
          <w:lang w:val="fr-FR"/>
        </w:rPr>
        <w:t xml:space="preserve"> </w:t>
      </w:r>
      <w:r w:rsidR="003D0753" w:rsidRPr="000729D4">
        <w:rPr>
          <w:lang w:val="fr-FR"/>
        </w:rPr>
        <w:t>[5]</w:t>
      </w:r>
    </w:p>
    <w:p w:rsidR="003D0753" w:rsidRPr="000729D4" w:rsidRDefault="00E2086B" w:rsidP="00AE69CC">
      <w:pPr>
        <w:pStyle w:val="ONUMFS"/>
        <w:spacing w:after="120"/>
        <w:rPr>
          <w:lang w:val="fr-FR"/>
        </w:rPr>
      </w:pPr>
      <w:r w:rsidRPr="000729D4">
        <w:rPr>
          <w:lang w:val="fr-FR"/>
        </w:rPr>
        <w:t xml:space="preserve">La première étape </w:t>
      </w:r>
      <w:r w:rsidR="00E16107" w:rsidRPr="000729D4">
        <w:rPr>
          <w:lang w:val="fr-FR"/>
        </w:rPr>
        <w:t>(</w:t>
      </w:r>
      <w:r w:rsidR="009E1B3C" w:rsidRPr="000729D4">
        <w:rPr>
          <w:lang w:val="fr-FR"/>
        </w:rPr>
        <w:t>couche</w:t>
      </w:r>
      <w:r w:rsidR="0047468A">
        <w:rPr>
          <w:lang w:val="fr-FR"/>
        </w:rPr>
        <w:t> </w:t>
      </w:r>
      <w:r w:rsidR="009E1B3C" w:rsidRPr="000729D4">
        <w:rPr>
          <w:lang w:val="fr-FR"/>
        </w:rPr>
        <w:t>1</w:t>
      </w:r>
      <w:r w:rsidR="001D0D9F" w:rsidRPr="000729D4">
        <w:rPr>
          <w:lang w:val="fr-FR"/>
        </w:rPr>
        <w:t xml:space="preserve"> de la démarche</w:t>
      </w:r>
      <w:r w:rsidR="009E1B3C" w:rsidRPr="000729D4">
        <w:rPr>
          <w:lang w:val="fr-FR"/>
        </w:rPr>
        <w:t>,</w:t>
      </w:r>
      <w:r w:rsidRPr="000729D4">
        <w:rPr>
          <w:lang w:val="fr-FR"/>
        </w:rPr>
        <w:t xml:space="preserve"> selon la terminologie d</w:t>
      </w:r>
      <w:r w:rsidR="006401A6" w:rsidRPr="000729D4">
        <w:rPr>
          <w:lang w:val="fr-FR"/>
        </w:rPr>
        <w:t>’</w:t>
      </w:r>
      <w:r w:rsidR="00E16107" w:rsidRPr="000729D4">
        <w:rPr>
          <w:lang w:val="fr-FR"/>
        </w:rPr>
        <w:t>Eurostat)</w:t>
      </w:r>
      <w:r w:rsidRPr="000729D4">
        <w:rPr>
          <w:lang w:val="fr-FR"/>
        </w:rPr>
        <w:t xml:space="preserve"> a pour objectif</w:t>
      </w:r>
      <w:r w:rsidR="00991D7F" w:rsidRPr="000729D4">
        <w:rPr>
          <w:lang w:val="fr-FR"/>
        </w:rPr>
        <w:t xml:space="preserve"> de rechercher les noms qui</w:t>
      </w:r>
      <w:r w:rsidR="0062067D" w:rsidRPr="000729D4">
        <w:rPr>
          <w:lang w:val="fr-FR"/>
        </w:rPr>
        <w:t xml:space="preserve"> sont </w:t>
      </w:r>
      <w:r w:rsidR="003D013E" w:rsidRPr="000729D4">
        <w:rPr>
          <w:lang w:val="fr-FR"/>
        </w:rPr>
        <w:t xml:space="preserve">à première vue </w:t>
      </w:r>
      <w:r w:rsidR="0062067D" w:rsidRPr="000729D4">
        <w:rPr>
          <w:lang w:val="fr-FR"/>
        </w:rPr>
        <w:t xml:space="preserve">similaires, mais </w:t>
      </w:r>
      <w:r w:rsidR="00DE2BEB" w:rsidRPr="000729D4">
        <w:rPr>
          <w:lang w:val="fr-FR"/>
        </w:rPr>
        <w:t xml:space="preserve">présentent des différences </w:t>
      </w:r>
      <w:r w:rsidR="00875218" w:rsidRPr="000729D4">
        <w:rPr>
          <w:lang w:val="fr-FR"/>
        </w:rPr>
        <w:t>orthographi</w:t>
      </w:r>
      <w:r w:rsidR="00DE2BEB" w:rsidRPr="000729D4">
        <w:rPr>
          <w:lang w:val="fr-FR"/>
        </w:rPr>
        <w:t xml:space="preserve">ques ou </w:t>
      </w:r>
      <w:r w:rsidR="003D013E" w:rsidRPr="000729D4">
        <w:rPr>
          <w:lang w:val="fr-FR"/>
        </w:rPr>
        <w:t>d</w:t>
      </w:r>
      <w:r w:rsidR="006401A6" w:rsidRPr="000729D4">
        <w:rPr>
          <w:lang w:val="fr-FR"/>
        </w:rPr>
        <w:t>’</w:t>
      </w:r>
      <w:r w:rsidR="003D013E" w:rsidRPr="000729D4">
        <w:rPr>
          <w:lang w:val="fr-FR"/>
        </w:rPr>
        <w:t>ordre linguistiq</w:t>
      </w:r>
      <w:r w:rsidR="000729D4" w:rsidRPr="000729D4">
        <w:rPr>
          <w:lang w:val="fr-FR"/>
        </w:rPr>
        <w:t>ue.  Ce</w:t>
      </w:r>
      <w:r w:rsidR="00AA1150" w:rsidRPr="000729D4">
        <w:rPr>
          <w:lang w:val="fr-FR"/>
        </w:rPr>
        <w:t>tte opération, qui s</w:t>
      </w:r>
      <w:r w:rsidR="006401A6" w:rsidRPr="000729D4">
        <w:rPr>
          <w:lang w:val="fr-FR"/>
        </w:rPr>
        <w:t>’</w:t>
      </w:r>
      <w:r w:rsidR="00AA1150" w:rsidRPr="000729D4">
        <w:rPr>
          <w:lang w:val="fr-FR"/>
        </w:rPr>
        <w:t>effectue</w:t>
      </w:r>
      <w:r w:rsidR="00E37E29" w:rsidRPr="000729D4">
        <w:rPr>
          <w:lang w:val="fr-FR"/>
        </w:rPr>
        <w:t xml:space="preserve"> </w:t>
      </w:r>
      <w:r w:rsidR="00AA1150" w:rsidRPr="000729D4">
        <w:rPr>
          <w:lang w:val="fr-FR"/>
        </w:rPr>
        <w:t>en comparant chaque nom de déposant à tous les autres, est complètement automatisée, et vise avant tout la précision</w:t>
      </w:r>
      <w:r w:rsidR="00A82C98" w:rsidRPr="000729D4">
        <w:rPr>
          <w:lang w:val="fr-FR"/>
        </w:rPr>
        <w:t>,</w:t>
      </w:r>
      <w:r w:rsidR="00296537" w:rsidRPr="000729D4">
        <w:rPr>
          <w:lang w:val="fr-FR"/>
        </w:rPr>
        <w:t xml:space="preserve"> au détriment de l</w:t>
      </w:r>
      <w:r w:rsidR="006401A6" w:rsidRPr="000729D4">
        <w:rPr>
          <w:lang w:val="fr-FR"/>
        </w:rPr>
        <w:t>’</w:t>
      </w:r>
      <w:r w:rsidR="00296537" w:rsidRPr="000729D4">
        <w:rPr>
          <w:lang w:val="fr-FR"/>
        </w:rPr>
        <w:t>exhaustivité</w:t>
      </w:r>
      <w:r w:rsidR="000E7F68" w:rsidRPr="000729D4">
        <w:rPr>
          <w:lang w:val="fr-FR"/>
        </w:rPr>
        <w:t xml:space="preserve"> si besoin e</w:t>
      </w:r>
      <w:r w:rsidR="000729D4" w:rsidRPr="000729D4">
        <w:rPr>
          <w:lang w:val="fr-FR"/>
        </w:rPr>
        <w:t>st.  El</w:t>
      </w:r>
      <w:r w:rsidR="000E7F68" w:rsidRPr="000729D4">
        <w:rPr>
          <w:lang w:val="fr-FR"/>
        </w:rPr>
        <w:t>le se déroule actuellement comme suit</w:t>
      </w:r>
      <w:r w:rsidR="006401A6" w:rsidRPr="000729D4">
        <w:rPr>
          <w:lang w:val="fr-FR"/>
        </w:rPr>
        <w:t> :</w:t>
      </w:r>
    </w:p>
    <w:p w:rsidR="005E3056" w:rsidRPr="000729D4" w:rsidRDefault="000E7F68" w:rsidP="00AE69CC">
      <w:pPr>
        <w:pStyle w:val="ONUMFS"/>
        <w:numPr>
          <w:ilvl w:val="0"/>
          <w:numId w:val="33"/>
        </w:numPr>
        <w:tabs>
          <w:tab w:val="clear" w:pos="567"/>
          <w:tab w:val="num" w:pos="1134"/>
        </w:tabs>
        <w:spacing w:after="120"/>
        <w:ind w:left="567"/>
        <w:rPr>
          <w:lang w:val="fr-FR"/>
        </w:rPr>
      </w:pPr>
      <w:r w:rsidRPr="000729D4">
        <w:rPr>
          <w:lang w:val="fr-FR"/>
        </w:rPr>
        <w:t>prétraitement des données;</w:t>
      </w:r>
    </w:p>
    <w:p w:rsidR="005E3056" w:rsidRPr="000729D4" w:rsidRDefault="000E7F68" w:rsidP="00AE69CC">
      <w:pPr>
        <w:pStyle w:val="ONUMFS"/>
        <w:numPr>
          <w:ilvl w:val="0"/>
          <w:numId w:val="33"/>
        </w:numPr>
        <w:tabs>
          <w:tab w:val="clear" w:pos="567"/>
          <w:tab w:val="num" w:pos="1134"/>
        </w:tabs>
        <w:spacing w:after="120"/>
        <w:ind w:left="567"/>
        <w:rPr>
          <w:lang w:val="fr-FR"/>
        </w:rPr>
      </w:pPr>
      <w:r w:rsidRPr="000729D4">
        <w:rPr>
          <w:lang w:val="fr-FR"/>
        </w:rPr>
        <w:t>nettoyage des caractères (</w:t>
      </w:r>
      <w:r w:rsidR="005E3056" w:rsidRPr="000729D4">
        <w:rPr>
          <w:lang w:val="fr-FR"/>
        </w:rPr>
        <w:t>conver</w:t>
      </w:r>
      <w:r w:rsidRPr="000729D4">
        <w:rPr>
          <w:lang w:val="fr-FR"/>
        </w:rPr>
        <w:t xml:space="preserve">sion </w:t>
      </w:r>
      <w:r w:rsidR="00D33363" w:rsidRPr="000729D4">
        <w:rPr>
          <w:lang w:val="fr-FR"/>
        </w:rPr>
        <w:t>des caractères en</w:t>
      </w:r>
      <w:r w:rsidR="005E3056" w:rsidRPr="000729D4">
        <w:rPr>
          <w:lang w:val="fr-FR"/>
        </w:rPr>
        <w:t xml:space="preserve"> ASCII)</w:t>
      </w:r>
      <w:r w:rsidR="00D33363" w:rsidRPr="000729D4">
        <w:rPr>
          <w:lang w:val="fr-FR"/>
        </w:rPr>
        <w:t>;</w:t>
      </w:r>
    </w:p>
    <w:p w:rsidR="005E3056" w:rsidRPr="000729D4" w:rsidRDefault="00D33363" w:rsidP="00AE69CC">
      <w:pPr>
        <w:pStyle w:val="ONUMFS"/>
        <w:numPr>
          <w:ilvl w:val="0"/>
          <w:numId w:val="33"/>
        </w:numPr>
        <w:tabs>
          <w:tab w:val="clear" w:pos="567"/>
          <w:tab w:val="num" w:pos="1134"/>
        </w:tabs>
        <w:spacing w:after="120"/>
        <w:ind w:left="567"/>
        <w:rPr>
          <w:lang w:val="fr-FR"/>
        </w:rPr>
      </w:pPr>
      <w:r w:rsidRPr="000729D4">
        <w:rPr>
          <w:lang w:val="fr-FR"/>
        </w:rPr>
        <w:t>nettoyage de la po</w:t>
      </w:r>
      <w:r w:rsidR="005E3056" w:rsidRPr="000729D4">
        <w:rPr>
          <w:lang w:val="fr-FR"/>
        </w:rPr>
        <w:t>nctuation (</w:t>
      </w:r>
      <w:proofErr w:type="spellStart"/>
      <w:r w:rsidR="005E3056" w:rsidRPr="000729D4">
        <w:rPr>
          <w:lang w:val="fr-FR"/>
        </w:rPr>
        <w:t>pr</w:t>
      </w:r>
      <w:r w:rsidR="001959D7" w:rsidRPr="000729D4">
        <w:rPr>
          <w:lang w:val="fr-FR"/>
        </w:rPr>
        <w:t>é</w:t>
      </w:r>
      <w:r w:rsidR="009B2F46" w:rsidRPr="000729D4">
        <w:rPr>
          <w:lang w:val="fr-FR"/>
        </w:rPr>
        <w:t>analyse</w:t>
      </w:r>
      <w:proofErr w:type="spellEnd"/>
      <w:r w:rsidR="009B2F46" w:rsidRPr="000729D4">
        <w:rPr>
          <w:lang w:val="fr-FR"/>
        </w:rPr>
        <w:t xml:space="preserve"> syntaxique</w:t>
      </w:r>
      <w:r w:rsidR="005E3056" w:rsidRPr="000729D4">
        <w:rPr>
          <w:lang w:val="fr-FR"/>
        </w:rPr>
        <w:t>)</w:t>
      </w:r>
      <w:r w:rsidR="009B2F46" w:rsidRPr="000729D4">
        <w:rPr>
          <w:lang w:val="fr-FR"/>
        </w:rPr>
        <w:t>;</w:t>
      </w:r>
    </w:p>
    <w:p w:rsidR="005E3056" w:rsidRPr="000729D4" w:rsidRDefault="009B2F46" w:rsidP="00AE69CC">
      <w:pPr>
        <w:pStyle w:val="ONUMFS"/>
        <w:numPr>
          <w:ilvl w:val="0"/>
          <w:numId w:val="33"/>
        </w:numPr>
        <w:tabs>
          <w:tab w:val="clear" w:pos="567"/>
          <w:tab w:val="num" w:pos="1134"/>
        </w:tabs>
        <w:spacing w:after="120"/>
        <w:ind w:left="567"/>
        <w:rPr>
          <w:lang w:val="fr-FR"/>
        </w:rPr>
      </w:pPr>
      <w:r w:rsidRPr="000729D4">
        <w:rPr>
          <w:lang w:val="fr-FR"/>
        </w:rPr>
        <w:t>nettoyage des noms</w:t>
      </w:r>
      <w:r w:rsidR="006401A6" w:rsidRPr="000729D4">
        <w:rPr>
          <w:lang w:val="fr-FR"/>
        </w:rPr>
        <w:t> :</w:t>
      </w:r>
    </w:p>
    <w:p w:rsidR="005E3056" w:rsidRPr="000729D4" w:rsidRDefault="0064551C" w:rsidP="00AE69CC">
      <w:pPr>
        <w:pStyle w:val="ONUMFS"/>
        <w:numPr>
          <w:ilvl w:val="0"/>
          <w:numId w:val="34"/>
        </w:numPr>
        <w:tabs>
          <w:tab w:val="clear" w:pos="567"/>
          <w:tab w:val="num" w:pos="1701"/>
        </w:tabs>
        <w:spacing w:after="120"/>
        <w:ind w:left="1701" w:hanging="567"/>
        <w:rPr>
          <w:lang w:val="fr-FR"/>
        </w:rPr>
      </w:pPr>
      <w:r w:rsidRPr="000729D4">
        <w:rPr>
          <w:lang w:val="fr-FR"/>
        </w:rPr>
        <w:t>traitement</w:t>
      </w:r>
      <w:r w:rsidR="00230061" w:rsidRPr="000729D4">
        <w:rPr>
          <w:lang w:val="fr-FR"/>
        </w:rPr>
        <w:t xml:space="preserve"> </w:t>
      </w:r>
      <w:r w:rsidR="00DE0F2C" w:rsidRPr="000729D4">
        <w:rPr>
          <w:lang w:val="fr-FR"/>
        </w:rPr>
        <w:t>aux fins d</w:t>
      </w:r>
      <w:r w:rsidR="006401A6" w:rsidRPr="000729D4">
        <w:rPr>
          <w:lang w:val="fr-FR"/>
        </w:rPr>
        <w:t>’</w:t>
      </w:r>
      <w:r w:rsidR="00DE0F2C" w:rsidRPr="000729D4">
        <w:rPr>
          <w:lang w:val="fr-FR"/>
        </w:rPr>
        <w:t>indication de la dénomination sociale (l</w:t>
      </w:r>
      <w:r w:rsidR="006401A6" w:rsidRPr="000729D4">
        <w:rPr>
          <w:lang w:val="fr-FR"/>
        </w:rPr>
        <w:t>’</w:t>
      </w:r>
      <w:r w:rsidR="00DE0F2C" w:rsidRPr="000729D4">
        <w:rPr>
          <w:lang w:val="fr-FR"/>
        </w:rPr>
        <w:t>information relative à la dénomination sociale est harmonisée et placée dans un champ spécial);</w:t>
      </w:r>
    </w:p>
    <w:p w:rsidR="005E3056" w:rsidRPr="000729D4" w:rsidRDefault="00F8415A" w:rsidP="00AE69CC">
      <w:pPr>
        <w:pStyle w:val="ONUMFS"/>
        <w:numPr>
          <w:ilvl w:val="0"/>
          <w:numId w:val="34"/>
        </w:numPr>
        <w:tabs>
          <w:tab w:val="clear" w:pos="567"/>
          <w:tab w:val="num" w:pos="1701"/>
        </w:tabs>
        <w:spacing w:after="120"/>
        <w:ind w:left="1701" w:hanging="567"/>
        <w:rPr>
          <w:lang w:val="fr-FR"/>
        </w:rPr>
      </w:pPr>
      <w:r w:rsidRPr="000729D4">
        <w:rPr>
          <w:lang w:val="fr-FR"/>
        </w:rPr>
        <w:t xml:space="preserve">suppression des termes courants dans les dénominations sociales (par exemple, </w:t>
      </w:r>
      <w:r w:rsidR="00FC0750" w:rsidRPr="000729D4">
        <w:rPr>
          <w:lang w:val="fr-FR"/>
        </w:rPr>
        <w:t>“</w:t>
      </w:r>
      <w:r w:rsidRPr="000729D4">
        <w:rPr>
          <w:lang w:val="fr-FR"/>
        </w:rPr>
        <w:t>société</w:t>
      </w:r>
      <w:r w:rsidR="00FC0750" w:rsidRPr="000729D4">
        <w:rPr>
          <w:lang w:val="fr-FR"/>
        </w:rPr>
        <w:t>” o</w:t>
      </w:r>
      <w:r w:rsidRPr="000729D4">
        <w:rPr>
          <w:lang w:val="fr-FR"/>
        </w:rPr>
        <w:t>u</w:t>
      </w:r>
      <w:r w:rsidR="00FC0750" w:rsidRPr="000729D4">
        <w:rPr>
          <w:lang w:val="fr-FR"/>
        </w:rPr>
        <w:t xml:space="preserve"> “</w:t>
      </w:r>
      <w:r w:rsidRPr="000729D4">
        <w:rPr>
          <w:lang w:val="fr-FR"/>
        </w:rPr>
        <w:t>compagnie</w:t>
      </w:r>
      <w:r w:rsidR="00FC0750" w:rsidRPr="000729D4">
        <w:rPr>
          <w:lang w:val="fr-FR"/>
        </w:rPr>
        <w:t>”)</w:t>
      </w:r>
      <w:r w:rsidRPr="000729D4">
        <w:rPr>
          <w:lang w:val="fr-FR"/>
        </w:rPr>
        <w:t>;</w:t>
      </w:r>
    </w:p>
    <w:p w:rsidR="005E3056" w:rsidRPr="000729D4" w:rsidRDefault="00F8415A" w:rsidP="00AE69CC">
      <w:pPr>
        <w:pStyle w:val="ONUMFS"/>
        <w:numPr>
          <w:ilvl w:val="0"/>
          <w:numId w:val="34"/>
        </w:numPr>
        <w:tabs>
          <w:tab w:val="clear" w:pos="567"/>
          <w:tab w:val="num" w:pos="1701"/>
        </w:tabs>
        <w:spacing w:after="120"/>
        <w:ind w:left="1701" w:hanging="567"/>
        <w:rPr>
          <w:lang w:val="fr-FR"/>
        </w:rPr>
      </w:pPr>
      <w:r w:rsidRPr="000729D4">
        <w:rPr>
          <w:lang w:val="fr-FR"/>
        </w:rPr>
        <w:t xml:space="preserve">harmonisation des variantes orthographiques </w:t>
      </w:r>
      <w:r w:rsidR="002A0149" w:rsidRPr="000729D4">
        <w:rPr>
          <w:lang w:val="fr-FR"/>
        </w:rPr>
        <w:t xml:space="preserve">(les variantes et les formes mal orthographiées précédemment </w:t>
      </w:r>
      <w:r w:rsidR="001E70A8" w:rsidRPr="000729D4">
        <w:rPr>
          <w:lang w:val="fr-FR"/>
        </w:rPr>
        <w:t>décel</w:t>
      </w:r>
      <w:r w:rsidR="002A0149" w:rsidRPr="000729D4">
        <w:rPr>
          <w:lang w:val="fr-FR"/>
        </w:rPr>
        <w:t>ées sont remplacées par une version unique, correctement orthographiée</w:t>
      </w:r>
      <w:r w:rsidR="001E70A8" w:rsidRPr="000729D4">
        <w:rPr>
          <w:lang w:val="fr-FR"/>
        </w:rPr>
        <w:t>)</w:t>
      </w:r>
      <w:r w:rsidR="002A0149" w:rsidRPr="000729D4">
        <w:rPr>
          <w:lang w:val="fr-FR"/>
        </w:rPr>
        <w:t>;</w:t>
      </w:r>
    </w:p>
    <w:p w:rsidR="00E16107" w:rsidRPr="000729D4" w:rsidRDefault="005F196D" w:rsidP="00AE69CC">
      <w:pPr>
        <w:pStyle w:val="ONUMFS"/>
        <w:numPr>
          <w:ilvl w:val="0"/>
          <w:numId w:val="34"/>
        </w:numPr>
        <w:tabs>
          <w:tab w:val="clear" w:pos="567"/>
          <w:tab w:val="num" w:pos="1701"/>
        </w:tabs>
        <w:spacing w:after="120"/>
        <w:ind w:left="1701" w:hanging="567"/>
        <w:rPr>
          <w:lang w:val="fr-FR"/>
        </w:rPr>
      </w:pPr>
      <w:r w:rsidRPr="000729D4">
        <w:rPr>
          <w:lang w:val="fr-FR"/>
        </w:rPr>
        <w:t>condensation (</w:t>
      </w:r>
      <w:r w:rsidR="004F33EE" w:rsidRPr="000729D4">
        <w:rPr>
          <w:lang w:val="fr-FR"/>
        </w:rPr>
        <w:t>suppression de tous les caractères autres qu</w:t>
      </w:r>
      <w:r w:rsidR="006401A6" w:rsidRPr="000729D4">
        <w:rPr>
          <w:lang w:val="fr-FR"/>
        </w:rPr>
        <w:t>’</w:t>
      </w:r>
      <w:r w:rsidR="004F33EE" w:rsidRPr="000729D4">
        <w:rPr>
          <w:lang w:val="fr-FR"/>
        </w:rPr>
        <w:t>alphanumériques);</w:t>
      </w:r>
    </w:p>
    <w:p w:rsidR="00E16107" w:rsidRPr="000729D4" w:rsidRDefault="00992BA5" w:rsidP="00AE69CC">
      <w:pPr>
        <w:pStyle w:val="ONUMFS"/>
        <w:numPr>
          <w:ilvl w:val="0"/>
          <w:numId w:val="34"/>
        </w:numPr>
        <w:tabs>
          <w:tab w:val="clear" w:pos="567"/>
          <w:tab w:val="num" w:pos="1701"/>
        </w:tabs>
        <w:ind w:left="1701" w:hanging="567"/>
        <w:rPr>
          <w:lang w:val="fr-FR"/>
        </w:rPr>
      </w:pPr>
      <w:r w:rsidRPr="000729D4">
        <w:rPr>
          <w:lang w:val="fr-FR"/>
        </w:rPr>
        <w:t xml:space="preserve">harmonisation des </w:t>
      </w:r>
      <w:r w:rsidR="009B04B6">
        <w:rPr>
          <w:lang w:val="fr-FR"/>
        </w:rPr>
        <w:t>signes diacritiques</w:t>
      </w:r>
      <w:r w:rsidR="000540A6" w:rsidRPr="000729D4">
        <w:rPr>
          <w:lang w:val="fr-FR"/>
        </w:rPr>
        <w:t>.</w:t>
      </w:r>
    </w:p>
    <w:p w:rsidR="00123FFF" w:rsidRPr="000729D4" w:rsidRDefault="000540A6" w:rsidP="00AE69CC">
      <w:pPr>
        <w:pStyle w:val="ONUMFS"/>
        <w:spacing w:after="120"/>
        <w:rPr>
          <w:lang w:val="fr-FR"/>
        </w:rPr>
      </w:pPr>
      <w:r w:rsidRPr="000729D4">
        <w:rPr>
          <w:lang w:val="fr-FR"/>
        </w:rPr>
        <w:t>La deuxième étape (couche</w:t>
      </w:r>
      <w:r w:rsidR="0047468A">
        <w:rPr>
          <w:lang w:val="fr-FR"/>
        </w:rPr>
        <w:t> </w:t>
      </w:r>
      <w:r w:rsidRPr="000729D4">
        <w:rPr>
          <w:lang w:val="fr-FR"/>
        </w:rPr>
        <w:t xml:space="preserve">2 de la démarche) </w:t>
      </w:r>
      <w:r w:rsidR="00122881" w:rsidRPr="000729D4">
        <w:rPr>
          <w:lang w:val="fr-FR"/>
        </w:rPr>
        <w:t>vise à pousser plus loin l</w:t>
      </w:r>
      <w:r w:rsidR="006401A6" w:rsidRPr="000729D4">
        <w:rPr>
          <w:lang w:val="fr-FR"/>
        </w:rPr>
        <w:t>’</w:t>
      </w:r>
      <w:r w:rsidR="00122881" w:rsidRPr="000729D4">
        <w:rPr>
          <w:lang w:val="fr-FR"/>
        </w:rPr>
        <w:t>harmonisation</w:t>
      </w:r>
      <w:r w:rsidR="009A3733" w:rsidRPr="000729D4">
        <w:rPr>
          <w:lang w:val="fr-FR"/>
        </w:rPr>
        <w:t xml:space="preserve">, </w:t>
      </w:r>
      <w:r w:rsidR="00122881" w:rsidRPr="000729D4">
        <w:rPr>
          <w:lang w:val="fr-FR"/>
        </w:rPr>
        <w:t>en examinant d</w:t>
      </w:r>
      <w:r w:rsidR="006401A6" w:rsidRPr="000729D4">
        <w:rPr>
          <w:lang w:val="fr-FR"/>
        </w:rPr>
        <w:t>’</w:t>
      </w:r>
      <w:r w:rsidR="00122881" w:rsidRPr="000729D4">
        <w:rPr>
          <w:lang w:val="fr-FR"/>
        </w:rPr>
        <w:t>encore plus près les différentes variantes des no</w:t>
      </w:r>
      <w:r w:rsidR="000729D4" w:rsidRPr="000729D4">
        <w:rPr>
          <w:lang w:val="fr-FR"/>
        </w:rPr>
        <w:t>ms.  El</w:t>
      </w:r>
      <w:r w:rsidR="009A3733" w:rsidRPr="000729D4">
        <w:rPr>
          <w:lang w:val="fr-FR"/>
        </w:rPr>
        <w:t xml:space="preserve">le consiste </w:t>
      </w:r>
      <w:r w:rsidR="00C878EB" w:rsidRPr="000729D4">
        <w:rPr>
          <w:lang w:val="fr-FR"/>
        </w:rPr>
        <w:t>à effectuer</w:t>
      </w:r>
      <w:r w:rsidR="009A3733" w:rsidRPr="000729D4">
        <w:rPr>
          <w:lang w:val="fr-FR"/>
        </w:rPr>
        <w:t xml:space="preserve"> une recherche approximative de chaînes de caractères,</w:t>
      </w:r>
      <w:r w:rsidR="00C878EB" w:rsidRPr="000729D4">
        <w:rPr>
          <w:lang w:val="fr-FR"/>
        </w:rPr>
        <w:t xml:space="preserve"> une validation supplémentaire manuelle et un contrôle de quali</w:t>
      </w:r>
      <w:r w:rsidR="000729D4" w:rsidRPr="000729D4">
        <w:rPr>
          <w:lang w:val="fr-FR"/>
        </w:rPr>
        <w:t>té.  Se</w:t>
      </w:r>
      <w:r w:rsidR="00C878EB" w:rsidRPr="000729D4">
        <w:rPr>
          <w:lang w:val="fr-FR"/>
        </w:rPr>
        <w:t>s aspects les plus importants sont les suivants</w:t>
      </w:r>
      <w:r w:rsidR="006401A6" w:rsidRPr="000729D4">
        <w:rPr>
          <w:lang w:val="fr-FR"/>
        </w:rPr>
        <w:t> :</w:t>
      </w:r>
    </w:p>
    <w:p w:rsidR="00123FFF" w:rsidRPr="000729D4" w:rsidRDefault="00C878EB" w:rsidP="00AE69CC">
      <w:pPr>
        <w:pStyle w:val="ONUMFS"/>
        <w:numPr>
          <w:ilvl w:val="0"/>
          <w:numId w:val="35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exhaustivité;</w:t>
      </w:r>
    </w:p>
    <w:p w:rsidR="00123FFF" w:rsidRPr="000729D4" w:rsidRDefault="00C878EB" w:rsidP="00AE69CC">
      <w:pPr>
        <w:pStyle w:val="ONUMFS"/>
        <w:numPr>
          <w:ilvl w:val="0"/>
          <w:numId w:val="35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 xml:space="preserve">grande exactitude </w:t>
      </w:r>
      <w:r w:rsidR="00D55CD4" w:rsidRPr="000729D4">
        <w:rPr>
          <w:lang w:val="fr-FR"/>
        </w:rPr>
        <w:t>(</w:t>
      </w:r>
      <w:r w:rsidR="003548D0" w:rsidRPr="000729D4">
        <w:rPr>
          <w:lang w:val="fr-FR"/>
        </w:rPr>
        <w:t>règles restrictives</w:t>
      </w:r>
      <w:r w:rsidR="00D55CD4" w:rsidRPr="000729D4">
        <w:rPr>
          <w:lang w:val="fr-FR"/>
        </w:rPr>
        <w:t>)</w:t>
      </w:r>
      <w:r w:rsidR="003548D0" w:rsidRPr="000729D4">
        <w:rPr>
          <w:lang w:val="fr-FR"/>
        </w:rPr>
        <w:t>;</w:t>
      </w:r>
    </w:p>
    <w:p w:rsidR="00123FFF" w:rsidRPr="000729D4" w:rsidRDefault="00232D37" w:rsidP="00AE69CC">
      <w:pPr>
        <w:pStyle w:val="ONUMFS"/>
        <w:numPr>
          <w:ilvl w:val="0"/>
          <w:numId w:val="35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0729D4">
        <w:rPr>
          <w:lang w:val="fr-FR"/>
        </w:rPr>
        <w:t>importance de</w:t>
      </w:r>
      <w:r w:rsidR="00CA5528" w:rsidRPr="000729D4">
        <w:rPr>
          <w:lang w:val="fr-FR"/>
        </w:rPr>
        <w:t>s</w:t>
      </w:r>
      <w:r w:rsidRPr="000729D4">
        <w:rPr>
          <w:lang w:val="fr-FR"/>
        </w:rPr>
        <w:t xml:space="preserve"> volumes de brevets traités.</w:t>
      </w:r>
    </w:p>
    <w:p w:rsidR="005E3056" w:rsidRPr="000729D4" w:rsidRDefault="00A521B8" w:rsidP="00AE69CC">
      <w:pPr>
        <w:pStyle w:val="ONUMFS"/>
        <w:rPr>
          <w:lang w:val="fr-FR"/>
        </w:rPr>
      </w:pPr>
      <w:r w:rsidRPr="000729D4">
        <w:rPr>
          <w:lang w:val="fr-FR"/>
        </w:rPr>
        <w:t>Il a été démontré que</w:t>
      </w:r>
      <w:r w:rsidR="00CA5528" w:rsidRPr="000729D4">
        <w:rPr>
          <w:lang w:val="fr-FR"/>
        </w:rPr>
        <w:t xml:space="preserve"> les noms des titulaires de plus de 10</w:t>
      </w:r>
      <w:r w:rsidR="0047468A">
        <w:rPr>
          <w:lang w:val="fr-FR"/>
        </w:rPr>
        <w:t> </w:t>
      </w:r>
      <w:r w:rsidR="00CA5528" w:rsidRPr="000729D4">
        <w:rPr>
          <w:lang w:val="fr-FR"/>
        </w:rPr>
        <w:t>brevets représentaient</w:t>
      </w:r>
      <w:r w:rsidRPr="000729D4">
        <w:rPr>
          <w:lang w:val="fr-FR"/>
        </w:rPr>
        <w:t xml:space="preserve"> 99,6% du nombre total de noms de déposants figurant dans les documents de brevet</w:t>
      </w:r>
      <w:r w:rsidR="006E634C" w:rsidRPr="000729D4">
        <w:rPr>
          <w:lang w:val="fr-FR"/>
        </w:rPr>
        <w:t>;</w:t>
      </w:r>
      <w:r w:rsidR="00D55CD4" w:rsidRPr="000729D4">
        <w:rPr>
          <w:lang w:val="fr-FR"/>
        </w:rPr>
        <w:t xml:space="preserve"> </w:t>
      </w:r>
      <w:r w:rsidR="00DD56F8" w:rsidRPr="000729D4">
        <w:rPr>
          <w:lang w:val="fr-FR"/>
        </w:rPr>
        <w:t xml:space="preserve"> </w:t>
      </w:r>
      <w:r w:rsidR="00847F01" w:rsidRPr="000729D4">
        <w:rPr>
          <w:lang w:val="fr-FR"/>
        </w:rPr>
        <w:t>le travail d</w:t>
      </w:r>
      <w:r w:rsidR="006401A6" w:rsidRPr="000729D4">
        <w:rPr>
          <w:lang w:val="fr-FR"/>
        </w:rPr>
        <w:t>’</w:t>
      </w:r>
      <w:r w:rsidR="00847F01" w:rsidRPr="000729D4">
        <w:rPr>
          <w:lang w:val="fr-FR"/>
        </w:rPr>
        <w:t>examen effectué au titre de la deuxième étape ci</w:t>
      </w:r>
      <w:r w:rsidR="00057587">
        <w:rPr>
          <w:lang w:val="fr-FR"/>
        </w:rPr>
        <w:noBreakHyphen/>
      </w:r>
      <w:r w:rsidR="00847F01" w:rsidRPr="000729D4">
        <w:rPr>
          <w:lang w:val="fr-FR"/>
        </w:rPr>
        <w:t xml:space="preserve">dessus se limite donc à ces noms </w:t>
      </w:r>
      <w:r w:rsidR="006E634C" w:rsidRPr="000729D4">
        <w:rPr>
          <w:lang w:val="fr-FR"/>
        </w:rPr>
        <w:t>(“500</w:t>
      </w:r>
      <w:r w:rsidR="0047468A">
        <w:rPr>
          <w:lang w:val="fr-FR"/>
        </w:rPr>
        <w:t> </w:t>
      </w:r>
      <w:r w:rsidR="00847F01" w:rsidRPr="000729D4">
        <w:rPr>
          <w:lang w:val="fr-FR"/>
        </w:rPr>
        <w:t>déposants les plus importants</w:t>
      </w:r>
      <w:r w:rsidR="006E634C" w:rsidRPr="000729D4">
        <w:rPr>
          <w:lang w:val="fr-FR"/>
        </w:rPr>
        <w:t>”).</w:t>
      </w:r>
    </w:p>
    <w:p w:rsidR="002B57F0" w:rsidRDefault="005643E4" w:rsidP="00AE69CC">
      <w:pPr>
        <w:pStyle w:val="Heading3"/>
        <w:spacing w:before="0"/>
        <w:rPr>
          <w:lang w:val="fr-FR"/>
        </w:rPr>
      </w:pPr>
      <w:r w:rsidRPr="000729D4">
        <w:rPr>
          <w:lang w:val="fr-FR"/>
        </w:rPr>
        <w:t>Identifiants des déposants</w:t>
      </w:r>
    </w:p>
    <w:p w:rsidR="00AE69CC" w:rsidRPr="00CE75DD" w:rsidRDefault="005643E4" w:rsidP="00AE69CC">
      <w:pPr>
        <w:pStyle w:val="ONUMFS"/>
        <w:rPr>
          <w:lang w:val="fr-FR"/>
        </w:rPr>
      </w:pPr>
      <w:r w:rsidRPr="00CE75DD">
        <w:rPr>
          <w:lang w:val="fr-FR"/>
        </w:rPr>
        <w:t xml:space="preserve">Le </w:t>
      </w:r>
      <w:r w:rsidR="00D420C2" w:rsidRPr="00CE75DD">
        <w:rPr>
          <w:lang w:val="fr-FR"/>
        </w:rPr>
        <w:t xml:space="preserve">KIPO </w:t>
      </w:r>
      <w:r w:rsidRPr="00CE75DD">
        <w:rPr>
          <w:lang w:val="fr-FR"/>
        </w:rPr>
        <w:t>a élaboré un système de codes de déposants qu</w:t>
      </w:r>
      <w:r w:rsidR="006401A6" w:rsidRPr="00CE75DD">
        <w:rPr>
          <w:lang w:val="fr-FR"/>
        </w:rPr>
        <w:t>’</w:t>
      </w:r>
      <w:r w:rsidRPr="00CE75DD">
        <w:rPr>
          <w:lang w:val="fr-FR"/>
        </w:rPr>
        <w:t xml:space="preserve">il utilise </w:t>
      </w:r>
      <w:r w:rsidR="006401A6" w:rsidRPr="00CE75DD">
        <w:rPr>
          <w:lang w:val="fr-FR"/>
        </w:rPr>
        <w:t>depuis 1987</w:t>
      </w:r>
      <w:r w:rsidRPr="00CE75DD">
        <w:rPr>
          <w:lang w:val="fr-FR"/>
        </w:rPr>
        <w:t xml:space="preserve">.  Lors du lancement de </w:t>
      </w:r>
      <w:proofErr w:type="spellStart"/>
      <w:r w:rsidR="00D420C2" w:rsidRPr="00CE75DD">
        <w:rPr>
          <w:lang w:val="fr-FR"/>
        </w:rPr>
        <w:t>KIPOnet</w:t>
      </w:r>
      <w:proofErr w:type="spellEnd"/>
      <w:r w:rsidR="00D420C2" w:rsidRPr="00CE75DD">
        <w:rPr>
          <w:lang w:val="fr-FR"/>
        </w:rPr>
        <w:t xml:space="preserve"> (</w:t>
      </w:r>
      <w:r w:rsidRPr="00CE75DD">
        <w:rPr>
          <w:lang w:val="fr-FR"/>
        </w:rPr>
        <w:t>le système d</w:t>
      </w:r>
      <w:r w:rsidR="006401A6" w:rsidRPr="00CE75DD">
        <w:rPr>
          <w:lang w:val="fr-FR"/>
        </w:rPr>
        <w:t>’</w:t>
      </w:r>
      <w:r w:rsidRPr="00CE75DD">
        <w:rPr>
          <w:lang w:val="fr-FR"/>
        </w:rPr>
        <w:t>automatisation informatique</w:t>
      </w:r>
      <w:r w:rsidR="006401A6" w:rsidRPr="00CE75DD">
        <w:rPr>
          <w:lang w:val="fr-FR"/>
        </w:rPr>
        <w:t xml:space="preserve"> du KIP</w:t>
      </w:r>
      <w:r w:rsidR="00D420C2" w:rsidRPr="00CE75DD">
        <w:rPr>
          <w:lang w:val="fr-FR"/>
        </w:rPr>
        <w:t>O)</w:t>
      </w:r>
      <w:r w:rsidRPr="00CE75DD">
        <w:rPr>
          <w:lang w:val="fr-FR"/>
        </w:rPr>
        <w:t xml:space="preserve"> </w:t>
      </w:r>
      <w:r w:rsidR="006401A6" w:rsidRPr="00CE75DD">
        <w:rPr>
          <w:lang w:val="fr-FR"/>
        </w:rPr>
        <w:t>en 1999</w:t>
      </w:r>
      <w:r w:rsidRPr="00CE75DD">
        <w:rPr>
          <w:lang w:val="fr-FR"/>
        </w:rPr>
        <w:t xml:space="preserve">, </w:t>
      </w:r>
      <w:r w:rsidR="002942F8" w:rsidRPr="00CE75DD">
        <w:rPr>
          <w:lang w:val="fr-FR"/>
        </w:rPr>
        <w:t>ces codes ont été assignés aux déposants existants, et</w:t>
      </w:r>
      <w:r w:rsidR="006401A6" w:rsidRPr="00CE75DD">
        <w:rPr>
          <w:lang w:val="fr-FR"/>
        </w:rPr>
        <w:t xml:space="preserve"> le KIP</w:t>
      </w:r>
      <w:r w:rsidR="002942F8" w:rsidRPr="00CE75DD">
        <w:rPr>
          <w:lang w:val="fr-FR"/>
        </w:rPr>
        <w:t xml:space="preserve">O </w:t>
      </w:r>
      <w:r w:rsidR="005E2A35" w:rsidRPr="00CE75DD">
        <w:rPr>
          <w:lang w:val="fr-FR"/>
        </w:rPr>
        <w:t xml:space="preserve">crée </w:t>
      </w:r>
      <w:r w:rsidR="002942F8" w:rsidRPr="00CE75DD">
        <w:rPr>
          <w:lang w:val="fr-FR"/>
        </w:rPr>
        <w:t xml:space="preserve">depuis </w:t>
      </w:r>
      <w:r w:rsidR="005E2A35" w:rsidRPr="00CE75DD">
        <w:rPr>
          <w:lang w:val="fr-FR"/>
        </w:rPr>
        <w:t>pour</w:t>
      </w:r>
      <w:r w:rsidR="002942F8" w:rsidRPr="00CE75DD">
        <w:rPr>
          <w:lang w:val="fr-FR"/>
        </w:rPr>
        <w:t xml:space="preserve"> tous les nouveaux déposants</w:t>
      </w:r>
      <w:r w:rsidR="005E2A35" w:rsidRPr="00CE75DD">
        <w:rPr>
          <w:lang w:val="fr-FR"/>
        </w:rPr>
        <w:t xml:space="preserve"> des codes basés sur</w:t>
      </w:r>
      <w:r w:rsidR="00AF44FA" w:rsidRPr="00CE75DD">
        <w:rPr>
          <w:lang w:val="fr-FR"/>
        </w:rPr>
        <w:t xml:space="preserve"> leur numéro de sécurité sociale ou d</w:t>
      </w:r>
      <w:r w:rsidR="006401A6" w:rsidRPr="00CE75DD">
        <w:rPr>
          <w:lang w:val="fr-FR"/>
        </w:rPr>
        <w:t>’</w:t>
      </w:r>
      <w:r w:rsidR="00AF44FA" w:rsidRPr="00CE75DD">
        <w:rPr>
          <w:lang w:val="fr-FR"/>
        </w:rPr>
        <w:t>inscription au registre des entreprises.</w:t>
      </w:r>
      <w:r w:rsidR="00AE69CC" w:rsidRPr="00CE75DD">
        <w:rPr>
          <w:lang w:val="fr-FR"/>
        </w:rPr>
        <w:br w:type="page"/>
      </w:r>
    </w:p>
    <w:p w:rsidR="00D420C2" w:rsidRPr="000729D4" w:rsidRDefault="002B3644" w:rsidP="00AE69CC">
      <w:pPr>
        <w:pStyle w:val="ONUMFS"/>
        <w:rPr>
          <w:lang w:val="fr-FR"/>
        </w:rPr>
      </w:pPr>
      <w:r w:rsidRPr="000729D4">
        <w:rPr>
          <w:lang w:val="fr-FR"/>
        </w:rPr>
        <w:t>Les codes de</w:t>
      </w:r>
      <w:r w:rsidR="00AC3828" w:rsidRPr="000729D4">
        <w:rPr>
          <w:lang w:val="fr-FR"/>
        </w:rPr>
        <w:t>s</w:t>
      </w:r>
      <w:r w:rsidRPr="000729D4">
        <w:rPr>
          <w:lang w:val="fr-FR"/>
        </w:rPr>
        <w:t xml:space="preserve"> déposant</w:t>
      </w:r>
      <w:r w:rsidR="00AC3828" w:rsidRPr="000729D4">
        <w:rPr>
          <w:lang w:val="fr-FR"/>
        </w:rPr>
        <w:t>s</w:t>
      </w:r>
      <w:r w:rsidR="006401A6" w:rsidRPr="000729D4">
        <w:rPr>
          <w:lang w:val="fr-FR"/>
        </w:rPr>
        <w:t xml:space="preserve"> du KIP</w:t>
      </w:r>
      <w:r w:rsidR="00D420C2" w:rsidRPr="000729D4">
        <w:rPr>
          <w:lang w:val="fr-FR"/>
        </w:rPr>
        <w:t>O</w:t>
      </w:r>
      <w:r w:rsidRPr="000729D4">
        <w:rPr>
          <w:lang w:val="fr-FR"/>
        </w:rPr>
        <w:t xml:space="preserve"> se composent de</w:t>
      </w:r>
      <w:r w:rsidR="00D420C2" w:rsidRPr="000729D4">
        <w:rPr>
          <w:lang w:val="fr-FR"/>
        </w:rPr>
        <w:t xml:space="preserve"> </w:t>
      </w:r>
      <w:r w:rsidRPr="000729D4">
        <w:rPr>
          <w:lang w:val="fr-FR"/>
        </w:rPr>
        <w:t>12</w:t>
      </w:r>
      <w:r w:rsidR="0047468A">
        <w:rPr>
          <w:lang w:val="fr-FR"/>
        </w:rPr>
        <w:t> </w:t>
      </w:r>
      <w:r w:rsidR="00EA6AF6" w:rsidRPr="000729D4">
        <w:rPr>
          <w:lang w:val="fr-FR"/>
        </w:rPr>
        <w:t>chiffres</w:t>
      </w:r>
      <w:r w:rsidR="006401A6" w:rsidRPr="000729D4">
        <w:rPr>
          <w:lang w:val="fr-FR"/>
        </w:rPr>
        <w:t> :</w:t>
      </w:r>
      <w:r w:rsidR="00D420C2" w:rsidRPr="000729D4">
        <w:rPr>
          <w:lang w:val="fr-FR"/>
        </w:rPr>
        <w:t xml:space="preserve"> DYYYYNNNNNNC,</w:t>
      </w:r>
      <w:r w:rsidR="00D56F13" w:rsidRPr="000729D4">
        <w:rPr>
          <w:lang w:val="fr-FR"/>
        </w:rPr>
        <w:t xml:space="preserve"> où</w:t>
      </w:r>
      <w:r w:rsidR="008861FB" w:rsidRPr="000729D4">
        <w:rPr>
          <w:lang w:val="fr-FR"/>
        </w:rPr>
        <w:t xml:space="preserve"> </w:t>
      </w:r>
      <w:r w:rsidR="00D420C2" w:rsidRPr="000729D4">
        <w:rPr>
          <w:lang w:val="fr-FR"/>
        </w:rPr>
        <w:t xml:space="preserve">D </w:t>
      </w:r>
      <w:r w:rsidR="008861FB" w:rsidRPr="000729D4">
        <w:rPr>
          <w:lang w:val="fr-FR"/>
        </w:rPr>
        <w:t xml:space="preserve">est un identifiant unique </w:t>
      </w:r>
      <w:r w:rsidR="00D420C2" w:rsidRPr="000729D4">
        <w:rPr>
          <w:lang w:val="fr-FR"/>
        </w:rPr>
        <w:t>(</w:t>
      </w:r>
      <w:r w:rsidR="008861FB" w:rsidRPr="000729D4">
        <w:rPr>
          <w:lang w:val="fr-FR"/>
        </w:rPr>
        <w:t xml:space="preserve">servant à distinguer les entreprises nationales et étrangères, </w:t>
      </w:r>
      <w:r w:rsidR="00AC3828" w:rsidRPr="000729D4">
        <w:rPr>
          <w:lang w:val="fr-FR"/>
        </w:rPr>
        <w:t xml:space="preserve">les institutions, les personnes physiques nationales et étrangères, les conseils, </w:t>
      </w:r>
      <w:r w:rsidR="00D420C2" w:rsidRPr="000729D4">
        <w:rPr>
          <w:lang w:val="fr-FR"/>
        </w:rPr>
        <w:t>etc.)</w:t>
      </w:r>
      <w:r w:rsidR="00801017" w:rsidRPr="000729D4">
        <w:rPr>
          <w:lang w:val="fr-FR"/>
        </w:rPr>
        <w:t xml:space="preserve">, </w:t>
      </w:r>
      <w:r w:rsidR="00D420C2" w:rsidRPr="000729D4">
        <w:rPr>
          <w:lang w:val="fr-FR"/>
        </w:rPr>
        <w:t xml:space="preserve">YYYY </w:t>
      </w:r>
      <w:r w:rsidR="00DE5BA6" w:rsidRPr="000729D4">
        <w:rPr>
          <w:lang w:val="fr-FR"/>
        </w:rPr>
        <w:t>est l</w:t>
      </w:r>
      <w:r w:rsidR="006401A6" w:rsidRPr="000729D4">
        <w:rPr>
          <w:lang w:val="fr-FR"/>
        </w:rPr>
        <w:t>’</w:t>
      </w:r>
      <w:r w:rsidR="00DE5BA6" w:rsidRPr="000729D4">
        <w:rPr>
          <w:lang w:val="fr-FR"/>
        </w:rPr>
        <w:t>année</w:t>
      </w:r>
      <w:r w:rsidR="00801017" w:rsidRPr="000729D4">
        <w:rPr>
          <w:lang w:val="fr-FR"/>
        </w:rPr>
        <w:t xml:space="preserve">, </w:t>
      </w:r>
      <w:r w:rsidR="00D420C2" w:rsidRPr="000729D4">
        <w:rPr>
          <w:lang w:val="fr-FR"/>
        </w:rPr>
        <w:t xml:space="preserve">NNNNNN </w:t>
      </w:r>
      <w:r w:rsidR="00DE5BA6" w:rsidRPr="000729D4">
        <w:rPr>
          <w:lang w:val="fr-FR"/>
        </w:rPr>
        <w:t>est un numéro de série et</w:t>
      </w:r>
      <w:r w:rsidR="00801017" w:rsidRPr="000729D4">
        <w:rPr>
          <w:lang w:val="fr-FR"/>
        </w:rPr>
        <w:t xml:space="preserve"> </w:t>
      </w:r>
      <w:proofErr w:type="spellStart"/>
      <w:r w:rsidR="00D420C2" w:rsidRPr="000729D4">
        <w:rPr>
          <w:lang w:val="fr-FR"/>
        </w:rPr>
        <w:t xml:space="preserve">C </w:t>
      </w:r>
      <w:r w:rsidR="00DE5BA6" w:rsidRPr="000729D4">
        <w:rPr>
          <w:lang w:val="fr-FR"/>
        </w:rPr>
        <w:t>est</w:t>
      </w:r>
      <w:proofErr w:type="spellEnd"/>
      <w:r w:rsidR="00DE5BA6" w:rsidRPr="000729D4">
        <w:rPr>
          <w:lang w:val="fr-FR"/>
        </w:rPr>
        <w:t xml:space="preserve"> un chiffre de contrôle</w:t>
      </w:r>
      <w:r w:rsidR="00801017" w:rsidRPr="000729D4">
        <w:rPr>
          <w:lang w:val="fr-FR"/>
        </w:rPr>
        <w:t>.</w:t>
      </w:r>
    </w:p>
    <w:p w:rsidR="006401A6" w:rsidRPr="000729D4" w:rsidRDefault="006401A6" w:rsidP="0012708A">
      <w:pPr>
        <w:pStyle w:val="ONUMFS"/>
        <w:spacing w:after="120"/>
        <w:rPr>
          <w:lang w:val="fr-FR"/>
        </w:rPr>
      </w:pPr>
      <w:r w:rsidRPr="000729D4">
        <w:rPr>
          <w:lang w:val="fr-FR"/>
        </w:rPr>
        <w:t>En 2009</w:t>
      </w:r>
      <w:r w:rsidR="00801017" w:rsidRPr="000729D4">
        <w:rPr>
          <w:lang w:val="fr-FR"/>
        </w:rPr>
        <w:t>,</w:t>
      </w:r>
      <w:r w:rsidRPr="000729D4">
        <w:rPr>
          <w:lang w:val="fr-FR"/>
        </w:rPr>
        <w:t xml:space="preserve"> le KIP</w:t>
      </w:r>
      <w:r w:rsidR="00801017" w:rsidRPr="000729D4">
        <w:rPr>
          <w:lang w:val="fr-FR"/>
        </w:rPr>
        <w:t xml:space="preserve">O </w:t>
      </w:r>
      <w:r w:rsidR="00DE5BA6" w:rsidRPr="000729D4">
        <w:rPr>
          <w:lang w:val="fr-FR"/>
        </w:rPr>
        <w:t>a modifié sa réglementation</w:t>
      </w:r>
      <w:r w:rsidR="00CC094D" w:rsidRPr="000729D4">
        <w:rPr>
          <w:lang w:val="fr-FR"/>
        </w:rPr>
        <w:t xml:space="preserve"> pour imposer à ses déposants l</w:t>
      </w:r>
      <w:r w:rsidRPr="000729D4">
        <w:rPr>
          <w:lang w:val="fr-FR"/>
        </w:rPr>
        <w:t>’</w:t>
      </w:r>
      <w:r w:rsidR="00CC094D" w:rsidRPr="000729D4">
        <w:rPr>
          <w:lang w:val="fr-FR"/>
        </w:rPr>
        <w:t>utilisation d</w:t>
      </w:r>
      <w:r w:rsidRPr="000729D4">
        <w:rPr>
          <w:lang w:val="fr-FR"/>
        </w:rPr>
        <w:t>’</w:t>
      </w:r>
      <w:r w:rsidR="00CC094D" w:rsidRPr="000729D4">
        <w:rPr>
          <w:lang w:val="fr-FR"/>
        </w:rPr>
        <w:t>un nom et d</w:t>
      </w:r>
      <w:r w:rsidRPr="000729D4">
        <w:rPr>
          <w:lang w:val="fr-FR"/>
        </w:rPr>
        <w:t>’</w:t>
      </w:r>
      <w:r w:rsidR="00CC094D" w:rsidRPr="000729D4">
        <w:rPr>
          <w:lang w:val="fr-FR"/>
        </w:rPr>
        <w:t>un code de déposant uniqu</w:t>
      </w:r>
      <w:r w:rsidR="000729D4" w:rsidRPr="000729D4">
        <w:rPr>
          <w:lang w:val="fr-FR"/>
        </w:rPr>
        <w:t>es.  Le</w:t>
      </w:r>
      <w:r w:rsidR="00CC094D" w:rsidRPr="000729D4">
        <w:rPr>
          <w:lang w:val="fr-FR"/>
        </w:rPr>
        <w:t>s avantages de l</w:t>
      </w:r>
      <w:r w:rsidRPr="000729D4">
        <w:rPr>
          <w:lang w:val="fr-FR"/>
        </w:rPr>
        <w:t>’</w:t>
      </w:r>
      <w:r w:rsidR="00CC094D" w:rsidRPr="000729D4">
        <w:rPr>
          <w:lang w:val="fr-FR"/>
        </w:rPr>
        <w:t>adoption d</w:t>
      </w:r>
      <w:r w:rsidR="00446CF3" w:rsidRPr="000729D4">
        <w:rPr>
          <w:lang w:val="fr-FR"/>
        </w:rPr>
        <w:t>u</w:t>
      </w:r>
      <w:r w:rsidR="00CC094D" w:rsidRPr="000729D4">
        <w:rPr>
          <w:lang w:val="fr-FR"/>
        </w:rPr>
        <w:t xml:space="preserve"> code de déposant sont les suivants</w:t>
      </w:r>
      <w:r w:rsidRPr="000729D4">
        <w:rPr>
          <w:lang w:val="fr-FR"/>
        </w:rPr>
        <w:t> :</w:t>
      </w:r>
    </w:p>
    <w:p w:rsidR="00801017" w:rsidRPr="000729D4" w:rsidRDefault="00446CF3" w:rsidP="0012708A">
      <w:pPr>
        <w:pStyle w:val="ONUMFS"/>
        <w:numPr>
          <w:ilvl w:val="0"/>
          <w:numId w:val="36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la gestion de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information relative aux déposants est plus efficace;</w:t>
      </w:r>
    </w:p>
    <w:p w:rsidR="00801017" w:rsidRPr="000729D4" w:rsidRDefault="0079190B" w:rsidP="0012708A">
      <w:pPr>
        <w:pStyle w:val="ONUMFS"/>
        <w:numPr>
          <w:ilvl w:val="0"/>
          <w:numId w:val="36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 xml:space="preserve">les déposants </w:t>
      </w:r>
      <w:r w:rsidR="003D505F" w:rsidRPr="000729D4">
        <w:rPr>
          <w:lang w:val="fr-FR"/>
        </w:rPr>
        <w:t>saisissent</w:t>
      </w:r>
      <w:r w:rsidRPr="000729D4">
        <w:rPr>
          <w:lang w:val="fr-FR"/>
        </w:rPr>
        <w:t xml:space="preserve">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information</w:t>
      </w:r>
      <w:r w:rsidR="003D505F" w:rsidRPr="000729D4">
        <w:rPr>
          <w:lang w:val="fr-FR"/>
        </w:rPr>
        <w:t xml:space="preserve"> une fois pour toutes;</w:t>
      </w:r>
    </w:p>
    <w:p w:rsidR="00801017" w:rsidRPr="000729D4" w:rsidRDefault="003D505F" w:rsidP="0012708A">
      <w:pPr>
        <w:pStyle w:val="ONUMFS"/>
        <w:numPr>
          <w:ilvl w:val="0"/>
          <w:numId w:val="36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les modifications relatives aux noms des déposants et aux autres données s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 xml:space="preserve">y rapportant </w:t>
      </w:r>
      <w:r w:rsidR="009F4603" w:rsidRPr="000729D4">
        <w:rPr>
          <w:lang w:val="fr-FR"/>
        </w:rPr>
        <w:t xml:space="preserve">peuvent </w:t>
      </w:r>
      <w:r w:rsidR="007A2214" w:rsidRPr="000729D4">
        <w:rPr>
          <w:lang w:val="fr-FR"/>
        </w:rPr>
        <w:t>s</w:t>
      </w:r>
      <w:r w:rsidR="006401A6" w:rsidRPr="000729D4">
        <w:rPr>
          <w:lang w:val="fr-FR"/>
        </w:rPr>
        <w:t>’</w:t>
      </w:r>
      <w:r w:rsidR="007A2214" w:rsidRPr="000729D4">
        <w:rPr>
          <w:lang w:val="fr-FR"/>
        </w:rPr>
        <w:t>effectue</w:t>
      </w:r>
      <w:r w:rsidR="009F4603" w:rsidRPr="000729D4">
        <w:rPr>
          <w:lang w:val="fr-FR"/>
        </w:rPr>
        <w:t>r</w:t>
      </w:r>
      <w:r w:rsidR="007A2214" w:rsidRPr="000729D4">
        <w:rPr>
          <w:lang w:val="fr-FR"/>
        </w:rPr>
        <w:t xml:space="preserve"> simultanément dans toutes les demandes d</w:t>
      </w:r>
      <w:r w:rsidR="006401A6" w:rsidRPr="000729D4">
        <w:rPr>
          <w:lang w:val="fr-FR"/>
        </w:rPr>
        <w:t>’</w:t>
      </w:r>
      <w:r w:rsidR="007A2214" w:rsidRPr="000729D4">
        <w:rPr>
          <w:lang w:val="fr-FR"/>
        </w:rPr>
        <w:t>un même déposant;</w:t>
      </w:r>
    </w:p>
    <w:p w:rsidR="00D420C2" w:rsidRPr="000729D4" w:rsidRDefault="007A2214" w:rsidP="00AE69CC">
      <w:pPr>
        <w:pStyle w:val="ONUMFS"/>
        <w:numPr>
          <w:ilvl w:val="0"/>
          <w:numId w:val="36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0729D4">
        <w:rPr>
          <w:lang w:val="fr-FR"/>
        </w:rPr>
        <w:t>les statistiques de propriété industrielle sont plus précises</w:t>
      </w:r>
      <w:r w:rsidR="00970500" w:rsidRPr="000729D4">
        <w:rPr>
          <w:rStyle w:val="FootnoteReference"/>
          <w:lang w:val="fr-FR"/>
        </w:rPr>
        <w:footnoteReference w:id="6"/>
      </w:r>
      <w:r w:rsidRPr="000729D4">
        <w:rPr>
          <w:lang w:val="fr-FR"/>
        </w:rPr>
        <w:t>.</w:t>
      </w:r>
    </w:p>
    <w:p w:rsidR="002B57F0" w:rsidRDefault="002B57F0" w:rsidP="0012708A">
      <w:pPr>
        <w:pStyle w:val="Heading4"/>
        <w:keepLines/>
        <w:spacing w:before="0"/>
        <w:rPr>
          <w:lang w:val="fr-FR"/>
        </w:rPr>
      </w:pPr>
      <w:r w:rsidRPr="000729D4">
        <w:rPr>
          <w:lang w:val="fr-FR"/>
        </w:rPr>
        <w:t xml:space="preserve">Thomson </w:t>
      </w:r>
      <w:r w:rsidR="003A39BA" w:rsidRPr="000729D4">
        <w:rPr>
          <w:lang w:val="fr-FR"/>
        </w:rPr>
        <w:t>Reuters</w:t>
      </w:r>
    </w:p>
    <w:p w:rsidR="003216D3" w:rsidRPr="000729D4" w:rsidRDefault="000160C6" w:rsidP="00AE69CC">
      <w:pPr>
        <w:pStyle w:val="ONUMFS"/>
        <w:keepNext/>
        <w:keepLines/>
        <w:rPr>
          <w:lang w:val="fr-FR"/>
        </w:rPr>
      </w:pPr>
      <w:r w:rsidRPr="000729D4">
        <w:rPr>
          <w:lang w:val="fr-FR"/>
        </w:rPr>
        <w:t xml:space="preserve">La société </w:t>
      </w:r>
      <w:r w:rsidR="00952AAB" w:rsidRPr="000729D4">
        <w:rPr>
          <w:lang w:val="fr-FR"/>
        </w:rPr>
        <w:t>Thomson Reuters</w:t>
      </w:r>
      <w:r w:rsidRPr="000729D4">
        <w:rPr>
          <w:lang w:val="fr-FR"/>
        </w:rPr>
        <w:t xml:space="preserve"> </w:t>
      </w:r>
      <w:r w:rsidR="0011342C" w:rsidRPr="000729D4">
        <w:rPr>
          <w:lang w:val="fr-FR"/>
        </w:rPr>
        <w:t>tient une base de données de noms de cessionnaires</w:t>
      </w:r>
      <w:r w:rsidR="005F1D59" w:rsidRPr="000729D4">
        <w:rPr>
          <w:lang w:val="fr-FR"/>
        </w:rPr>
        <w:t xml:space="preserve"> </w:t>
      </w:r>
      <w:r w:rsidR="00171A85" w:rsidRPr="000729D4">
        <w:rPr>
          <w:lang w:val="fr-FR"/>
        </w:rPr>
        <w:t>dans laquelle se trouvent</w:t>
      </w:r>
      <w:r w:rsidR="005F1D59" w:rsidRPr="000729D4">
        <w:rPr>
          <w:lang w:val="fr-FR"/>
        </w:rPr>
        <w:t xml:space="preserve"> plus de 1 800 000</w:t>
      </w:r>
      <w:r w:rsidR="0047468A">
        <w:rPr>
          <w:lang w:val="fr-FR"/>
        </w:rPr>
        <w:t> </w:t>
      </w:r>
      <w:r w:rsidR="005F1D59" w:rsidRPr="000729D4">
        <w:rPr>
          <w:lang w:val="fr-FR"/>
        </w:rPr>
        <w:t>no</w:t>
      </w:r>
      <w:r w:rsidR="000729D4" w:rsidRPr="000729D4">
        <w:rPr>
          <w:lang w:val="fr-FR"/>
        </w:rPr>
        <w:t>ms.  To</w:t>
      </w:r>
      <w:r w:rsidR="001F27F1" w:rsidRPr="000729D4">
        <w:rPr>
          <w:lang w:val="fr-FR"/>
        </w:rPr>
        <w:t>us les noms de cessionnaires traités dans l</w:t>
      </w:r>
      <w:r w:rsidR="006401A6" w:rsidRPr="000729D4">
        <w:rPr>
          <w:lang w:val="fr-FR"/>
        </w:rPr>
        <w:t>’</w:t>
      </w:r>
      <w:r w:rsidR="001F27F1" w:rsidRPr="000729D4">
        <w:rPr>
          <w:lang w:val="fr-FR"/>
        </w:rPr>
        <w:t>Index mondial des brevets</w:t>
      </w:r>
      <w:r w:rsidR="005F1D59" w:rsidRPr="000729D4">
        <w:rPr>
          <w:lang w:val="fr-FR"/>
        </w:rPr>
        <w:t xml:space="preserve"> </w:t>
      </w:r>
      <w:r w:rsidR="001950A0" w:rsidRPr="000729D4">
        <w:rPr>
          <w:lang w:val="fr-FR"/>
        </w:rPr>
        <w:t>Derwent (</w:t>
      </w:r>
      <w:r w:rsidR="00952AAB" w:rsidRPr="000729D4">
        <w:rPr>
          <w:lang w:val="fr-FR"/>
        </w:rPr>
        <w:t>DWPI</w:t>
      </w:r>
      <w:r w:rsidR="001950A0" w:rsidRPr="000729D4">
        <w:rPr>
          <w:lang w:val="fr-FR"/>
        </w:rPr>
        <w:t>)</w:t>
      </w:r>
      <w:r w:rsidR="001F27F1" w:rsidRPr="000729D4">
        <w:rPr>
          <w:lang w:val="fr-FR"/>
        </w:rPr>
        <w:t xml:space="preserve"> sont vérifiés par rapport à cette base de données;  les erreurs relevées sont corrigées, et les noms sont abrégés et normalis</w:t>
      </w:r>
      <w:r w:rsidR="000729D4" w:rsidRPr="000729D4">
        <w:rPr>
          <w:lang w:val="fr-FR"/>
        </w:rPr>
        <w:t>és.  Le</w:t>
      </w:r>
      <w:r w:rsidR="00734BA5" w:rsidRPr="000729D4">
        <w:rPr>
          <w:lang w:val="fr-FR"/>
        </w:rPr>
        <w:t xml:space="preserve">s entreprises reconnues se voient attribuer un code de cessionnaire de brevet (PACO).  </w:t>
      </w:r>
      <w:r w:rsidR="00ED1E5E" w:rsidRPr="000729D4">
        <w:rPr>
          <w:lang w:val="fr-FR"/>
        </w:rPr>
        <w:t xml:space="preserve">Pour les nouvelles entreprises </w:t>
      </w:r>
      <w:r w:rsidR="003F6873" w:rsidRPr="000729D4">
        <w:rPr>
          <w:lang w:val="fr-FR"/>
        </w:rPr>
        <w:t>ayant déposé</w:t>
      </w:r>
      <w:r w:rsidR="00ED1E5E" w:rsidRPr="000729D4">
        <w:rPr>
          <w:lang w:val="fr-FR"/>
        </w:rPr>
        <w:t xml:space="preserve"> plus de 500</w:t>
      </w:r>
      <w:r w:rsidR="0047468A">
        <w:rPr>
          <w:lang w:val="fr-FR"/>
        </w:rPr>
        <w:t> </w:t>
      </w:r>
      <w:r w:rsidR="00ED1E5E" w:rsidRPr="000729D4">
        <w:rPr>
          <w:lang w:val="fr-FR"/>
        </w:rPr>
        <w:t>demandes de brevet, un nouveau code est créé et ajouté à la base de données inter</w:t>
      </w:r>
      <w:r w:rsidR="000729D4" w:rsidRPr="000729D4">
        <w:rPr>
          <w:lang w:val="fr-FR"/>
        </w:rPr>
        <w:t>ne.  Ce</w:t>
      </w:r>
      <w:r w:rsidR="00ED1E5E" w:rsidRPr="000729D4">
        <w:rPr>
          <w:lang w:val="fr-FR"/>
        </w:rPr>
        <w:t>s codes permettent de distinguer les entreprises ayant des noms similaires</w:t>
      </w:r>
      <w:r w:rsidR="0005508E" w:rsidRPr="000729D4">
        <w:rPr>
          <w:lang w:val="fr-FR"/>
        </w:rPr>
        <w:t>, et de reconnaître leurs filiales, car</w:t>
      </w:r>
      <w:r w:rsidR="009F4603" w:rsidRPr="000729D4">
        <w:rPr>
          <w:lang w:val="fr-FR"/>
        </w:rPr>
        <w:t xml:space="preserve"> le nom de la maison mère n</w:t>
      </w:r>
      <w:r w:rsidR="006401A6" w:rsidRPr="000729D4">
        <w:rPr>
          <w:lang w:val="fr-FR"/>
        </w:rPr>
        <w:t>’</w:t>
      </w:r>
      <w:r w:rsidR="009F4603" w:rsidRPr="000729D4">
        <w:rPr>
          <w:lang w:val="fr-FR"/>
        </w:rPr>
        <w:t>est toujours pas contenu dans</w:t>
      </w:r>
      <w:r w:rsidR="0005508E" w:rsidRPr="000729D4">
        <w:rPr>
          <w:lang w:val="fr-FR"/>
        </w:rPr>
        <w:t xml:space="preserve"> la dénomination de ces dernières</w:t>
      </w:r>
      <w:r w:rsidR="000F524A" w:rsidRPr="000729D4">
        <w:rPr>
          <w:rStyle w:val="FootnoteReference"/>
          <w:lang w:val="fr-FR"/>
        </w:rPr>
        <w:footnoteReference w:id="7"/>
      </w:r>
      <w:r w:rsidR="00C37B9B" w:rsidRPr="000729D4">
        <w:rPr>
          <w:lang w:val="fr-FR"/>
        </w:rPr>
        <w:t>.</w:t>
      </w:r>
    </w:p>
    <w:p w:rsidR="008E78CE" w:rsidRDefault="0005508E" w:rsidP="0012708A">
      <w:pPr>
        <w:pStyle w:val="Heading3"/>
        <w:spacing w:before="0"/>
        <w:rPr>
          <w:lang w:val="fr-FR"/>
        </w:rPr>
      </w:pPr>
      <w:r w:rsidRPr="000729D4">
        <w:rPr>
          <w:lang w:val="fr-FR"/>
        </w:rPr>
        <w:t>Résumé et conclusions</w:t>
      </w:r>
    </w:p>
    <w:p w:rsidR="00970500" w:rsidRPr="000729D4" w:rsidRDefault="00DE7949" w:rsidP="00AE69CC">
      <w:pPr>
        <w:pStyle w:val="ONUMFS"/>
        <w:rPr>
          <w:lang w:val="fr-FR"/>
        </w:rPr>
      </w:pPr>
      <w:r w:rsidRPr="000729D4">
        <w:rPr>
          <w:lang w:val="fr-FR"/>
        </w:rPr>
        <w:t xml:space="preserve">La plupart des solutions décrites </w:t>
      </w:r>
      <w:r w:rsidR="006409B8" w:rsidRPr="000729D4">
        <w:rPr>
          <w:lang w:val="fr-FR"/>
        </w:rPr>
        <w:t xml:space="preserve">permettent de </w:t>
      </w:r>
      <w:r w:rsidR="00220885" w:rsidRPr="000729D4">
        <w:rPr>
          <w:lang w:val="fr-FR"/>
        </w:rPr>
        <w:t>satisfaire les</w:t>
      </w:r>
      <w:r w:rsidR="00A312C9" w:rsidRPr="000729D4">
        <w:rPr>
          <w:lang w:val="fr-FR"/>
        </w:rPr>
        <w:t xml:space="preserve"> deux</w:t>
      </w:r>
      <w:r w:rsidR="00A92EE9" w:rsidRPr="000729D4">
        <w:rPr>
          <w:lang w:val="fr-FR"/>
        </w:rPr>
        <w:t> </w:t>
      </w:r>
      <w:r w:rsidR="00A312C9" w:rsidRPr="000729D4">
        <w:rPr>
          <w:lang w:val="fr-FR"/>
        </w:rPr>
        <w:t xml:space="preserve">premiers </w:t>
      </w:r>
      <w:r w:rsidR="006409B8" w:rsidRPr="000729D4">
        <w:rPr>
          <w:lang w:val="fr-FR"/>
        </w:rPr>
        <w:t>degrés</w:t>
      </w:r>
      <w:r w:rsidR="000B25F7" w:rsidRPr="000729D4">
        <w:rPr>
          <w:lang w:val="fr-FR"/>
        </w:rPr>
        <w:t xml:space="preserve"> – uniformisation et harmonisation –</w:t>
      </w:r>
      <w:r w:rsidR="00A312C9" w:rsidRPr="000729D4">
        <w:rPr>
          <w:lang w:val="fr-FR"/>
        </w:rPr>
        <w:t xml:space="preserve"> de la</w:t>
      </w:r>
      <w:r w:rsidRPr="000729D4">
        <w:rPr>
          <w:lang w:val="fr-FR"/>
        </w:rPr>
        <w:t xml:space="preserve"> normalisation des noms des déposants de brevets, </w:t>
      </w:r>
      <w:r w:rsidR="000B25F7" w:rsidRPr="000729D4">
        <w:rPr>
          <w:lang w:val="fr-FR"/>
        </w:rPr>
        <w:t>en laissant de côté les questions de titularité.</w:t>
      </w:r>
    </w:p>
    <w:p w:rsidR="006401A6" w:rsidRPr="000729D4" w:rsidRDefault="001F5C33" w:rsidP="0012708A">
      <w:pPr>
        <w:pStyle w:val="ONUMFS"/>
        <w:spacing w:after="120"/>
        <w:rPr>
          <w:lang w:val="fr-FR"/>
        </w:rPr>
      </w:pPr>
      <w:r w:rsidRPr="000729D4">
        <w:rPr>
          <w:lang w:val="fr-FR"/>
        </w:rPr>
        <w:t>Il existe trois</w:t>
      </w:r>
      <w:r w:rsidR="00A92EE9" w:rsidRPr="000729D4">
        <w:rPr>
          <w:lang w:val="fr-FR"/>
        </w:rPr>
        <w:t> </w:t>
      </w:r>
      <w:r w:rsidRPr="000729D4">
        <w:rPr>
          <w:lang w:val="fr-FR"/>
        </w:rPr>
        <w:t xml:space="preserve">méthodes principales de </w:t>
      </w:r>
      <w:r w:rsidR="0035797A" w:rsidRPr="000729D4">
        <w:rPr>
          <w:lang w:val="fr-FR"/>
        </w:rPr>
        <w:t>normal</w:t>
      </w:r>
      <w:r w:rsidRPr="000729D4">
        <w:rPr>
          <w:lang w:val="fr-FR"/>
        </w:rPr>
        <w:t>isation des noms des déposants</w:t>
      </w:r>
      <w:r w:rsidR="006401A6" w:rsidRPr="000729D4">
        <w:rPr>
          <w:lang w:val="fr-FR"/>
        </w:rPr>
        <w:t> :</w:t>
      </w:r>
    </w:p>
    <w:p w:rsidR="00AD6252" w:rsidRPr="000729D4" w:rsidRDefault="001F5C33" w:rsidP="0012708A">
      <w:pPr>
        <w:pStyle w:val="ONUMFS"/>
        <w:numPr>
          <w:ilvl w:val="0"/>
          <w:numId w:val="37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 xml:space="preserve">attribution de codes de déposants </w:t>
      </w:r>
      <w:r w:rsidR="0012304D" w:rsidRPr="000729D4">
        <w:rPr>
          <w:lang w:val="fr-FR"/>
        </w:rPr>
        <w:t>(KIPO)</w:t>
      </w:r>
      <w:r w:rsidRPr="000729D4">
        <w:rPr>
          <w:lang w:val="fr-FR"/>
        </w:rPr>
        <w:t>;</w:t>
      </w:r>
    </w:p>
    <w:p w:rsidR="00631D6C" w:rsidRPr="000729D4" w:rsidRDefault="001F5C33" w:rsidP="0012708A">
      <w:pPr>
        <w:pStyle w:val="ONUMFS"/>
        <w:numPr>
          <w:ilvl w:val="0"/>
          <w:numId w:val="37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introduction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un champ supplémentaire dans les bases de données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 xml:space="preserve">information en matière de brevets, pour les noms uniformisés ou harmonisés (OEB </w:t>
      </w:r>
      <w:r w:rsidR="0012304D" w:rsidRPr="000729D4">
        <w:rPr>
          <w:lang w:val="fr-FR"/>
        </w:rPr>
        <w:t>PATSTAT)</w:t>
      </w:r>
      <w:r w:rsidRPr="000729D4">
        <w:rPr>
          <w:lang w:val="fr-FR"/>
        </w:rPr>
        <w:t>;</w:t>
      </w:r>
    </w:p>
    <w:p w:rsidR="00AD6252" w:rsidRPr="000729D4" w:rsidRDefault="00235314" w:rsidP="00AE69CC">
      <w:pPr>
        <w:pStyle w:val="ONUMFS"/>
        <w:numPr>
          <w:ilvl w:val="0"/>
          <w:numId w:val="37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0729D4">
        <w:rPr>
          <w:lang w:val="fr-FR"/>
        </w:rPr>
        <w:t>tenue</w:t>
      </w:r>
      <w:r w:rsidR="002E208C" w:rsidRPr="000729D4">
        <w:rPr>
          <w:lang w:val="fr-FR"/>
        </w:rPr>
        <w:t xml:space="preserve"> d</w:t>
      </w:r>
      <w:r w:rsidR="006401A6" w:rsidRPr="000729D4">
        <w:rPr>
          <w:lang w:val="fr-FR"/>
        </w:rPr>
        <w:t>’</w:t>
      </w:r>
      <w:r w:rsidR="002E208C" w:rsidRPr="000729D4">
        <w:rPr>
          <w:lang w:val="fr-FR"/>
        </w:rPr>
        <w:t xml:space="preserve">une base de </w:t>
      </w:r>
      <w:r w:rsidR="00A25BB5" w:rsidRPr="000729D4">
        <w:rPr>
          <w:lang w:val="fr-FR"/>
        </w:rPr>
        <w:t>données</w:t>
      </w:r>
      <w:r w:rsidR="002E208C" w:rsidRPr="000729D4">
        <w:rPr>
          <w:lang w:val="fr-FR"/>
        </w:rPr>
        <w:t xml:space="preserve"> </w:t>
      </w:r>
      <w:r w:rsidRPr="000729D4">
        <w:rPr>
          <w:lang w:val="fr-FR"/>
        </w:rPr>
        <w:t>des déposants</w:t>
      </w:r>
      <w:r w:rsidR="00E82BD1" w:rsidRPr="000729D4">
        <w:rPr>
          <w:lang w:val="fr-FR"/>
        </w:rPr>
        <w:t>, dans laquelle chaque déposant fait l</w:t>
      </w:r>
      <w:r w:rsidR="006401A6" w:rsidRPr="000729D4">
        <w:rPr>
          <w:lang w:val="fr-FR"/>
        </w:rPr>
        <w:t>’</w:t>
      </w:r>
      <w:r w:rsidR="00E82BD1" w:rsidRPr="000729D4">
        <w:rPr>
          <w:lang w:val="fr-FR"/>
        </w:rPr>
        <w:t>objet d</w:t>
      </w:r>
      <w:r w:rsidR="006401A6" w:rsidRPr="000729D4">
        <w:rPr>
          <w:lang w:val="fr-FR"/>
        </w:rPr>
        <w:t>’</w:t>
      </w:r>
      <w:r w:rsidR="002E208C" w:rsidRPr="000729D4">
        <w:rPr>
          <w:lang w:val="fr-FR"/>
        </w:rPr>
        <w:t>une seule entrée, avec le nom et l</w:t>
      </w:r>
      <w:r w:rsidR="006401A6" w:rsidRPr="000729D4">
        <w:rPr>
          <w:lang w:val="fr-FR"/>
        </w:rPr>
        <w:t>’</w:t>
      </w:r>
      <w:r w:rsidR="002E208C" w:rsidRPr="000729D4">
        <w:rPr>
          <w:lang w:val="fr-FR"/>
        </w:rPr>
        <w:t xml:space="preserve">adresse harmonisés correspondants </w:t>
      </w:r>
      <w:r w:rsidR="0012304D" w:rsidRPr="000729D4">
        <w:rPr>
          <w:lang w:val="fr-FR"/>
        </w:rPr>
        <w:t>(</w:t>
      </w:r>
      <w:r w:rsidR="002E208C" w:rsidRPr="000729D4">
        <w:rPr>
          <w:lang w:val="fr-FR"/>
        </w:rPr>
        <w:t>OEB</w:t>
      </w:r>
      <w:r w:rsidR="0012304D" w:rsidRPr="000729D4">
        <w:rPr>
          <w:lang w:val="fr-FR"/>
        </w:rPr>
        <w:t xml:space="preserve"> NACM)</w:t>
      </w:r>
      <w:r w:rsidR="002E208C" w:rsidRPr="000729D4">
        <w:rPr>
          <w:lang w:val="fr-FR"/>
        </w:rPr>
        <w:t>.</w:t>
      </w:r>
    </w:p>
    <w:p w:rsidR="00AD6252" w:rsidRPr="000729D4" w:rsidRDefault="00CB131A" w:rsidP="00CE75DD">
      <w:pPr>
        <w:pStyle w:val="ONUMFS"/>
        <w:spacing w:after="120"/>
        <w:rPr>
          <w:lang w:val="fr-FR"/>
        </w:rPr>
      </w:pPr>
      <w:r w:rsidRPr="000729D4">
        <w:rPr>
          <w:lang w:val="fr-FR"/>
        </w:rPr>
        <w:t>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 xml:space="preserve">attribution de codes de déposants semble être pour les offices de propriété industrielle le moyen le plus simple </w:t>
      </w:r>
      <w:r w:rsidR="00B56270" w:rsidRPr="000729D4">
        <w:rPr>
          <w:lang w:val="fr-FR"/>
        </w:rPr>
        <w:t>et le plus pratique d</w:t>
      </w:r>
      <w:r w:rsidR="006401A6" w:rsidRPr="000729D4">
        <w:rPr>
          <w:lang w:val="fr-FR"/>
        </w:rPr>
        <w:t>’</w:t>
      </w:r>
      <w:r w:rsidR="00B56270" w:rsidRPr="000729D4">
        <w:rPr>
          <w:lang w:val="fr-FR"/>
        </w:rPr>
        <w:t>assurer l</w:t>
      </w:r>
      <w:r w:rsidR="006401A6" w:rsidRPr="000729D4">
        <w:rPr>
          <w:lang w:val="fr-FR"/>
        </w:rPr>
        <w:t>’</w:t>
      </w:r>
      <w:r w:rsidR="00B56270" w:rsidRPr="000729D4">
        <w:rPr>
          <w:lang w:val="fr-FR"/>
        </w:rPr>
        <w:t xml:space="preserve">exactitude de leurs dossiers de déposants et de fournir une </w:t>
      </w:r>
      <w:r w:rsidR="00D53961" w:rsidRPr="000729D4">
        <w:rPr>
          <w:lang w:val="fr-FR"/>
        </w:rPr>
        <w:t>“</w:t>
      </w:r>
      <w:r w:rsidR="00B56270" w:rsidRPr="000729D4">
        <w:rPr>
          <w:lang w:val="fr-FR"/>
        </w:rPr>
        <w:t>qualité à la source</w:t>
      </w:r>
      <w:r w:rsidR="00D53961" w:rsidRPr="000729D4">
        <w:rPr>
          <w:lang w:val="fr-FR"/>
        </w:rPr>
        <w:t>”</w:t>
      </w:r>
      <w:r w:rsidR="00AD6252" w:rsidRPr="000729D4">
        <w:rPr>
          <w:lang w:val="fr-FR"/>
        </w:rPr>
        <w:t>,</w:t>
      </w:r>
      <w:r w:rsidR="00BB1E95" w:rsidRPr="000729D4">
        <w:rPr>
          <w:lang w:val="fr-FR"/>
        </w:rPr>
        <w:t xml:space="preserve"> mais </w:t>
      </w:r>
      <w:r w:rsidR="0077778E" w:rsidRPr="000729D4">
        <w:rPr>
          <w:lang w:val="fr-FR"/>
        </w:rPr>
        <w:t>les dispositions de certaines législations nationales prévoyant l</w:t>
      </w:r>
      <w:r w:rsidR="006401A6" w:rsidRPr="000729D4">
        <w:rPr>
          <w:lang w:val="fr-FR"/>
        </w:rPr>
        <w:t>’</w:t>
      </w:r>
      <w:r w:rsidR="0077778E" w:rsidRPr="000729D4">
        <w:rPr>
          <w:lang w:val="fr-FR"/>
        </w:rPr>
        <w:t>obligation de publier les données relatives aux déposants “telles que reçues” et la résistance de l</w:t>
      </w:r>
      <w:r w:rsidR="006401A6" w:rsidRPr="000729D4">
        <w:rPr>
          <w:lang w:val="fr-FR"/>
        </w:rPr>
        <w:t>’</w:t>
      </w:r>
      <w:r w:rsidR="0077778E" w:rsidRPr="000729D4">
        <w:rPr>
          <w:lang w:val="fr-FR"/>
        </w:rPr>
        <w:t>industrie</w:t>
      </w:r>
      <w:r w:rsidR="001F5B45" w:rsidRPr="000729D4">
        <w:rPr>
          <w:lang w:val="fr-FR"/>
        </w:rPr>
        <w:t xml:space="preserve"> (voir la position de l</w:t>
      </w:r>
      <w:r w:rsidR="006401A6" w:rsidRPr="000729D4">
        <w:rPr>
          <w:lang w:val="fr-FR"/>
        </w:rPr>
        <w:t>’</w:t>
      </w:r>
      <w:r w:rsidR="001F5B45" w:rsidRPr="000729D4">
        <w:rPr>
          <w:lang w:val="fr-FR"/>
        </w:rPr>
        <w:t>AIPLA) ne permettent pas toujours de l</w:t>
      </w:r>
      <w:r w:rsidR="006401A6" w:rsidRPr="000729D4">
        <w:rPr>
          <w:lang w:val="fr-FR"/>
        </w:rPr>
        <w:t>’</w:t>
      </w:r>
      <w:r w:rsidR="001F5B45" w:rsidRPr="000729D4">
        <w:rPr>
          <w:lang w:val="fr-FR"/>
        </w:rPr>
        <w:t>adopt</w:t>
      </w:r>
      <w:r w:rsidR="000729D4" w:rsidRPr="000729D4">
        <w:rPr>
          <w:lang w:val="fr-FR"/>
        </w:rPr>
        <w:t>er.  Le</w:t>
      </w:r>
      <w:r w:rsidR="004F2F93" w:rsidRPr="000729D4">
        <w:rPr>
          <w:lang w:val="fr-FR"/>
        </w:rPr>
        <w:t>s différences des pratiques nationales concernant l</w:t>
      </w:r>
      <w:r w:rsidR="006401A6" w:rsidRPr="000729D4">
        <w:rPr>
          <w:lang w:val="fr-FR"/>
        </w:rPr>
        <w:t>’</w:t>
      </w:r>
      <w:r w:rsidR="004F2F93" w:rsidRPr="000729D4">
        <w:rPr>
          <w:lang w:val="fr-FR"/>
        </w:rPr>
        <w:t>enregistrement des personnes morales et physiques peuvent compliquer encore la mise en œuvre de cette approche au</w:t>
      </w:r>
      <w:r w:rsidR="0047468A">
        <w:rPr>
          <w:lang w:val="fr-FR"/>
        </w:rPr>
        <w:t xml:space="preserve">x </w:t>
      </w:r>
      <w:r w:rsidR="004F2F93" w:rsidRPr="000729D4">
        <w:rPr>
          <w:lang w:val="fr-FR"/>
        </w:rPr>
        <w:t>niveau</w:t>
      </w:r>
      <w:r w:rsidR="0047468A">
        <w:rPr>
          <w:lang w:val="fr-FR"/>
        </w:rPr>
        <w:t xml:space="preserve">x </w:t>
      </w:r>
      <w:r w:rsidR="004F2F93" w:rsidRPr="000729D4">
        <w:rPr>
          <w:lang w:val="fr-FR"/>
        </w:rPr>
        <w:t>régional et internation</w:t>
      </w:r>
      <w:r w:rsidR="000729D4" w:rsidRPr="000729D4">
        <w:rPr>
          <w:lang w:val="fr-FR"/>
        </w:rPr>
        <w:t>al.  Il</w:t>
      </w:r>
      <w:r w:rsidR="004F2F93" w:rsidRPr="000729D4">
        <w:rPr>
          <w:lang w:val="fr-FR"/>
        </w:rPr>
        <w:t xml:space="preserve"> apparaît cependant utile de la faire connaître aux offices</w:t>
      </w:r>
      <w:r w:rsidR="00733FB8" w:rsidRPr="000729D4">
        <w:rPr>
          <w:lang w:val="fr-FR"/>
        </w:rPr>
        <w:t xml:space="preserve"> de propriété industrielle</w:t>
      </w:r>
      <w:r w:rsidR="00AC1EFE" w:rsidRPr="000729D4">
        <w:rPr>
          <w:lang w:val="fr-FR"/>
        </w:rPr>
        <w:t>,</w:t>
      </w:r>
      <w:r w:rsidR="00733FB8" w:rsidRPr="000729D4">
        <w:rPr>
          <w:lang w:val="fr-FR"/>
        </w:rPr>
        <w:t xml:space="preserve"> pour leur permettre de rechercher une manière adéquate et raisonnable de convaincre les déposants d</w:t>
      </w:r>
      <w:r w:rsidR="006401A6" w:rsidRPr="000729D4">
        <w:rPr>
          <w:lang w:val="fr-FR"/>
        </w:rPr>
        <w:t>’</w:t>
      </w:r>
      <w:r w:rsidR="00733FB8" w:rsidRPr="000729D4">
        <w:rPr>
          <w:lang w:val="fr-FR"/>
        </w:rPr>
        <w:t>uniformiser autant que possible l</w:t>
      </w:r>
      <w:r w:rsidR="006401A6" w:rsidRPr="000729D4">
        <w:rPr>
          <w:lang w:val="fr-FR"/>
        </w:rPr>
        <w:t>’</w:t>
      </w:r>
      <w:r w:rsidR="00733FB8" w:rsidRPr="000729D4">
        <w:rPr>
          <w:lang w:val="fr-FR"/>
        </w:rPr>
        <w:t>indication de leur nom,</w:t>
      </w:r>
      <w:r w:rsidR="001D76FF" w:rsidRPr="000729D4">
        <w:rPr>
          <w:lang w:val="fr-FR"/>
        </w:rPr>
        <w:t xml:space="preserve"> tout en respectant les prescriptions de leur législation nationale.</w:t>
      </w:r>
    </w:p>
    <w:p w:rsidR="0037182F" w:rsidRPr="000729D4" w:rsidRDefault="003B6298" w:rsidP="00CE75DD">
      <w:pPr>
        <w:pStyle w:val="ONUMFS"/>
        <w:spacing w:after="120"/>
        <w:rPr>
          <w:lang w:val="fr-FR"/>
        </w:rPr>
      </w:pPr>
      <w:r w:rsidRPr="000729D4">
        <w:rPr>
          <w:lang w:val="fr-FR"/>
        </w:rPr>
        <w:t>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introduction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un champ supplémentaire dans les bases de données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 xml:space="preserve">information en matière de brevets pour les noms uniformisés ou harmonisés </w:t>
      </w:r>
      <w:r w:rsidR="00DB2435" w:rsidRPr="000729D4">
        <w:rPr>
          <w:lang w:val="fr-FR"/>
        </w:rPr>
        <w:t>obligerait les offices de propriété industrielle à engager des ressources considérables,</w:t>
      </w:r>
      <w:r w:rsidR="003F0507" w:rsidRPr="000729D4">
        <w:rPr>
          <w:lang w:val="fr-FR"/>
        </w:rPr>
        <w:t xml:space="preserve"> et ne présenterait un avantage pour</w:t>
      </w:r>
      <w:r w:rsidRPr="000729D4">
        <w:rPr>
          <w:lang w:val="fr-FR"/>
        </w:rPr>
        <w:t xml:space="preserve"> </w:t>
      </w:r>
      <w:r w:rsidR="003F0507" w:rsidRPr="000729D4">
        <w:rPr>
          <w:lang w:val="fr-FR"/>
        </w:rPr>
        <w:t>l</w:t>
      </w:r>
      <w:r w:rsidR="006401A6" w:rsidRPr="000729D4">
        <w:rPr>
          <w:lang w:val="fr-FR"/>
        </w:rPr>
        <w:t>’</w:t>
      </w:r>
      <w:r w:rsidR="003F0507" w:rsidRPr="000729D4">
        <w:rPr>
          <w:lang w:val="fr-FR"/>
        </w:rPr>
        <w:t>échange international de données que si différents offices appliquaient les mêmes règles d</w:t>
      </w:r>
      <w:r w:rsidR="006401A6" w:rsidRPr="000729D4">
        <w:rPr>
          <w:lang w:val="fr-FR"/>
        </w:rPr>
        <w:t>’</w:t>
      </w:r>
      <w:r w:rsidR="003F0507" w:rsidRPr="000729D4">
        <w:rPr>
          <w:lang w:val="fr-FR"/>
        </w:rPr>
        <w:t>uniformisation et d</w:t>
      </w:r>
      <w:r w:rsidR="006401A6" w:rsidRPr="000729D4">
        <w:rPr>
          <w:lang w:val="fr-FR"/>
        </w:rPr>
        <w:t>’</w:t>
      </w:r>
      <w:r w:rsidR="003F0507" w:rsidRPr="000729D4">
        <w:rPr>
          <w:lang w:val="fr-FR"/>
        </w:rPr>
        <w:t>harmonisation des noms des déposan</w:t>
      </w:r>
      <w:r w:rsidR="000729D4" w:rsidRPr="000729D4">
        <w:rPr>
          <w:lang w:val="fr-FR"/>
        </w:rPr>
        <w:t>ts.  Ce</w:t>
      </w:r>
      <w:r w:rsidR="003F0507" w:rsidRPr="000729D4">
        <w:rPr>
          <w:lang w:val="fr-FR"/>
        </w:rPr>
        <w:t>rtains offices comme l</w:t>
      </w:r>
      <w:r w:rsidR="006401A6" w:rsidRPr="000729D4">
        <w:rPr>
          <w:lang w:val="fr-FR"/>
        </w:rPr>
        <w:t>’</w:t>
      </w:r>
      <w:r w:rsidR="003F0507" w:rsidRPr="000729D4">
        <w:rPr>
          <w:lang w:val="fr-FR"/>
        </w:rPr>
        <w:t xml:space="preserve">OEB </w:t>
      </w:r>
      <w:r w:rsidR="000F3B26" w:rsidRPr="000729D4">
        <w:rPr>
          <w:lang w:val="fr-FR"/>
        </w:rPr>
        <w:t>ont déjà acquis une expérience et</w:t>
      </w:r>
      <w:r w:rsidR="00A01CD5" w:rsidRPr="000729D4">
        <w:rPr>
          <w:lang w:val="fr-FR"/>
        </w:rPr>
        <w:t xml:space="preserve"> des compétences</w:t>
      </w:r>
      <w:r w:rsidR="00FD6E36" w:rsidRPr="000729D4">
        <w:rPr>
          <w:lang w:val="fr-FR"/>
        </w:rPr>
        <w:t xml:space="preserve"> dans ce domaine, et il serait très utile à la communauté de la propriété industrielle qu</w:t>
      </w:r>
      <w:r w:rsidR="006401A6" w:rsidRPr="000729D4">
        <w:rPr>
          <w:lang w:val="fr-FR"/>
        </w:rPr>
        <w:t>’</w:t>
      </w:r>
      <w:r w:rsidR="00FD6E36" w:rsidRPr="000729D4">
        <w:rPr>
          <w:lang w:val="fr-FR"/>
        </w:rPr>
        <w:t>ils les partagent avec d</w:t>
      </w:r>
      <w:r w:rsidR="006401A6" w:rsidRPr="000729D4">
        <w:rPr>
          <w:lang w:val="fr-FR"/>
        </w:rPr>
        <w:t>’</w:t>
      </w:r>
      <w:r w:rsidR="00FD6E36" w:rsidRPr="000729D4">
        <w:rPr>
          <w:lang w:val="fr-FR"/>
        </w:rPr>
        <w:t>autres offic</w:t>
      </w:r>
      <w:r w:rsidR="000729D4" w:rsidRPr="000729D4">
        <w:rPr>
          <w:lang w:val="fr-FR"/>
        </w:rPr>
        <w:t>es.  La</w:t>
      </w:r>
      <w:r w:rsidR="00171886" w:rsidRPr="000729D4">
        <w:rPr>
          <w:lang w:val="fr-FR"/>
        </w:rPr>
        <w:t xml:space="preserve"> normalisation des règles d</w:t>
      </w:r>
      <w:r w:rsidR="006401A6" w:rsidRPr="000729D4">
        <w:rPr>
          <w:lang w:val="fr-FR"/>
        </w:rPr>
        <w:t>’</w:t>
      </w:r>
      <w:r w:rsidR="00171886" w:rsidRPr="000729D4">
        <w:rPr>
          <w:lang w:val="fr-FR"/>
        </w:rPr>
        <w:t>uniformisation de la formulation de recommandations</w:t>
      </w:r>
      <w:r w:rsidR="00A42544" w:rsidRPr="000729D4">
        <w:rPr>
          <w:lang w:val="fr-FR"/>
        </w:rPr>
        <w:t xml:space="preserve"> concernant l</w:t>
      </w:r>
      <w:r w:rsidR="006401A6" w:rsidRPr="000729D4">
        <w:rPr>
          <w:lang w:val="fr-FR"/>
        </w:rPr>
        <w:t>’</w:t>
      </w:r>
      <w:r w:rsidR="00A42544" w:rsidRPr="000729D4">
        <w:rPr>
          <w:lang w:val="fr-FR"/>
        </w:rPr>
        <w:t>harmonisation des noms des déposants sont également des possibilités.</w:t>
      </w:r>
    </w:p>
    <w:p w:rsidR="00BD6775" w:rsidRPr="000729D4" w:rsidRDefault="00922C00" w:rsidP="00CE75DD">
      <w:pPr>
        <w:pStyle w:val="ONUMFS"/>
        <w:spacing w:after="120"/>
        <w:rPr>
          <w:lang w:val="fr-FR"/>
        </w:rPr>
      </w:pPr>
      <w:r w:rsidRPr="000729D4">
        <w:rPr>
          <w:lang w:val="fr-FR"/>
        </w:rPr>
        <w:t xml:space="preserve">La </w:t>
      </w:r>
      <w:r w:rsidR="000921A8" w:rsidRPr="000729D4">
        <w:rPr>
          <w:lang w:val="fr-FR"/>
        </w:rPr>
        <w:t xml:space="preserve">méthode consistant à </w:t>
      </w:r>
      <w:r w:rsidRPr="000729D4">
        <w:rPr>
          <w:lang w:val="fr-FR"/>
        </w:rPr>
        <w:t>cré</w:t>
      </w:r>
      <w:r w:rsidR="000921A8" w:rsidRPr="000729D4">
        <w:rPr>
          <w:lang w:val="fr-FR"/>
        </w:rPr>
        <w:t xml:space="preserve">er et tenir </w:t>
      </w:r>
      <w:r w:rsidRPr="000729D4">
        <w:rPr>
          <w:lang w:val="fr-FR"/>
        </w:rPr>
        <w:t>une base de données des déposants</w:t>
      </w:r>
      <w:r w:rsidR="000921A8" w:rsidRPr="000729D4">
        <w:rPr>
          <w:lang w:val="fr-FR"/>
        </w:rPr>
        <w:t xml:space="preserve"> </w:t>
      </w:r>
      <w:r w:rsidR="006D38F4" w:rsidRPr="000729D4">
        <w:rPr>
          <w:lang w:val="fr-FR"/>
        </w:rPr>
        <w:t>est semblable</w:t>
      </w:r>
      <w:r w:rsidR="000921A8" w:rsidRPr="000729D4">
        <w:rPr>
          <w:lang w:val="fr-FR"/>
        </w:rPr>
        <w:t xml:space="preserve"> à la première (attribution de codes de déposants), </w:t>
      </w:r>
      <w:r w:rsidR="003D5DA6" w:rsidRPr="000729D4">
        <w:rPr>
          <w:lang w:val="fr-FR"/>
        </w:rPr>
        <w:t>dans la mesure où le lien entre la demande et l</w:t>
      </w:r>
      <w:r w:rsidR="006401A6" w:rsidRPr="000729D4">
        <w:rPr>
          <w:lang w:val="fr-FR"/>
        </w:rPr>
        <w:t>’</w:t>
      </w:r>
      <w:r w:rsidR="003D5DA6" w:rsidRPr="000729D4">
        <w:rPr>
          <w:lang w:val="fr-FR"/>
        </w:rPr>
        <w:t>information relative au déposant sera établi au moyen de l</w:t>
      </w:r>
      <w:r w:rsidR="006401A6" w:rsidRPr="000729D4">
        <w:rPr>
          <w:lang w:val="fr-FR"/>
        </w:rPr>
        <w:t>’</w:t>
      </w:r>
      <w:r w:rsidR="003D5DA6" w:rsidRPr="000729D4">
        <w:rPr>
          <w:lang w:val="fr-FR"/>
        </w:rPr>
        <w:t>identifiant de la base de données, qui est en fait un co</w:t>
      </w:r>
      <w:r w:rsidR="000729D4" w:rsidRPr="000729D4">
        <w:rPr>
          <w:lang w:val="fr-FR"/>
        </w:rPr>
        <w:t>de.  La</w:t>
      </w:r>
      <w:r w:rsidR="00ED505E" w:rsidRPr="000729D4">
        <w:rPr>
          <w:lang w:val="fr-FR"/>
        </w:rPr>
        <w:t xml:space="preserve"> validation par les déposants eux</w:t>
      </w:r>
      <w:r w:rsidR="00057587">
        <w:rPr>
          <w:lang w:val="fr-FR"/>
        </w:rPr>
        <w:noBreakHyphen/>
      </w:r>
      <w:r w:rsidR="00ED505E" w:rsidRPr="000729D4">
        <w:rPr>
          <w:lang w:val="fr-FR"/>
        </w:rPr>
        <w:t>mêmes de l</w:t>
      </w:r>
      <w:r w:rsidR="006401A6" w:rsidRPr="000729D4">
        <w:rPr>
          <w:lang w:val="fr-FR"/>
        </w:rPr>
        <w:t>’</w:t>
      </w:r>
      <w:r w:rsidR="00ED505E" w:rsidRPr="000729D4">
        <w:rPr>
          <w:lang w:val="fr-FR"/>
        </w:rPr>
        <w:t>information contenue dans la base de données pourrait cependant contribuer à éviter une partie des problèmes mentionnés ci</w:t>
      </w:r>
      <w:r w:rsidR="00057587">
        <w:rPr>
          <w:lang w:val="fr-FR"/>
        </w:rPr>
        <w:noBreakHyphen/>
      </w:r>
      <w:r w:rsidR="00ED505E" w:rsidRPr="000729D4">
        <w:rPr>
          <w:lang w:val="fr-FR"/>
        </w:rPr>
        <w:t>dess</w:t>
      </w:r>
      <w:r w:rsidR="000729D4" w:rsidRPr="000729D4">
        <w:rPr>
          <w:lang w:val="fr-FR"/>
        </w:rPr>
        <w:t>us.  Ce</w:t>
      </w:r>
      <w:r w:rsidR="00A00FFD" w:rsidRPr="000729D4">
        <w:rPr>
          <w:lang w:val="fr-FR"/>
        </w:rPr>
        <w:t xml:space="preserve"> choix supposerait aussi des investissements importants de la part des offic</w:t>
      </w:r>
      <w:r w:rsidR="000729D4" w:rsidRPr="000729D4">
        <w:rPr>
          <w:lang w:val="fr-FR"/>
        </w:rPr>
        <w:t>es.  La</w:t>
      </w:r>
      <w:r w:rsidR="00E51726" w:rsidRPr="000729D4">
        <w:rPr>
          <w:lang w:val="fr-FR"/>
        </w:rPr>
        <w:t xml:space="preserve"> création d</w:t>
      </w:r>
      <w:r w:rsidR="006401A6" w:rsidRPr="000729D4">
        <w:rPr>
          <w:lang w:val="fr-FR"/>
        </w:rPr>
        <w:t>’</w:t>
      </w:r>
      <w:r w:rsidR="00E51726" w:rsidRPr="000729D4">
        <w:rPr>
          <w:lang w:val="fr-FR"/>
        </w:rPr>
        <w:t>une base de données internationale des noms des déposants pourrait être une meilleure solution</w:t>
      </w:r>
      <w:r w:rsidR="00FC0750" w:rsidRPr="000729D4">
        <w:rPr>
          <w:lang w:val="fr-FR"/>
        </w:rPr>
        <w:t>.</w:t>
      </w:r>
    </w:p>
    <w:p w:rsidR="00631D6C" w:rsidRPr="000729D4" w:rsidRDefault="00E75442" w:rsidP="00AE69CC">
      <w:pPr>
        <w:pStyle w:val="ONUMFS"/>
        <w:rPr>
          <w:lang w:val="fr-FR"/>
        </w:rPr>
      </w:pPr>
      <w:r w:rsidRPr="000729D4">
        <w:rPr>
          <w:lang w:val="fr-FR"/>
        </w:rPr>
        <w:t>Thomson Reuters et les autres fournisseurs privés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 xml:space="preserve">information en matière de brevets </w:t>
      </w:r>
      <w:r w:rsidR="0035338A" w:rsidRPr="000729D4">
        <w:rPr>
          <w:lang w:val="fr-FR"/>
        </w:rPr>
        <w:t>s</w:t>
      </w:r>
      <w:r w:rsidR="006401A6" w:rsidRPr="000729D4">
        <w:rPr>
          <w:lang w:val="fr-FR"/>
        </w:rPr>
        <w:t>’</w:t>
      </w:r>
      <w:r w:rsidR="0035338A" w:rsidRPr="000729D4">
        <w:rPr>
          <w:lang w:val="fr-FR"/>
        </w:rPr>
        <w:t>attachent à déterminer</w:t>
      </w:r>
      <w:r w:rsidR="00BE6268" w:rsidRPr="000729D4">
        <w:rPr>
          <w:lang w:val="fr-FR"/>
        </w:rPr>
        <w:t xml:space="preserve"> qui est, </w:t>
      </w:r>
      <w:r w:rsidR="00712397" w:rsidRPr="000729D4">
        <w:rPr>
          <w:lang w:val="fr-FR"/>
        </w:rPr>
        <w:t>en dernière analyse</w:t>
      </w:r>
      <w:r w:rsidR="00BE6268" w:rsidRPr="000729D4">
        <w:rPr>
          <w:lang w:val="fr-FR"/>
        </w:rPr>
        <w:t>, le bénéficiaire des droits de brevet</w:t>
      </w:r>
      <w:r w:rsidR="003F6479" w:rsidRPr="000729D4">
        <w:rPr>
          <w:lang w:val="fr-FR"/>
        </w:rPr>
        <w:t xml:space="preserve"> dans la structure d</w:t>
      </w:r>
      <w:r w:rsidR="006401A6" w:rsidRPr="000729D4">
        <w:rPr>
          <w:lang w:val="fr-FR"/>
        </w:rPr>
        <w:t>’</w:t>
      </w:r>
      <w:r w:rsidR="003F6479" w:rsidRPr="000729D4">
        <w:rPr>
          <w:lang w:val="fr-FR"/>
        </w:rPr>
        <w:t>une entreprise</w:t>
      </w:r>
      <w:r w:rsidR="00712397" w:rsidRPr="000729D4">
        <w:rPr>
          <w:lang w:val="fr-FR"/>
        </w:rPr>
        <w:t>, afin de pouvoir</w:t>
      </w:r>
      <w:r w:rsidR="003F6479" w:rsidRPr="000729D4">
        <w:rPr>
          <w:lang w:val="fr-FR"/>
        </w:rPr>
        <w:t xml:space="preserve"> </w:t>
      </w:r>
      <w:r w:rsidR="001D501E" w:rsidRPr="000729D4">
        <w:rPr>
          <w:lang w:val="fr-FR"/>
        </w:rPr>
        <w:t>mettre</w:t>
      </w:r>
      <w:r w:rsidR="003F6479" w:rsidRPr="000729D4">
        <w:rPr>
          <w:lang w:val="fr-FR"/>
        </w:rPr>
        <w:t xml:space="preserve"> cette information</w:t>
      </w:r>
      <w:r w:rsidR="001D501E" w:rsidRPr="000729D4">
        <w:rPr>
          <w:lang w:val="fr-FR"/>
        </w:rPr>
        <w:t xml:space="preserve"> à la disposition de </w:t>
      </w:r>
      <w:r w:rsidR="003F6479" w:rsidRPr="000729D4">
        <w:rPr>
          <w:lang w:val="fr-FR"/>
        </w:rPr>
        <w:t>leurs clients (troisième et quatrième degrés de normalisati</w:t>
      </w:r>
      <w:r w:rsidR="000729D4" w:rsidRPr="000729D4">
        <w:rPr>
          <w:lang w:val="fr-FR"/>
        </w:rPr>
        <w:t>on).  Ce</w:t>
      </w:r>
      <w:r w:rsidR="003F6479" w:rsidRPr="000729D4">
        <w:rPr>
          <w:lang w:val="fr-FR"/>
        </w:rPr>
        <w:t>la nécessite une quantité de travail extrêmement importante</w:t>
      </w:r>
      <w:r w:rsidR="00CB031F" w:rsidRPr="000729D4">
        <w:rPr>
          <w:lang w:val="fr-FR"/>
        </w:rPr>
        <w:t xml:space="preserve"> et dépasse souvent le </w:t>
      </w:r>
      <w:r w:rsidR="008113B6" w:rsidRPr="000729D4">
        <w:rPr>
          <w:lang w:val="fr-FR"/>
        </w:rPr>
        <w:t>seuil de compétence des offices de propriété industrielle.</w:t>
      </w:r>
    </w:p>
    <w:p w:rsidR="002B57F0" w:rsidRDefault="00494337" w:rsidP="0012708A">
      <w:pPr>
        <w:pStyle w:val="Heading2"/>
        <w:spacing w:before="0"/>
        <w:rPr>
          <w:lang w:val="fr-FR"/>
        </w:rPr>
      </w:pPr>
      <w:r w:rsidRPr="000729D4">
        <w:rPr>
          <w:lang w:val="fr-FR"/>
        </w:rPr>
        <w:t>Rôle de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OMPI dans la normalisation des noms des déposants</w:t>
      </w:r>
    </w:p>
    <w:p w:rsidR="001A3F02" w:rsidRDefault="00494337" w:rsidP="0012708A">
      <w:pPr>
        <w:pStyle w:val="Heading3"/>
        <w:spacing w:before="0"/>
        <w:rPr>
          <w:lang w:val="fr-FR"/>
        </w:rPr>
      </w:pPr>
      <w:r w:rsidRPr="000729D4">
        <w:rPr>
          <w:lang w:val="fr-FR"/>
        </w:rPr>
        <w:t>Comité des normes de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OMPI</w:t>
      </w:r>
    </w:p>
    <w:p w:rsidR="001C0613" w:rsidRPr="000729D4" w:rsidRDefault="00DD2C34" w:rsidP="00AE69CC">
      <w:pPr>
        <w:pStyle w:val="ONUMFS"/>
        <w:rPr>
          <w:lang w:val="fr-FR"/>
        </w:rPr>
      </w:pPr>
      <w:r w:rsidRPr="000729D4">
        <w:rPr>
          <w:lang w:val="fr-FR"/>
        </w:rPr>
        <w:t>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une des conclusions de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 xml:space="preserve">atelier sur la normalisation des noms des déposants a été </w:t>
      </w:r>
      <w:r w:rsidR="00574966" w:rsidRPr="000729D4">
        <w:rPr>
          <w:lang w:val="fr-FR"/>
        </w:rPr>
        <w:t>une requête d</w:t>
      </w:r>
      <w:r w:rsidRPr="000729D4">
        <w:rPr>
          <w:lang w:val="fr-FR"/>
        </w:rPr>
        <w:t>es participants</w:t>
      </w:r>
      <w:r w:rsidR="00574966" w:rsidRPr="000729D4">
        <w:rPr>
          <w:lang w:val="fr-FR"/>
        </w:rPr>
        <w:t xml:space="preserve"> visant </w:t>
      </w:r>
      <w:r w:rsidR="009E03F8" w:rsidRPr="000729D4">
        <w:rPr>
          <w:lang w:val="fr-FR"/>
        </w:rPr>
        <w:t>à ce qu</w:t>
      </w:r>
      <w:r w:rsidR="006401A6" w:rsidRPr="000729D4">
        <w:rPr>
          <w:lang w:val="fr-FR"/>
        </w:rPr>
        <w:t>’</w:t>
      </w:r>
      <w:r w:rsidR="009E03F8" w:rsidRPr="000729D4">
        <w:rPr>
          <w:lang w:val="fr-FR"/>
        </w:rPr>
        <w:t>u</w:t>
      </w:r>
      <w:r w:rsidR="00B60FED" w:rsidRPr="000729D4">
        <w:rPr>
          <w:lang w:val="fr-FR"/>
        </w:rPr>
        <w:t xml:space="preserve">ne enquête </w:t>
      </w:r>
      <w:r w:rsidR="009E03F8" w:rsidRPr="000729D4">
        <w:rPr>
          <w:lang w:val="fr-FR"/>
        </w:rPr>
        <w:t xml:space="preserve">soit effectuée </w:t>
      </w:r>
      <w:r w:rsidR="00B60FED" w:rsidRPr="000729D4">
        <w:rPr>
          <w:lang w:val="fr-FR"/>
        </w:rPr>
        <w:t xml:space="preserve">auprès des offices </w:t>
      </w:r>
      <w:r w:rsidRPr="000729D4">
        <w:rPr>
          <w:lang w:val="fr-FR"/>
        </w:rPr>
        <w:t>de propriété industrielle</w:t>
      </w:r>
      <w:r w:rsidR="00B60FED" w:rsidRPr="000729D4">
        <w:rPr>
          <w:lang w:val="fr-FR"/>
        </w:rPr>
        <w:t xml:space="preserve"> </w:t>
      </w:r>
      <w:r w:rsidR="003364E2" w:rsidRPr="000729D4">
        <w:rPr>
          <w:lang w:val="fr-FR"/>
        </w:rPr>
        <w:t>afin de se faire une idée d</w:t>
      </w:r>
      <w:r w:rsidR="009E03F8" w:rsidRPr="000729D4">
        <w:rPr>
          <w:lang w:val="fr-FR"/>
        </w:rPr>
        <w:t>e l</w:t>
      </w:r>
      <w:r w:rsidR="006401A6" w:rsidRPr="000729D4">
        <w:rPr>
          <w:lang w:val="fr-FR"/>
        </w:rPr>
        <w:t>’</w:t>
      </w:r>
      <w:r w:rsidR="003364E2" w:rsidRPr="000729D4">
        <w:rPr>
          <w:lang w:val="fr-FR"/>
        </w:rPr>
        <w:t>utilité des identifiants de déposants et des problèmes éventuels liés à leur adoption, et de savoir si les offices utilisent un “dictionnaire” des noms de déposan</w:t>
      </w:r>
      <w:r w:rsidR="000729D4" w:rsidRPr="000729D4">
        <w:rPr>
          <w:lang w:val="fr-FR"/>
        </w:rPr>
        <w:t>ts.  Dè</w:t>
      </w:r>
      <w:r w:rsidR="009E03F8" w:rsidRPr="000729D4">
        <w:rPr>
          <w:lang w:val="fr-FR"/>
        </w:rPr>
        <w:t>s qu</w:t>
      </w:r>
      <w:r w:rsidR="006401A6" w:rsidRPr="000729D4">
        <w:rPr>
          <w:lang w:val="fr-FR"/>
        </w:rPr>
        <w:t>’</w:t>
      </w:r>
      <w:r w:rsidR="009E03F8" w:rsidRPr="000729D4">
        <w:rPr>
          <w:lang w:val="fr-FR"/>
        </w:rPr>
        <w:t>une équipe d</w:t>
      </w:r>
      <w:r w:rsidR="006401A6" w:rsidRPr="000729D4">
        <w:rPr>
          <w:lang w:val="fr-FR"/>
        </w:rPr>
        <w:t>’</w:t>
      </w:r>
      <w:r w:rsidR="009E03F8" w:rsidRPr="000729D4">
        <w:rPr>
          <w:lang w:val="fr-FR"/>
        </w:rPr>
        <w:t>experts aura été créée dans le cadre</w:t>
      </w:r>
      <w:r w:rsidR="006401A6" w:rsidRPr="000729D4">
        <w:rPr>
          <w:lang w:val="fr-FR"/>
        </w:rPr>
        <w:t xml:space="preserve"> du CWS</w:t>
      </w:r>
      <w:r w:rsidR="009E03F8" w:rsidRPr="000729D4">
        <w:rPr>
          <w:lang w:val="fr-FR"/>
        </w:rPr>
        <w:t>, elle pourra s</w:t>
      </w:r>
      <w:r w:rsidR="006401A6" w:rsidRPr="000729D4">
        <w:rPr>
          <w:lang w:val="fr-FR"/>
        </w:rPr>
        <w:t>’</w:t>
      </w:r>
      <w:r w:rsidR="009E03F8" w:rsidRPr="000729D4">
        <w:rPr>
          <w:lang w:val="fr-FR"/>
        </w:rPr>
        <w:t>attaquer à cette tâche en élaborant un questionnaire</w:t>
      </w:r>
      <w:r w:rsidR="00410FB3" w:rsidRPr="000729D4">
        <w:rPr>
          <w:lang w:val="fr-FR"/>
        </w:rPr>
        <w:t xml:space="preserve"> que le Secrétariat pourra distribuer aux offices de propriété industriel</w:t>
      </w:r>
      <w:r w:rsidR="000729D4" w:rsidRPr="000729D4">
        <w:rPr>
          <w:lang w:val="fr-FR"/>
        </w:rPr>
        <w:t>le.  Le</w:t>
      </w:r>
      <w:r w:rsidR="00410FB3" w:rsidRPr="000729D4">
        <w:rPr>
          <w:lang w:val="fr-FR"/>
        </w:rPr>
        <w:t>s résultats de l</w:t>
      </w:r>
      <w:r w:rsidR="006401A6" w:rsidRPr="000729D4">
        <w:rPr>
          <w:lang w:val="fr-FR"/>
        </w:rPr>
        <w:t>’</w:t>
      </w:r>
      <w:r w:rsidR="00410FB3" w:rsidRPr="000729D4">
        <w:rPr>
          <w:lang w:val="fr-FR"/>
        </w:rPr>
        <w:t>enquête seront publiés dans le Manuel de l</w:t>
      </w:r>
      <w:r w:rsidR="006401A6" w:rsidRPr="000729D4">
        <w:rPr>
          <w:lang w:val="fr-FR"/>
        </w:rPr>
        <w:t>’</w:t>
      </w:r>
      <w:r w:rsidR="00410FB3" w:rsidRPr="000729D4">
        <w:rPr>
          <w:lang w:val="fr-FR"/>
        </w:rPr>
        <w:t>OMPI sur l</w:t>
      </w:r>
      <w:r w:rsidR="006401A6" w:rsidRPr="000729D4">
        <w:rPr>
          <w:lang w:val="fr-FR"/>
        </w:rPr>
        <w:t>’</w:t>
      </w:r>
      <w:r w:rsidR="00410FB3" w:rsidRPr="000729D4">
        <w:rPr>
          <w:lang w:val="fr-FR"/>
        </w:rPr>
        <w:t>information et la documentation en matière de propriété industrielle (Manuel de l</w:t>
      </w:r>
      <w:r w:rsidR="006401A6" w:rsidRPr="000729D4">
        <w:rPr>
          <w:lang w:val="fr-FR"/>
        </w:rPr>
        <w:t>’</w:t>
      </w:r>
      <w:r w:rsidR="00410FB3" w:rsidRPr="000729D4">
        <w:rPr>
          <w:lang w:val="fr-FR"/>
        </w:rPr>
        <w:t>OMPI</w:t>
      </w:r>
      <w:r w:rsidR="00612288" w:rsidRPr="000729D4">
        <w:rPr>
          <w:lang w:val="fr-FR"/>
        </w:rPr>
        <w:t>).</w:t>
      </w:r>
    </w:p>
    <w:p w:rsidR="00B94CE9" w:rsidRPr="000729D4" w:rsidRDefault="00A25C32" w:rsidP="0012708A">
      <w:pPr>
        <w:pStyle w:val="ONUMFS"/>
        <w:spacing w:after="120"/>
        <w:rPr>
          <w:lang w:val="fr-FR"/>
        </w:rPr>
      </w:pPr>
      <w:r w:rsidRPr="000729D4">
        <w:rPr>
          <w:lang w:val="fr-FR"/>
        </w:rPr>
        <w:t>Cette équipe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experts pourra examiner parallèlement la possibilité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élaborer sous la forme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une norme de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OMPI des recommandations</w:t>
      </w:r>
      <w:r w:rsidR="00D233B4" w:rsidRPr="000729D4">
        <w:rPr>
          <w:lang w:val="fr-FR"/>
        </w:rPr>
        <w:t xml:space="preserve"> </w:t>
      </w:r>
      <w:r w:rsidR="004F32E4" w:rsidRPr="000729D4">
        <w:rPr>
          <w:lang w:val="fr-FR"/>
        </w:rPr>
        <w:t xml:space="preserve">qui </w:t>
      </w:r>
      <w:r w:rsidR="00D233B4" w:rsidRPr="000729D4">
        <w:rPr>
          <w:lang w:val="fr-FR"/>
        </w:rPr>
        <w:t>contribuer</w:t>
      </w:r>
      <w:r w:rsidR="004F32E4" w:rsidRPr="000729D4">
        <w:rPr>
          <w:lang w:val="fr-FR"/>
        </w:rPr>
        <w:t>aient</w:t>
      </w:r>
      <w:r w:rsidR="00D233B4" w:rsidRPr="000729D4">
        <w:rPr>
          <w:lang w:val="fr-FR"/>
        </w:rPr>
        <w:t xml:space="preserve"> à</w:t>
      </w:r>
      <w:r w:rsidR="004F32E4" w:rsidRPr="000729D4">
        <w:rPr>
          <w:lang w:val="fr-FR"/>
        </w:rPr>
        <w:t xml:space="preserve"> une meilleure harmonisation </w:t>
      </w:r>
      <w:r w:rsidR="00D233B4" w:rsidRPr="000729D4">
        <w:rPr>
          <w:lang w:val="fr-FR"/>
        </w:rPr>
        <w:t>des noms des déposants dans les documents de brevet</w:t>
      </w:r>
      <w:r w:rsidR="004F32E4" w:rsidRPr="000729D4">
        <w:rPr>
          <w:lang w:val="fr-FR"/>
        </w:rPr>
        <w:t xml:space="preserve"> établis par les offices de propriété industriel</w:t>
      </w:r>
      <w:r w:rsidR="000729D4" w:rsidRPr="000729D4">
        <w:rPr>
          <w:lang w:val="fr-FR"/>
        </w:rPr>
        <w:t>le.  Ce</w:t>
      </w:r>
      <w:r w:rsidR="004F32E4" w:rsidRPr="000729D4">
        <w:rPr>
          <w:lang w:val="fr-FR"/>
        </w:rPr>
        <w:t>s recommandations pourraient porter sur les aspects suivants</w:t>
      </w:r>
      <w:r w:rsidR="006401A6" w:rsidRPr="000729D4">
        <w:rPr>
          <w:lang w:val="fr-FR"/>
        </w:rPr>
        <w:t> :</w:t>
      </w:r>
    </w:p>
    <w:p w:rsidR="00B94CE9" w:rsidRPr="000729D4" w:rsidRDefault="00594750" w:rsidP="0012708A">
      <w:pPr>
        <w:pStyle w:val="ONUMFS"/>
        <w:numPr>
          <w:ilvl w:val="0"/>
          <w:numId w:val="38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u</w:t>
      </w:r>
      <w:r w:rsidR="00D55FB9" w:rsidRPr="000729D4">
        <w:rPr>
          <w:lang w:val="fr-FR"/>
        </w:rPr>
        <w:t>niformisation</w:t>
      </w:r>
      <w:r w:rsidRPr="000729D4">
        <w:rPr>
          <w:lang w:val="fr-FR"/>
        </w:rPr>
        <w:t xml:space="preserve"> des noms des déposants;</w:t>
      </w:r>
    </w:p>
    <w:p w:rsidR="00B94CE9" w:rsidRPr="000729D4" w:rsidRDefault="00594750" w:rsidP="0012708A">
      <w:pPr>
        <w:pStyle w:val="ONUMFS"/>
        <w:numPr>
          <w:ilvl w:val="0"/>
          <w:numId w:val="38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questions de traduction et de translittération;</w:t>
      </w:r>
    </w:p>
    <w:p w:rsidR="00B94CE9" w:rsidRPr="000729D4" w:rsidRDefault="001C0D50" w:rsidP="0012708A">
      <w:pPr>
        <w:pStyle w:val="ONUMFS"/>
        <w:numPr>
          <w:ilvl w:val="0"/>
          <w:numId w:val="38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différences entre les modes de formation des noms d</w:t>
      </w:r>
      <w:r w:rsidR="006401A6" w:rsidRPr="000729D4">
        <w:rPr>
          <w:lang w:val="fr-FR"/>
        </w:rPr>
        <w:t>’</w:t>
      </w:r>
      <w:r w:rsidR="00AA35FB" w:rsidRPr="000729D4">
        <w:rPr>
          <w:lang w:val="fr-FR"/>
        </w:rPr>
        <w:t>un</w:t>
      </w:r>
      <w:r w:rsidRPr="000729D4">
        <w:rPr>
          <w:lang w:val="fr-FR"/>
        </w:rPr>
        <w:t xml:space="preserve"> pays à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autre;</w:t>
      </w:r>
    </w:p>
    <w:p w:rsidR="00B94CE9" w:rsidRPr="000729D4" w:rsidRDefault="00DC02FF" w:rsidP="0012708A">
      <w:pPr>
        <w:pStyle w:val="ONUMFS"/>
        <w:numPr>
          <w:ilvl w:val="0"/>
          <w:numId w:val="38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lang w:val="fr-FR"/>
        </w:rPr>
        <w:t>ajout de champs supplémentaires pour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 xml:space="preserve">échange de données </w:t>
      </w:r>
      <w:r w:rsidR="00B94CE9" w:rsidRPr="000729D4">
        <w:rPr>
          <w:lang w:val="fr-FR"/>
        </w:rPr>
        <w:t>(</w:t>
      </w:r>
      <w:r w:rsidRPr="000729D4">
        <w:rPr>
          <w:lang w:val="fr-FR"/>
        </w:rPr>
        <w:t>normes</w:t>
      </w:r>
      <w:r w:rsidR="00A92EE9" w:rsidRPr="000729D4">
        <w:rPr>
          <w:lang w:val="fr-FR"/>
        </w:rPr>
        <w:t> </w:t>
      </w:r>
      <w:r w:rsidRPr="000729D4">
        <w:rPr>
          <w:lang w:val="fr-FR"/>
        </w:rPr>
        <w:t xml:space="preserve">XML, codes </w:t>
      </w:r>
      <w:r w:rsidR="00826B9A" w:rsidRPr="000729D4">
        <w:rPr>
          <w:lang w:val="fr-FR"/>
        </w:rPr>
        <w:t>INID, etc.)</w:t>
      </w:r>
      <w:r w:rsidRPr="000729D4">
        <w:rPr>
          <w:lang w:val="fr-FR"/>
        </w:rPr>
        <w:t>;</w:t>
      </w:r>
    </w:p>
    <w:p w:rsidR="00CE75DD" w:rsidRPr="00CE75DD" w:rsidRDefault="00DC02FF" w:rsidP="00CE75DD">
      <w:pPr>
        <w:pStyle w:val="ONUMFS"/>
        <w:numPr>
          <w:ilvl w:val="0"/>
          <w:numId w:val="38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CE75DD">
        <w:rPr>
          <w:lang w:val="fr-FR"/>
        </w:rPr>
        <w:t>ainsi que d</w:t>
      </w:r>
      <w:r w:rsidR="006401A6" w:rsidRPr="00CE75DD">
        <w:rPr>
          <w:lang w:val="fr-FR"/>
        </w:rPr>
        <w:t>’</w:t>
      </w:r>
      <w:r w:rsidRPr="00CE75DD">
        <w:rPr>
          <w:lang w:val="fr-FR"/>
        </w:rPr>
        <w:t>autres</w:t>
      </w:r>
      <w:r w:rsidR="0012304D" w:rsidRPr="00CE75DD">
        <w:rPr>
          <w:lang w:val="fr-FR"/>
        </w:rPr>
        <w:t>.</w:t>
      </w:r>
      <w:r w:rsidR="00CE75DD" w:rsidRPr="00CE75DD">
        <w:rPr>
          <w:lang w:val="fr-FR"/>
        </w:rPr>
        <w:br w:type="page"/>
      </w:r>
    </w:p>
    <w:p w:rsidR="00B94CE9" w:rsidRDefault="00A60DBB" w:rsidP="0012708A">
      <w:pPr>
        <w:pStyle w:val="Heading3"/>
        <w:spacing w:before="0"/>
        <w:rPr>
          <w:lang w:val="fr-FR"/>
        </w:rPr>
      </w:pPr>
      <w:r w:rsidRPr="000729D4">
        <w:rPr>
          <w:lang w:val="fr-FR"/>
        </w:rPr>
        <w:t>Échanges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expériences entre offices de propriété industrielle</w:t>
      </w:r>
    </w:p>
    <w:p w:rsidR="00F14494" w:rsidRPr="000729D4" w:rsidRDefault="00A60DBB" w:rsidP="00AE69CC">
      <w:pPr>
        <w:pStyle w:val="ONUMFS"/>
        <w:rPr>
          <w:lang w:val="fr-FR"/>
        </w:rPr>
      </w:pPr>
      <w:r w:rsidRPr="000729D4">
        <w:rPr>
          <w:lang w:val="fr-FR"/>
        </w:rPr>
        <w:t>Un grand nombre des problèmes responsables du manque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harmonisation des noms des déposants dans les demandes de brevet n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 xml:space="preserve">entrent pas </w:t>
      </w:r>
      <w:r w:rsidR="00E51612" w:rsidRPr="000729D4">
        <w:rPr>
          <w:lang w:val="fr-FR"/>
        </w:rPr>
        <w:t>dans le cadre principal</w:t>
      </w:r>
      <w:r w:rsidR="0007689C" w:rsidRPr="000729D4">
        <w:rPr>
          <w:lang w:val="fr-FR"/>
        </w:rPr>
        <w:t xml:space="preserve"> d</w:t>
      </w:r>
      <w:r w:rsidR="00E51612" w:rsidRPr="000729D4">
        <w:rPr>
          <w:lang w:val="fr-FR"/>
        </w:rPr>
        <w:t>es activités de normalisation de l</w:t>
      </w:r>
      <w:r w:rsidR="006401A6" w:rsidRPr="000729D4">
        <w:rPr>
          <w:lang w:val="fr-FR"/>
        </w:rPr>
        <w:t>’</w:t>
      </w:r>
      <w:r w:rsidR="00E51612" w:rsidRPr="000729D4">
        <w:rPr>
          <w:lang w:val="fr-FR"/>
        </w:rPr>
        <w:t>OMPI, parce qu</w:t>
      </w:r>
      <w:r w:rsidR="006401A6" w:rsidRPr="000729D4">
        <w:rPr>
          <w:lang w:val="fr-FR"/>
        </w:rPr>
        <w:t>’</w:t>
      </w:r>
      <w:r w:rsidR="00E51612" w:rsidRPr="000729D4">
        <w:rPr>
          <w:lang w:val="fr-FR"/>
        </w:rPr>
        <w:t xml:space="preserve">ils ont pour origine des procédures internes des offices de propriété industrielle, par exemple des pratiques nationales </w:t>
      </w:r>
      <w:r w:rsidR="00151F26" w:rsidRPr="000729D4">
        <w:rPr>
          <w:lang w:val="fr-FR"/>
        </w:rPr>
        <w:t>en matière d</w:t>
      </w:r>
      <w:r w:rsidR="006401A6" w:rsidRPr="000729D4">
        <w:rPr>
          <w:lang w:val="fr-FR"/>
        </w:rPr>
        <w:t>’</w:t>
      </w:r>
      <w:r w:rsidR="00E51612" w:rsidRPr="000729D4">
        <w:rPr>
          <w:lang w:val="fr-FR"/>
        </w:rPr>
        <w:t>enregistrement des personnes morales, une manière différente de structurer</w:t>
      </w:r>
      <w:r w:rsidR="00FF5BCC" w:rsidRPr="000729D4">
        <w:rPr>
          <w:lang w:val="fr-FR"/>
        </w:rPr>
        <w:t xml:space="preserve"> </w:t>
      </w:r>
      <w:r w:rsidR="00E51612" w:rsidRPr="000729D4">
        <w:rPr>
          <w:lang w:val="fr-FR"/>
        </w:rPr>
        <w:t>les noms</w:t>
      </w:r>
      <w:r w:rsidR="00FF5BCC" w:rsidRPr="000729D4">
        <w:rPr>
          <w:lang w:val="fr-FR"/>
        </w:rPr>
        <w:t xml:space="preserve"> selon les traditions des régions,</w:t>
      </w:r>
      <w:r w:rsidRPr="000729D4">
        <w:rPr>
          <w:lang w:val="fr-FR"/>
        </w:rPr>
        <w:t xml:space="preserve"> </w:t>
      </w:r>
      <w:r w:rsidR="00FF5BCC" w:rsidRPr="000729D4">
        <w:rPr>
          <w:lang w:val="fr-FR"/>
        </w:rPr>
        <w:t>e</w:t>
      </w:r>
      <w:r w:rsidR="000729D4" w:rsidRPr="000729D4">
        <w:rPr>
          <w:lang w:val="fr-FR"/>
        </w:rPr>
        <w:t>tc.  Le</w:t>
      </w:r>
      <w:r w:rsidR="005B0EF2" w:rsidRPr="000729D4">
        <w:rPr>
          <w:lang w:val="fr-FR"/>
        </w:rPr>
        <w:t>s échanges de vues et d</w:t>
      </w:r>
      <w:r w:rsidR="006401A6" w:rsidRPr="000729D4">
        <w:rPr>
          <w:lang w:val="fr-FR"/>
        </w:rPr>
        <w:t>’</w:t>
      </w:r>
      <w:r w:rsidR="005B0EF2" w:rsidRPr="000729D4">
        <w:rPr>
          <w:lang w:val="fr-FR"/>
        </w:rPr>
        <w:t>expériences</w:t>
      </w:r>
      <w:r w:rsidR="0059293E" w:rsidRPr="000729D4">
        <w:rPr>
          <w:lang w:val="fr-FR"/>
        </w:rPr>
        <w:t xml:space="preserve"> entre les offices de propriété industrielle et les autres parties intéressées</w:t>
      </w:r>
      <w:r w:rsidR="005B0EF2" w:rsidRPr="000729D4">
        <w:rPr>
          <w:lang w:val="fr-FR"/>
        </w:rPr>
        <w:t xml:space="preserve"> ainsi que le partage de pratiques et de connaissances en matière d</w:t>
      </w:r>
      <w:r w:rsidR="006401A6" w:rsidRPr="000729D4">
        <w:rPr>
          <w:lang w:val="fr-FR"/>
        </w:rPr>
        <w:t>’</w:t>
      </w:r>
      <w:r w:rsidR="005B0EF2" w:rsidRPr="000729D4">
        <w:rPr>
          <w:lang w:val="fr-FR"/>
        </w:rPr>
        <w:t>harmonisation des noms de déposants</w:t>
      </w:r>
      <w:r w:rsidR="0059293E" w:rsidRPr="000729D4">
        <w:rPr>
          <w:lang w:val="fr-FR"/>
        </w:rPr>
        <w:t xml:space="preserve"> peuvent néanmoins être utiles pour mieux sensibiliser les offices aux problèmes</w:t>
      </w:r>
      <w:r w:rsidR="00155943" w:rsidRPr="000729D4">
        <w:rPr>
          <w:lang w:val="fr-FR"/>
        </w:rPr>
        <w:t xml:space="preserve"> </w:t>
      </w:r>
      <w:r w:rsidR="008354EC" w:rsidRPr="000729D4">
        <w:rPr>
          <w:lang w:val="fr-FR"/>
        </w:rPr>
        <w:t>qu</w:t>
      </w:r>
      <w:r w:rsidR="006401A6" w:rsidRPr="000729D4">
        <w:rPr>
          <w:lang w:val="fr-FR"/>
        </w:rPr>
        <w:t>’</w:t>
      </w:r>
      <w:r w:rsidR="008354EC" w:rsidRPr="000729D4">
        <w:rPr>
          <w:lang w:val="fr-FR"/>
        </w:rPr>
        <w:t xml:space="preserve">ils sont susceptibles de rencontrer, </w:t>
      </w:r>
      <w:r w:rsidR="00060270" w:rsidRPr="000729D4">
        <w:rPr>
          <w:lang w:val="fr-FR"/>
        </w:rPr>
        <w:t>rationalis</w:t>
      </w:r>
      <w:r w:rsidR="008354EC" w:rsidRPr="000729D4">
        <w:rPr>
          <w:lang w:val="fr-FR"/>
        </w:rPr>
        <w:t>er les pratiques existantes et aider les offices désireux de tirer des enseignements de l</w:t>
      </w:r>
      <w:r w:rsidR="006401A6" w:rsidRPr="000729D4">
        <w:rPr>
          <w:lang w:val="fr-FR"/>
        </w:rPr>
        <w:t>’</w:t>
      </w:r>
      <w:r w:rsidR="008354EC" w:rsidRPr="000729D4">
        <w:rPr>
          <w:lang w:val="fr-FR"/>
        </w:rPr>
        <w:t>expérience</w:t>
      </w:r>
      <w:r w:rsidR="00FE5B14" w:rsidRPr="000729D4">
        <w:rPr>
          <w:lang w:val="fr-FR"/>
        </w:rPr>
        <w:t xml:space="preserve"> d</w:t>
      </w:r>
      <w:r w:rsidR="006401A6" w:rsidRPr="000729D4">
        <w:rPr>
          <w:lang w:val="fr-FR"/>
        </w:rPr>
        <w:t>’</w:t>
      </w:r>
      <w:r w:rsidR="00FE5B14" w:rsidRPr="000729D4">
        <w:rPr>
          <w:lang w:val="fr-FR"/>
        </w:rPr>
        <w:t xml:space="preserve">autres </w:t>
      </w:r>
      <w:r w:rsidR="000005B1" w:rsidRPr="000729D4">
        <w:rPr>
          <w:lang w:val="fr-FR"/>
        </w:rPr>
        <w:t>administrations</w:t>
      </w:r>
      <w:r w:rsidR="00FE5B14" w:rsidRPr="000729D4">
        <w:rPr>
          <w:lang w:val="fr-FR"/>
        </w:rPr>
        <w:t xml:space="preserve"> </w:t>
      </w:r>
      <w:r w:rsidR="00060270" w:rsidRPr="000729D4">
        <w:rPr>
          <w:lang w:val="fr-FR"/>
        </w:rPr>
        <w:t>de leur domaine.</w:t>
      </w:r>
    </w:p>
    <w:p w:rsidR="00B94CE9" w:rsidRPr="000729D4" w:rsidRDefault="00961407" w:rsidP="0012708A">
      <w:pPr>
        <w:pStyle w:val="ONUMFS"/>
        <w:spacing w:after="120"/>
        <w:rPr>
          <w:lang w:val="fr-FR"/>
        </w:rPr>
      </w:pPr>
      <w:r w:rsidRPr="000729D4">
        <w:rPr>
          <w:lang w:val="fr-FR"/>
        </w:rPr>
        <w:t>Le Bureau international considère que les manifestations et activités suivantes peuvent faciliter les échanges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 xml:space="preserve">expériences entre offices de propriété industrielle, et se déclare prêt </w:t>
      </w:r>
      <w:r w:rsidR="0025666C" w:rsidRPr="000729D4">
        <w:rPr>
          <w:lang w:val="fr-FR"/>
        </w:rPr>
        <w:t>à répondre à toute demande de soutien</w:t>
      </w:r>
      <w:r w:rsidRPr="000729D4">
        <w:rPr>
          <w:lang w:val="fr-FR"/>
        </w:rPr>
        <w:t xml:space="preserve"> à leur organisation</w:t>
      </w:r>
      <w:r w:rsidR="006401A6" w:rsidRPr="000729D4">
        <w:rPr>
          <w:lang w:val="fr-FR"/>
        </w:rPr>
        <w:t> :</w:t>
      </w:r>
    </w:p>
    <w:p w:rsidR="00F94A54" w:rsidRPr="000729D4" w:rsidRDefault="0025666C" w:rsidP="0012708A">
      <w:pPr>
        <w:pStyle w:val="ONUMFS"/>
        <w:numPr>
          <w:ilvl w:val="0"/>
          <w:numId w:val="39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b/>
          <w:lang w:val="fr-FR"/>
        </w:rPr>
        <w:t>les ateliers portant sur des aspects précis</w:t>
      </w:r>
      <w:r w:rsidRPr="000729D4">
        <w:rPr>
          <w:lang w:val="fr-FR"/>
        </w:rPr>
        <w:t xml:space="preserve"> de la normalisation des noms, qui peuvent aider les offices de propriété industrielle à inventorier les modifications qu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il serait nécessaire d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apporter à leur législation nationale pour permettre le “nettoyage” des données brutes</w:t>
      </w:r>
      <w:r w:rsidR="00905E15" w:rsidRPr="000729D4">
        <w:rPr>
          <w:lang w:val="fr-FR"/>
        </w:rPr>
        <w:t xml:space="preserve"> ou faciliter la mise en œuvre d</w:t>
      </w:r>
      <w:r w:rsidR="006401A6" w:rsidRPr="000729D4">
        <w:rPr>
          <w:lang w:val="fr-FR"/>
        </w:rPr>
        <w:t>’</w:t>
      </w:r>
      <w:r w:rsidR="00905E15" w:rsidRPr="000729D4">
        <w:rPr>
          <w:lang w:val="fr-FR"/>
        </w:rPr>
        <w:t>une obligation de déclaration des changements de titularité;</w:t>
      </w:r>
    </w:p>
    <w:p w:rsidR="00F94A54" w:rsidRPr="000729D4" w:rsidRDefault="00905E15" w:rsidP="0012708A">
      <w:pPr>
        <w:pStyle w:val="ONUMFS"/>
        <w:numPr>
          <w:ilvl w:val="0"/>
          <w:numId w:val="39"/>
        </w:numPr>
        <w:tabs>
          <w:tab w:val="clear" w:pos="567"/>
          <w:tab w:val="num" w:pos="1134"/>
        </w:tabs>
        <w:spacing w:after="120"/>
        <w:ind w:left="1134" w:hanging="567"/>
        <w:rPr>
          <w:lang w:val="fr-FR"/>
        </w:rPr>
      </w:pPr>
      <w:r w:rsidRPr="000729D4">
        <w:rPr>
          <w:b/>
          <w:lang w:val="fr-FR"/>
        </w:rPr>
        <w:t>les formations</w:t>
      </w:r>
      <w:r w:rsidR="00F94A54" w:rsidRPr="000729D4">
        <w:rPr>
          <w:lang w:val="fr-FR"/>
        </w:rPr>
        <w:t xml:space="preserve"> </w:t>
      </w:r>
      <w:r w:rsidR="004562A7" w:rsidRPr="000729D4">
        <w:rPr>
          <w:lang w:val="fr-FR"/>
        </w:rPr>
        <w:t>relatives aux algorithmes d</w:t>
      </w:r>
      <w:r w:rsidR="006401A6" w:rsidRPr="000729D4">
        <w:rPr>
          <w:lang w:val="fr-FR"/>
        </w:rPr>
        <w:t>’</w:t>
      </w:r>
      <w:r w:rsidR="004562A7" w:rsidRPr="000729D4">
        <w:rPr>
          <w:lang w:val="fr-FR"/>
        </w:rPr>
        <w:t>uniformisation des noms ou à toute autre solution informatique ayant rapport aux noms des déposants, qui aideront les offices de propriété industrielle à</w:t>
      </w:r>
      <w:r w:rsidR="00801F87" w:rsidRPr="000729D4">
        <w:rPr>
          <w:lang w:val="fr-FR"/>
        </w:rPr>
        <w:t xml:space="preserve"> élaborer l</w:t>
      </w:r>
      <w:r w:rsidR="006401A6" w:rsidRPr="000729D4">
        <w:rPr>
          <w:lang w:val="fr-FR"/>
        </w:rPr>
        <w:t>’</w:t>
      </w:r>
      <w:r w:rsidR="00801F87" w:rsidRPr="000729D4">
        <w:rPr>
          <w:lang w:val="fr-FR"/>
        </w:rPr>
        <w:t>infrastructure nécessaire pour améliorer leurs produits d</w:t>
      </w:r>
      <w:r w:rsidR="006401A6" w:rsidRPr="000729D4">
        <w:rPr>
          <w:lang w:val="fr-FR"/>
        </w:rPr>
        <w:t>’</w:t>
      </w:r>
      <w:r w:rsidR="00801F87" w:rsidRPr="000729D4">
        <w:rPr>
          <w:lang w:val="fr-FR"/>
        </w:rPr>
        <w:t>information en matière de brevets;</w:t>
      </w:r>
    </w:p>
    <w:p w:rsidR="005D1F0A" w:rsidRPr="000729D4" w:rsidRDefault="00986026" w:rsidP="00AE69CC">
      <w:pPr>
        <w:pStyle w:val="ONUMFS"/>
        <w:numPr>
          <w:ilvl w:val="0"/>
          <w:numId w:val="39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0729D4">
        <w:rPr>
          <w:b/>
          <w:lang w:val="fr-FR"/>
        </w:rPr>
        <w:t>les tables rondes d</w:t>
      </w:r>
      <w:r w:rsidR="006401A6" w:rsidRPr="000729D4">
        <w:rPr>
          <w:b/>
          <w:lang w:val="fr-FR"/>
        </w:rPr>
        <w:t>’</w:t>
      </w:r>
      <w:r w:rsidRPr="000729D4">
        <w:rPr>
          <w:b/>
          <w:lang w:val="fr-FR"/>
        </w:rPr>
        <w:t>échange de pratiques</w:t>
      </w:r>
      <w:r w:rsidR="002C6AF0" w:rsidRPr="000729D4">
        <w:rPr>
          <w:lang w:val="fr-FR"/>
        </w:rPr>
        <w:t xml:space="preserve"> </w:t>
      </w:r>
      <w:r w:rsidR="009F5BDF" w:rsidRPr="000729D4">
        <w:rPr>
          <w:lang w:val="fr-FR"/>
        </w:rPr>
        <w:t xml:space="preserve">se rapportant au processus opérationnel, qui seront utiles pour assurer la </w:t>
      </w:r>
      <w:r w:rsidR="00F94A54" w:rsidRPr="000729D4">
        <w:rPr>
          <w:lang w:val="fr-FR"/>
        </w:rPr>
        <w:t>“</w:t>
      </w:r>
      <w:r w:rsidR="009F5BDF" w:rsidRPr="000729D4">
        <w:rPr>
          <w:lang w:val="fr-FR"/>
        </w:rPr>
        <w:t>qualité à la source</w:t>
      </w:r>
      <w:r w:rsidR="00F94A54" w:rsidRPr="000729D4">
        <w:rPr>
          <w:lang w:val="fr-FR"/>
        </w:rPr>
        <w:t>”</w:t>
      </w:r>
      <w:r w:rsidR="00D14C72" w:rsidRPr="000729D4">
        <w:rPr>
          <w:lang w:val="fr-FR"/>
        </w:rPr>
        <w:t xml:space="preserve">.  </w:t>
      </w:r>
      <w:r w:rsidR="00757AE8" w:rsidRPr="000729D4">
        <w:rPr>
          <w:lang w:val="fr-FR"/>
        </w:rPr>
        <w:t>Elles peuvent porter sur un large éventail de sujets, par exemple la validation de la page de couverture par le déposant préalablement à la publication (</w:t>
      </w:r>
      <w:r w:rsidR="009B2902" w:rsidRPr="000729D4">
        <w:rPr>
          <w:lang w:val="fr-FR"/>
        </w:rPr>
        <w:t xml:space="preserve">après que les corrections ont été </w:t>
      </w:r>
      <w:r w:rsidR="0007689C" w:rsidRPr="000729D4">
        <w:rPr>
          <w:lang w:val="fr-FR"/>
        </w:rPr>
        <w:t>effectu</w:t>
      </w:r>
      <w:r w:rsidR="009B2902" w:rsidRPr="000729D4">
        <w:rPr>
          <w:lang w:val="fr-FR"/>
        </w:rPr>
        <w:t>ées), les modifications apportées aux formulaires de demande et l</w:t>
      </w:r>
      <w:r w:rsidR="006401A6" w:rsidRPr="000729D4">
        <w:rPr>
          <w:lang w:val="fr-FR"/>
        </w:rPr>
        <w:t>’</w:t>
      </w:r>
      <w:r w:rsidR="009B2902" w:rsidRPr="000729D4">
        <w:rPr>
          <w:lang w:val="fr-FR"/>
        </w:rPr>
        <w:t>obligation de confirmer</w:t>
      </w:r>
      <w:r w:rsidR="007F5C6D" w:rsidRPr="000729D4">
        <w:rPr>
          <w:lang w:val="fr-FR"/>
        </w:rPr>
        <w:t xml:space="preserve"> l</w:t>
      </w:r>
      <w:r w:rsidR="006401A6" w:rsidRPr="000729D4">
        <w:rPr>
          <w:lang w:val="fr-FR"/>
        </w:rPr>
        <w:t>’</w:t>
      </w:r>
      <w:r w:rsidR="007F5C6D" w:rsidRPr="000729D4">
        <w:rPr>
          <w:lang w:val="fr-FR"/>
        </w:rPr>
        <w:t>identité du titulaire lors du paiement des taxes.</w:t>
      </w:r>
    </w:p>
    <w:p w:rsidR="002B57F0" w:rsidRDefault="002B57F0" w:rsidP="0012708A">
      <w:pPr>
        <w:pStyle w:val="Heading2"/>
        <w:spacing w:before="0"/>
        <w:rPr>
          <w:lang w:val="fr-FR"/>
        </w:rPr>
      </w:pPr>
      <w:r w:rsidRPr="000729D4">
        <w:rPr>
          <w:lang w:val="fr-FR"/>
        </w:rPr>
        <w:t>Conclusion</w:t>
      </w:r>
      <w:r w:rsidR="00E6483B" w:rsidRPr="000729D4">
        <w:rPr>
          <w:lang w:val="fr-FR"/>
        </w:rPr>
        <w:t>s</w:t>
      </w:r>
    </w:p>
    <w:p w:rsidR="00D14C72" w:rsidRPr="000729D4" w:rsidRDefault="007F5C6D" w:rsidP="00AE69CC">
      <w:pPr>
        <w:pStyle w:val="ONUMFS"/>
        <w:rPr>
          <w:lang w:val="fr-FR"/>
        </w:rPr>
      </w:pPr>
      <w:r w:rsidRPr="000729D4">
        <w:rPr>
          <w:lang w:val="fr-FR"/>
        </w:rPr>
        <w:t>La normalisation des noms des déposants est une entreprise importante et complexe qui concerne toutes les parties prenantes</w:t>
      </w:r>
      <w:r w:rsidR="006401A6" w:rsidRPr="000729D4">
        <w:rPr>
          <w:lang w:val="fr-FR"/>
        </w:rPr>
        <w:t> :</w:t>
      </w:r>
      <w:r w:rsidRPr="000729D4">
        <w:rPr>
          <w:lang w:val="fr-FR"/>
        </w:rPr>
        <w:t xml:space="preserve"> offices de propriété industrielle (tant des pays en développement que des pays développés), utilisateurs de l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information en matière de brevets et déposants.</w:t>
      </w:r>
      <w:bookmarkStart w:id="0" w:name="_GoBack"/>
      <w:bookmarkEnd w:id="0"/>
    </w:p>
    <w:p w:rsidR="006401A6" w:rsidRPr="000729D4" w:rsidRDefault="00BB06A7" w:rsidP="0012708A">
      <w:pPr>
        <w:pStyle w:val="ONUMFS"/>
        <w:spacing w:after="0"/>
        <w:rPr>
          <w:lang w:val="fr-FR"/>
        </w:rPr>
      </w:pPr>
      <w:r w:rsidRPr="000729D4">
        <w:rPr>
          <w:lang w:val="fr-FR"/>
        </w:rPr>
        <w:t>Les solutions à la question de la normalisation des noms des déposants doivent être recherchées au niveau international, ainsi qu</w:t>
      </w:r>
      <w:r w:rsidR="006401A6" w:rsidRPr="000729D4">
        <w:rPr>
          <w:lang w:val="fr-FR"/>
        </w:rPr>
        <w:t>’</w:t>
      </w:r>
      <w:r w:rsidRPr="000729D4">
        <w:rPr>
          <w:lang w:val="fr-FR"/>
        </w:rPr>
        <w:t>aux niveaux régional et nation</w:t>
      </w:r>
      <w:r w:rsidR="000729D4" w:rsidRPr="000729D4">
        <w:rPr>
          <w:lang w:val="fr-FR"/>
        </w:rPr>
        <w:t>al.  L’é</w:t>
      </w:r>
      <w:r w:rsidR="001728BD" w:rsidRPr="000729D4">
        <w:rPr>
          <w:lang w:val="fr-FR"/>
        </w:rPr>
        <w:t>laboration d</w:t>
      </w:r>
      <w:r w:rsidR="006401A6" w:rsidRPr="000729D4">
        <w:rPr>
          <w:lang w:val="fr-FR"/>
        </w:rPr>
        <w:t>’</w:t>
      </w:r>
      <w:r w:rsidR="001728BD" w:rsidRPr="000729D4">
        <w:rPr>
          <w:lang w:val="fr-FR"/>
        </w:rPr>
        <w:t xml:space="preserve">une </w:t>
      </w:r>
      <w:r w:rsidR="001728BD" w:rsidRPr="000729D4">
        <w:rPr>
          <w:b/>
          <w:lang w:val="fr-FR"/>
        </w:rPr>
        <w:t>norme de l</w:t>
      </w:r>
      <w:r w:rsidR="006401A6" w:rsidRPr="000729D4">
        <w:rPr>
          <w:b/>
          <w:lang w:val="fr-FR"/>
        </w:rPr>
        <w:t>’</w:t>
      </w:r>
      <w:r w:rsidR="001728BD" w:rsidRPr="000729D4">
        <w:rPr>
          <w:b/>
          <w:lang w:val="fr-FR"/>
        </w:rPr>
        <w:t>OMPI</w:t>
      </w:r>
      <w:r w:rsidR="001728BD" w:rsidRPr="000729D4">
        <w:rPr>
          <w:lang w:val="fr-FR"/>
        </w:rPr>
        <w:t xml:space="preserve"> est possible en ce qui concerne certains aspects de la normalisation des noms des déposants, mais semble prématurée ou inappropriée pour un grand nombre</w:t>
      </w:r>
      <w:r w:rsidR="00D14C72" w:rsidRPr="000729D4">
        <w:rPr>
          <w:lang w:val="fr-FR"/>
        </w:rPr>
        <w:t xml:space="preserve"> </w:t>
      </w:r>
      <w:r w:rsidR="0076298F" w:rsidRPr="000729D4">
        <w:rPr>
          <w:lang w:val="fr-FR"/>
        </w:rPr>
        <w:t>de questions parmi celles qui ont été recensé</w:t>
      </w:r>
      <w:r w:rsidR="000729D4" w:rsidRPr="000729D4">
        <w:rPr>
          <w:lang w:val="fr-FR"/>
        </w:rPr>
        <w:t>es.  Le</w:t>
      </w:r>
      <w:r w:rsidR="006401A6" w:rsidRPr="000729D4">
        <w:rPr>
          <w:lang w:val="fr-FR"/>
        </w:rPr>
        <w:t> CWS</w:t>
      </w:r>
      <w:r w:rsidR="0076298F" w:rsidRPr="000729D4">
        <w:rPr>
          <w:lang w:val="fr-FR"/>
        </w:rPr>
        <w:t xml:space="preserve"> peut aider ses membres en organisant une </w:t>
      </w:r>
      <w:r w:rsidR="0076298F" w:rsidRPr="000729D4">
        <w:rPr>
          <w:b/>
          <w:lang w:val="fr-FR"/>
        </w:rPr>
        <w:t>enquête relative à l</w:t>
      </w:r>
      <w:r w:rsidR="006401A6" w:rsidRPr="000729D4">
        <w:rPr>
          <w:b/>
          <w:lang w:val="fr-FR"/>
        </w:rPr>
        <w:t>’</w:t>
      </w:r>
      <w:r w:rsidR="0076298F" w:rsidRPr="000729D4">
        <w:rPr>
          <w:b/>
          <w:lang w:val="fr-FR"/>
        </w:rPr>
        <w:t>utilisation d</w:t>
      </w:r>
      <w:r w:rsidR="006401A6" w:rsidRPr="000729D4">
        <w:rPr>
          <w:b/>
          <w:lang w:val="fr-FR"/>
        </w:rPr>
        <w:t>’</w:t>
      </w:r>
      <w:r w:rsidR="0076298F" w:rsidRPr="000729D4">
        <w:rPr>
          <w:b/>
          <w:lang w:val="fr-FR"/>
        </w:rPr>
        <w:t>identifiants et de “dictionnaires” de noms</w:t>
      </w:r>
      <w:r w:rsidR="0076298F" w:rsidRPr="000729D4">
        <w:rPr>
          <w:lang w:val="fr-FR"/>
        </w:rPr>
        <w:t xml:space="preserve"> par les offices de propriété industrielle, et en publiant les résultats de cette dernière dans le Manuel de l</w:t>
      </w:r>
      <w:r w:rsidR="006401A6" w:rsidRPr="000729D4">
        <w:rPr>
          <w:lang w:val="fr-FR"/>
        </w:rPr>
        <w:t>’</w:t>
      </w:r>
      <w:r w:rsidR="0076298F" w:rsidRPr="000729D4">
        <w:rPr>
          <w:lang w:val="fr-FR"/>
        </w:rPr>
        <w:t xml:space="preserve">OMPI. </w:t>
      </w:r>
      <w:r w:rsidR="00621A6C" w:rsidRPr="000729D4">
        <w:rPr>
          <w:lang w:val="fr-FR"/>
        </w:rPr>
        <w:t xml:space="preserve"> L</w:t>
      </w:r>
      <w:r w:rsidR="006401A6" w:rsidRPr="000729D4">
        <w:rPr>
          <w:lang w:val="fr-FR"/>
        </w:rPr>
        <w:t>’</w:t>
      </w:r>
      <w:r w:rsidR="00621A6C" w:rsidRPr="000729D4">
        <w:rPr>
          <w:lang w:val="fr-FR"/>
        </w:rPr>
        <w:t>organisation d</w:t>
      </w:r>
      <w:r w:rsidR="006401A6" w:rsidRPr="000729D4">
        <w:rPr>
          <w:lang w:val="fr-FR"/>
        </w:rPr>
        <w:t>’</w:t>
      </w:r>
      <w:r w:rsidR="00621A6C" w:rsidRPr="000729D4">
        <w:rPr>
          <w:b/>
          <w:lang w:val="fr-FR"/>
        </w:rPr>
        <w:t>ateliers, formations et tables rondes</w:t>
      </w:r>
      <w:r w:rsidR="00621A6C" w:rsidRPr="000729D4">
        <w:rPr>
          <w:lang w:val="fr-FR"/>
        </w:rPr>
        <w:t xml:space="preserve"> sur</w:t>
      </w:r>
      <w:r w:rsidR="0076298F" w:rsidRPr="000729D4">
        <w:rPr>
          <w:lang w:val="fr-FR"/>
        </w:rPr>
        <w:t xml:space="preserve"> </w:t>
      </w:r>
      <w:r w:rsidR="00621A6C" w:rsidRPr="000729D4">
        <w:rPr>
          <w:lang w:val="fr-FR"/>
        </w:rPr>
        <w:t>des problèmes précis se rapportant à la normalisation des noms des déposants est également une façon pour l</w:t>
      </w:r>
      <w:r w:rsidR="006401A6" w:rsidRPr="000729D4">
        <w:rPr>
          <w:lang w:val="fr-FR"/>
        </w:rPr>
        <w:t>’</w:t>
      </w:r>
      <w:r w:rsidR="00621A6C" w:rsidRPr="000729D4">
        <w:rPr>
          <w:lang w:val="fr-FR"/>
        </w:rPr>
        <w:t>OMPI d</w:t>
      </w:r>
      <w:r w:rsidR="006401A6" w:rsidRPr="000729D4">
        <w:rPr>
          <w:lang w:val="fr-FR"/>
        </w:rPr>
        <w:t>’</w:t>
      </w:r>
      <w:r w:rsidR="00621A6C" w:rsidRPr="000729D4">
        <w:rPr>
          <w:lang w:val="fr-FR"/>
        </w:rPr>
        <w:t>aider ses États membres.</w:t>
      </w:r>
    </w:p>
    <w:p w:rsidR="000729D4" w:rsidRDefault="000729D4" w:rsidP="0012708A">
      <w:pPr>
        <w:pStyle w:val="Endofdocument-Annex"/>
        <w:rPr>
          <w:lang w:val="fr-FR"/>
        </w:rPr>
      </w:pPr>
    </w:p>
    <w:p w:rsidR="000729D4" w:rsidRDefault="000729D4" w:rsidP="0012708A">
      <w:pPr>
        <w:pStyle w:val="Endofdocument-Annex"/>
        <w:rPr>
          <w:lang w:val="fr-FR"/>
        </w:rPr>
      </w:pPr>
    </w:p>
    <w:p w:rsidR="00E46572" w:rsidRPr="000729D4" w:rsidRDefault="00E46572" w:rsidP="0012708A">
      <w:pPr>
        <w:pStyle w:val="Endofdocument-Annex"/>
        <w:rPr>
          <w:lang w:val="fr-FR"/>
        </w:rPr>
      </w:pPr>
      <w:r w:rsidRPr="000729D4">
        <w:rPr>
          <w:lang w:val="fr-FR"/>
        </w:rPr>
        <w:t>[</w:t>
      </w:r>
      <w:r w:rsidR="00621A6C" w:rsidRPr="000729D4">
        <w:rPr>
          <w:lang w:val="fr-FR"/>
        </w:rPr>
        <w:t>Fin de l</w:t>
      </w:r>
      <w:r w:rsidR="006401A6" w:rsidRPr="000729D4">
        <w:rPr>
          <w:lang w:val="fr-FR"/>
        </w:rPr>
        <w:t>’</w:t>
      </w:r>
      <w:r w:rsidR="00621A6C" w:rsidRPr="000729D4">
        <w:rPr>
          <w:lang w:val="fr-FR"/>
        </w:rPr>
        <w:t>annexe et du document</w:t>
      </w:r>
      <w:r w:rsidRPr="000729D4">
        <w:rPr>
          <w:lang w:val="fr-FR"/>
        </w:rPr>
        <w:t>]</w:t>
      </w:r>
    </w:p>
    <w:sectPr w:rsidR="00E46572" w:rsidRPr="000729D4" w:rsidSect="006401A6">
      <w:headerReference w:type="default" r:id="rId9"/>
      <w:headerReference w:type="firs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E02" w:rsidRDefault="001A7E02" w:rsidP="00E80A9E">
      <w:r>
        <w:separator/>
      </w:r>
    </w:p>
  </w:endnote>
  <w:endnote w:type="continuationSeparator" w:id="0">
    <w:p w:rsidR="001A7E02" w:rsidRDefault="001A7E02" w:rsidP="00E80A9E">
      <w:r>
        <w:continuationSeparator/>
      </w:r>
    </w:p>
  </w:endnote>
  <w:endnote w:type="continuationNotice" w:id="1">
    <w:p w:rsidR="000729D4" w:rsidRDefault="000729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E02" w:rsidRDefault="001A7E02" w:rsidP="00E80A9E">
      <w:r>
        <w:separator/>
      </w:r>
    </w:p>
  </w:footnote>
  <w:footnote w:type="continuationSeparator" w:id="0">
    <w:p w:rsidR="001A7E02" w:rsidRDefault="001A7E02" w:rsidP="00E80A9E">
      <w:r>
        <w:continuationSeparator/>
      </w:r>
    </w:p>
  </w:footnote>
  <w:footnote w:type="continuationNotice" w:id="1">
    <w:p w:rsidR="000729D4" w:rsidRDefault="000729D4"/>
  </w:footnote>
  <w:footnote w:id="2">
    <w:p w:rsidR="00235314" w:rsidRPr="000729D4" w:rsidRDefault="00235314">
      <w:pPr>
        <w:pStyle w:val="FootnoteText"/>
        <w:rPr>
          <w:lang w:val="fr-FR"/>
        </w:rPr>
      </w:pPr>
      <w:r w:rsidRPr="000729D4">
        <w:rPr>
          <w:rStyle w:val="FootnoteReference"/>
          <w:lang w:val="fr-FR"/>
        </w:rPr>
        <w:footnoteRef/>
      </w:r>
      <w:r w:rsidRPr="000729D4">
        <w:rPr>
          <w:lang w:val="fr-FR"/>
        </w:rPr>
        <w:t xml:space="preserve"> </w:t>
      </w:r>
      <w:r w:rsidR="000729D4">
        <w:rPr>
          <w:lang w:val="fr-FR"/>
        </w:rPr>
        <w:tab/>
      </w:r>
      <w:r w:rsidRPr="000729D4">
        <w:rPr>
          <w:lang w:val="fr-FR"/>
        </w:rPr>
        <w:t xml:space="preserve">Voir le </w:t>
      </w:r>
      <w:r w:rsidR="00DD1B77" w:rsidRPr="000729D4">
        <w:rPr>
          <w:lang w:val="fr-FR"/>
        </w:rPr>
        <w:t>paragraphe 1</w:t>
      </w:r>
      <w:r w:rsidRPr="000729D4">
        <w:rPr>
          <w:lang w:val="fr-FR"/>
        </w:rPr>
        <w:t xml:space="preserve">3 de la </w:t>
      </w:r>
      <w:r w:rsidR="000729D4">
        <w:rPr>
          <w:lang w:val="fr-FR"/>
        </w:rPr>
        <w:t>n</w:t>
      </w:r>
      <w:r w:rsidRPr="000729D4">
        <w:rPr>
          <w:lang w:val="fr-FR"/>
        </w:rPr>
        <w:t>orme</w:t>
      </w:r>
      <w:r w:rsidR="0047468A">
        <w:rPr>
          <w:lang w:val="fr-FR"/>
        </w:rPr>
        <w:t> </w:t>
      </w:r>
      <w:r w:rsidRPr="000729D4">
        <w:rPr>
          <w:lang w:val="fr-FR"/>
        </w:rPr>
        <w:t>ST.20 de l</w:t>
      </w:r>
      <w:r w:rsidR="00DD1B77" w:rsidRPr="000729D4">
        <w:rPr>
          <w:lang w:val="fr-FR"/>
        </w:rPr>
        <w:t>’</w:t>
      </w:r>
      <w:r w:rsidRPr="000729D4">
        <w:rPr>
          <w:lang w:val="fr-FR"/>
        </w:rPr>
        <w:t>OMPI (décembre</w:t>
      </w:r>
      <w:r w:rsidR="000729D4">
        <w:rPr>
          <w:lang w:val="fr-FR"/>
        </w:rPr>
        <w:t> </w:t>
      </w:r>
      <w:r w:rsidRPr="000729D4">
        <w:rPr>
          <w:lang w:val="fr-FR"/>
        </w:rPr>
        <w:t>1993).</w:t>
      </w:r>
    </w:p>
  </w:footnote>
  <w:footnote w:id="3">
    <w:p w:rsidR="00235314" w:rsidRPr="000729D4" w:rsidRDefault="00235314">
      <w:pPr>
        <w:pStyle w:val="FootnoteText"/>
        <w:rPr>
          <w:lang w:val="fr-FR"/>
        </w:rPr>
      </w:pPr>
      <w:r w:rsidRPr="000729D4">
        <w:rPr>
          <w:rStyle w:val="FootnoteReference"/>
          <w:lang w:val="fr-FR"/>
        </w:rPr>
        <w:footnoteRef/>
      </w:r>
      <w:r w:rsidRPr="000729D4">
        <w:rPr>
          <w:lang w:val="fr-FR"/>
        </w:rPr>
        <w:t xml:space="preserve"> </w:t>
      </w:r>
      <w:r w:rsidR="000729D4">
        <w:rPr>
          <w:lang w:val="fr-FR"/>
        </w:rPr>
        <w:tab/>
      </w:r>
      <w:proofErr w:type="spellStart"/>
      <w:r w:rsidRPr="000729D4">
        <w:rPr>
          <w:lang w:val="fr-FR"/>
        </w:rPr>
        <w:t>Sekretov</w:t>
      </w:r>
      <w:proofErr w:type="spellEnd"/>
      <w:r w:rsidRPr="000729D4">
        <w:rPr>
          <w:lang w:val="fr-FR"/>
        </w:rPr>
        <w:t>, Andrey “</w:t>
      </w:r>
      <w:proofErr w:type="spellStart"/>
      <w:r w:rsidRPr="000729D4">
        <w:rPr>
          <w:lang w:val="fr-FR"/>
        </w:rPr>
        <w:t>Specific</w:t>
      </w:r>
      <w:proofErr w:type="spellEnd"/>
      <w:r w:rsidRPr="000729D4">
        <w:rPr>
          <w:lang w:val="fr-FR"/>
        </w:rPr>
        <w:t xml:space="preserve"> aspects of </w:t>
      </w:r>
      <w:proofErr w:type="spellStart"/>
      <w:r w:rsidRPr="000729D4">
        <w:rPr>
          <w:lang w:val="fr-FR"/>
        </w:rPr>
        <w:t>names</w:t>
      </w:r>
      <w:proofErr w:type="spellEnd"/>
      <w:r w:rsidRPr="000729D4">
        <w:rPr>
          <w:lang w:val="fr-FR"/>
        </w:rPr>
        <w:t xml:space="preserve"> </w:t>
      </w:r>
      <w:proofErr w:type="spellStart"/>
      <w:r w:rsidRPr="000729D4">
        <w:rPr>
          <w:lang w:val="fr-FR"/>
        </w:rPr>
        <w:t>processing</w:t>
      </w:r>
      <w:proofErr w:type="spellEnd"/>
      <w:r w:rsidRPr="000729D4">
        <w:rPr>
          <w:lang w:val="fr-FR"/>
        </w:rPr>
        <w:t xml:space="preserve"> in EAPO”, exposé présenté dans le cadre de l</w:t>
      </w:r>
      <w:r w:rsidR="00DD1B77" w:rsidRPr="000729D4">
        <w:rPr>
          <w:lang w:val="fr-FR"/>
        </w:rPr>
        <w:t>’</w:t>
      </w:r>
      <w:r w:rsidRPr="000729D4">
        <w:rPr>
          <w:lang w:val="fr-FR"/>
        </w:rPr>
        <w:t>atelier sur les normes de l</w:t>
      </w:r>
      <w:r w:rsidR="00DD1B77" w:rsidRPr="000729D4">
        <w:rPr>
          <w:lang w:val="fr-FR"/>
        </w:rPr>
        <w:t>’</w:t>
      </w:r>
      <w:r w:rsidRPr="000729D4">
        <w:rPr>
          <w:lang w:val="fr-FR"/>
        </w:rPr>
        <w:t>OMPI concernant la normalisation des noms des déposants [2]</w:t>
      </w:r>
      <w:r w:rsidR="000729D4">
        <w:rPr>
          <w:lang w:val="fr-FR"/>
        </w:rPr>
        <w:t>.</w:t>
      </w:r>
    </w:p>
  </w:footnote>
  <w:footnote w:id="4">
    <w:p w:rsidR="00235314" w:rsidRPr="000729D4" w:rsidRDefault="00235314" w:rsidP="00AA35F5">
      <w:pPr>
        <w:pStyle w:val="FootnoteText"/>
        <w:rPr>
          <w:sz w:val="22"/>
          <w:lang w:val="fr-FR"/>
        </w:rPr>
      </w:pPr>
      <w:r w:rsidRPr="000729D4">
        <w:rPr>
          <w:rStyle w:val="FootnoteReference"/>
          <w:lang w:val="fr-FR"/>
        </w:rPr>
        <w:footnoteRef/>
      </w:r>
      <w:r w:rsidRPr="000729D4">
        <w:rPr>
          <w:lang w:val="fr-FR"/>
        </w:rPr>
        <w:t xml:space="preserve"> </w:t>
      </w:r>
      <w:r w:rsidR="000729D4">
        <w:rPr>
          <w:lang w:val="fr-FR"/>
        </w:rPr>
        <w:tab/>
      </w:r>
      <w:r w:rsidRPr="000729D4">
        <w:rPr>
          <w:lang w:val="fr-FR"/>
        </w:rPr>
        <w:t>Adams, Steven “</w:t>
      </w:r>
      <w:proofErr w:type="spellStart"/>
      <w:r w:rsidRPr="000729D4">
        <w:rPr>
          <w:lang w:val="fr-FR"/>
        </w:rPr>
        <w:t>Origins</w:t>
      </w:r>
      <w:proofErr w:type="spellEnd"/>
      <w:r w:rsidRPr="000729D4">
        <w:rPr>
          <w:lang w:val="fr-FR"/>
        </w:rPr>
        <w:t xml:space="preserve"> of the </w:t>
      </w:r>
      <w:proofErr w:type="spellStart"/>
      <w:r w:rsidRPr="000729D4">
        <w:rPr>
          <w:lang w:val="fr-FR"/>
        </w:rPr>
        <w:t>problem</w:t>
      </w:r>
      <w:proofErr w:type="spellEnd"/>
      <w:r w:rsidR="00DD1B77" w:rsidRPr="000729D4">
        <w:rPr>
          <w:lang w:val="fr-FR"/>
        </w:rPr>
        <w:t xml:space="preserve"> – </w:t>
      </w:r>
      <w:proofErr w:type="spellStart"/>
      <w:r w:rsidRPr="000729D4">
        <w:rPr>
          <w:lang w:val="fr-FR"/>
        </w:rPr>
        <w:t>why</w:t>
      </w:r>
      <w:proofErr w:type="spellEnd"/>
      <w:r w:rsidRPr="000729D4">
        <w:rPr>
          <w:lang w:val="fr-FR"/>
        </w:rPr>
        <w:t xml:space="preserve"> </w:t>
      </w:r>
      <w:proofErr w:type="spellStart"/>
      <w:r w:rsidRPr="000729D4">
        <w:rPr>
          <w:lang w:val="fr-FR"/>
        </w:rPr>
        <w:t>is</w:t>
      </w:r>
      <w:proofErr w:type="spellEnd"/>
      <w:r w:rsidRPr="000729D4">
        <w:rPr>
          <w:lang w:val="fr-FR"/>
        </w:rPr>
        <w:t xml:space="preserve"> </w:t>
      </w:r>
      <w:proofErr w:type="spellStart"/>
      <w:r w:rsidRPr="000729D4">
        <w:rPr>
          <w:lang w:val="fr-FR"/>
        </w:rPr>
        <w:t>this</w:t>
      </w:r>
      <w:proofErr w:type="spellEnd"/>
      <w:r w:rsidRPr="000729D4">
        <w:rPr>
          <w:lang w:val="fr-FR"/>
        </w:rPr>
        <w:t xml:space="preserve"> happening?”, exposé présenté dans le cadre de l</w:t>
      </w:r>
      <w:r w:rsidR="00DD1B77" w:rsidRPr="000729D4">
        <w:rPr>
          <w:lang w:val="fr-FR"/>
        </w:rPr>
        <w:t>’</w:t>
      </w:r>
      <w:r w:rsidRPr="000729D4">
        <w:rPr>
          <w:lang w:val="fr-FR"/>
        </w:rPr>
        <w:t>atelier sur les normes de l</w:t>
      </w:r>
      <w:r w:rsidR="00DD1B77" w:rsidRPr="000729D4">
        <w:rPr>
          <w:lang w:val="fr-FR"/>
        </w:rPr>
        <w:t>’</w:t>
      </w:r>
      <w:r w:rsidRPr="000729D4">
        <w:rPr>
          <w:lang w:val="fr-FR"/>
        </w:rPr>
        <w:t>OMPI concernant la normalisation des noms des déposants [2]</w:t>
      </w:r>
      <w:r w:rsidR="000729D4">
        <w:rPr>
          <w:lang w:val="fr-FR"/>
        </w:rPr>
        <w:t>.</w:t>
      </w:r>
    </w:p>
  </w:footnote>
  <w:footnote w:id="5">
    <w:p w:rsidR="00235314" w:rsidRPr="000729D4" w:rsidRDefault="00235314" w:rsidP="003C684D">
      <w:pPr>
        <w:pStyle w:val="FootnoteText"/>
        <w:rPr>
          <w:lang w:val="fr-FR"/>
        </w:rPr>
      </w:pPr>
      <w:r w:rsidRPr="000729D4">
        <w:rPr>
          <w:rStyle w:val="FootnoteReference"/>
          <w:lang w:val="fr-FR"/>
        </w:rPr>
        <w:footnoteRef/>
      </w:r>
      <w:r w:rsidRPr="000729D4">
        <w:rPr>
          <w:lang w:val="fr-FR"/>
        </w:rPr>
        <w:t xml:space="preserve"> </w:t>
      </w:r>
      <w:r w:rsidR="000729D4" w:rsidRPr="000729D4">
        <w:rPr>
          <w:lang w:val="fr-FR"/>
        </w:rPr>
        <w:tab/>
      </w:r>
      <w:proofErr w:type="spellStart"/>
      <w:r w:rsidRPr="000729D4">
        <w:rPr>
          <w:lang w:val="fr-FR"/>
        </w:rPr>
        <w:t>Dernis</w:t>
      </w:r>
      <w:proofErr w:type="spellEnd"/>
      <w:r w:rsidRPr="000729D4">
        <w:rPr>
          <w:lang w:val="fr-FR"/>
        </w:rPr>
        <w:t xml:space="preserve">, Helene “OECD HAN </w:t>
      </w:r>
      <w:proofErr w:type="spellStart"/>
      <w:r w:rsidRPr="000729D4">
        <w:rPr>
          <w:lang w:val="fr-FR"/>
        </w:rPr>
        <w:t>database</w:t>
      </w:r>
      <w:proofErr w:type="spellEnd"/>
      <w:r w:rsidRPr="000729D4">
        <w:rPr>
          <w:lang w:val="fr-FR"/>
        </w:rPr>
        <w:t xml:space="preserve">:  A solution on the </w:t>
      </w:r>
      <w:proofErr w:type="spellStart"/>
      <w:r w:rsidRPr="000729D4">
        <w:rPr>
          <w:lang w:val="fr-FR"/>
        </w:rPr>
        <w:t>harmonization</w:t>
      </w:r>
      <w:proofErr w:type="spellEnd"/>
      <w:r w:rsidRPr="000729D4">
        <w:rPr>
          <w:lang w:val="fr-FR"/>
        </w:rPr>
        <w:t xml:space="preserve"> of </w:t>
      </w:r>
      <w:proofErr w:type="spellStart"/>
      <w:r w:rsidRPr="000729D4">
        <w:rPr>
          <w:lang w:val="fr-FR"/>
        </w:rPr>
        <w:t>applicant</w:t>
      </w:r>
      <w:proofErr w:type="spellEnd"/>
      <w:r w:rsidRPr="000729D4">
        <w:rPr>
          <w:lang w:val="fr-FR"/>
        </w:rPr>
        <w:t xml:space="preserve"> </w:t>
      </w:r>
      <w:proofErr w:type="spellStart"/>
      <w:r w:rsidRPr="000729D4">
        <w:rPr>
          <w:lang w:val="fr-FR"/>
        </w:rPr>
        <w:t>names</w:t>
      </w:r>
      <w:proofErr w:type="spellEnd"/>
      <w:r w:rsidRPr="000729D4">
        <w:rPr>
          <w:lang w:val="fr-FR"/>
        </w:rPr>
        <w:t xml:space="preserve"> for patent </w:t>
      </w:r>
      <w:proofErr w:type="spellStart"/>
      <w:r w:rsidRPr="000729D4">
        <w:rPr>
          <w:lang w:val="fr-FR"/>
        </w:rPr>
        <w:t>statistics</w:t>
      </w:r>
      <w:proofErr w:type="spellEnd"/>
      <w:r w:rsidRPr="000729D4">
        <w:rPr>
          <w:lang w:val="fr-FR"/>
        </w:rPr>
        <w:t>”, exposé présenté dans le cadre de l</w:t>
      </w:r>
      <w:r w:rsidR="00DD1B77" w:rsidRPr="000729D4">
        <w:rPr>
          <w:lang w:val="fr-FR"/>
        </w:rPr>
        <w:t>’</w:t>
      </w:r>
      <w:r w:rsidRPr="000729D4">
        <w:rPr>
          <w:lang w:val="fr-FR"/>
        </w:rPr>
        <w:t>atelier sur les normes de l</w:t>
      </w:r>
      <w:r w:rsidR="00DD1B77" w:rsidRPr="000729D4">
        <w:rPr>
          <w:lang w:val="fr-FR"/>
        </w:rPr>
        <w:t>’</w:t>
      </w:r>
      <w:r w:rsidRPr="000729D4">
        <w:rPr>
          <w:lang w:val="fr-FR"/>
        </w:rPr>
        <w:t>OMPI concernant la normalisation des noms des déposants [2]</w:t>
      </w:r>
      <w:r w:rsidR="000729D4">
        <w:rPr>
          <w:lang w:val="fr-FR"/>
        </w:rPr>
        <w:t>.</w:t>
      </w:r>
    </w:p>
  </w:footnote>
  <w:footnote w:id="6">
    <w:p w:rsidR="00235314" w:rsidRPr="000729D4" w:rsidRDefault="00235314" w:rsidP="00970500">
      <w:pPr>
        <w:pStyle w:val="FootnoteText"/>
        <w:rPr>
          <w:lang w:val="fr-FR"/>
        </w:rPr>
      </w:pPr>
      <w:r w:rsidRPr="000729D4">
        <w:rPr>
          <w:rStyle w:val="FootnoteReference"/>
          <w:lang w:val="fr-FR"/>
        </w:rPr>
        <w:footnoteRef/>
      </w:r>
      <w:r w:rsidRPr="000729D4">
        <w:rPr>
          <w:lang w:val="fr-FR"/>
        </w:rPr>
        <w:t xml:space="preserve"> </w:t>
      </w:r>
      <w:r w:rsidR="000729D4">
        <w:rPr>
          <w:lang w:val="fr-FR"/>
        </w:rPr>
        <w:tab/>
      </w:r>
      <w:r w:rsidRPr="000729D4">
        <w:rPr>
          <w:lang w:val="fr-FR"/>
        </w:rPr>
        <w:t xml:space="preserve">Yoon, </w:t>
      </w:r>
      <w:proofErr w:type="spellStart"/>
      <w:r w:rsidRPr="000729D4">
        <w:rPr>
          <w:lang w:val="fr-FR"/>
        </w:rPr>
        <w:t>Jaewook</w:t>
      </w:r>
      <w:proofErr w:type="spellEnd"/>
      <w:r w:rsidRPr="000729D4">
        <w:rPr>
          <w:lang w:val="fr-FR"/>
        </w:rPr>
        <w:t xml:space="preserve"> “</w:t>
      </w:r>
      <w:proofErr w:type="spellStart"/>
      <w:r w:rsidRPr="000729D4">
        <w:rPr>
          <w:lang w:val="fr-FR"/>
        </w:rPr>
        <w:t>Difficulties</w:t>
      </w:r>
      <w:proofErr w:type="spellEnd"/>
      <w:r w:rsidRPr="000729D4">
        <w:rPr>
          <w:lang w:val="fr-FR"/>
        </w:rPr>
        <w:t xml:space="preserve"> </w:t>
      </w:r>
      <w:proofErr w:type="spellStart"/>
      <w:r w:rsidRPr="000729D4">
        <w:rPr>
          <w:lang w:val="fr-FR"/>
        </w:rPr>
        <w:t>related</w:t>
      </w:r>
      <w:proofErr w:type="spellEnd"/>
      <w:r w:rsidRPr="000729D4">
        <w:rPr>
          <w:lang w:val="fr-FR"/>
        </w:rPr>
        <w:t xml:space="preserve"> </w:t>
      </w:r>
      <w:proofErr w:type="spellStart"/>
      <w:r w:rsidRPr="000729D4">
        <w:rPr>
          <w:lang w:val="fr-FR"/>
        </w:rPr>
        <w:t>applicant</w:t>
      </w:r>
      <w:proofErr w:type="spellEnd"/>
      <w:r w:rsidRPr="000729D4">
        <w:rPr>
          <w:lang w:val="fr-FR"/>
        </w:rPr>
        <w:t xml:space="preserve"> </w:t>
      </w:r>
      <w:proofErr w:type="spellStart"/>
      <w:r w:rsidRPr="000729D4">
        <w:rPr>
          <w:lang w:val="fr-FR"/>
        </w:rPr>
        <w:t>names</w:t>
      </w:r>
      <w:proofErr w:type="spellEnd"/>
      <w:r w:rsidRPr="000729D4">
        <w:rPr>
          <w:lang w:val="fr-FR"/>
        </w:rPr>
        <w:t xml:space="preserve"> and </w:t>
      </w:r>
      <w:proofErr w:type="spellStart"/>
      <w:r w:rsidRPr="000729D4">
        <w:rPr>
          <w:lang w:val="fr-FR"/>
        </w:rPr>
        <w:t>current</w:t>
      </w:r>
      <w:proofErr w:type="spellEnd"/>
      <w:r w:rsidRPr="000729D4">
        <w:rPr>
          <w:lang w:val="fr-FR"/>
        </w:rPr>
        <w:t xml:space="preserve"> practices in KIPO”, exposé présenté dans le cadre de l</w:t>
      </w:r>
      <w:r w:rsidR="00DD1B77" w:rsidRPr="000729D4">
        <w:rPr>
          <w:lang w:val="fr-FR"/>
        </w:rPr>
        <w:t>’</w:t>
      </w:r>
      <w:r w:rsidRPr="000729D4">
        <w:rPr>
          <w:lang w:val="fr-FR"/>
        </w:rPr>
        <w:t>atelier sur les normes de l</w:t>
      </w:r>
      <w:r w:rsidR="00DD1B77" w:rsidRPr="000729D4">
        <w:rPr>
          <w:lang w:val="fr-FR"/>
        </w:rPr>
        <w:t>’</w:t>
      </w:r>
      <w:r w:rsidRPr="000729D4">
        <w:rPr>
          <w:lang w:val="fr-FR"/>
        </w:rPr>
        <w:t>OMPI concernant la normalisation des noms des déposants [2]</w:t>
      </w:r>
      <w:r w:rsidR="000729D4">
        <w:rPr>
          <w:lang w:val="fr-FR"/>
        </w:rPr>
        <w:t>.</w:t>
      </w:r>
    </w:p>
  </w:footnote>
  <w:footnote w:id="7">
    <w:p w:rsidR="00235314" w:rsidRPr="000729D4" w:rsidRDefault="00235314">
      <w:pPr>
        <w:pStyle w:val="FootnoteText"/>
        <w:rPr>
          <w:lang w:val="fr-FR"/>
        </w:rPr>
      </w:pPr>
      <w:r w:rsidRPr="000729D4">
        <w:rPr>
          <w:rStyle w:val="FootnoteReference"/>
          <w:lang w:val="fr-FR"/>
        </w:rPr>
        <w:footnoteRef/>
      </w:r>
      <w:r w:rsidRPr="000729D4">
        <w:rPr>
          <w:lang w:val="fr-FR"/>
        </w:rPr>
        <w:t xml:space="preserve"> </w:t>
      </w:r>
      <w:r w:rsidR="000729D4">
        <w:rPr>
          <w:lang w:val="fr-FR"/>
        </w:rPr>
        <w:tab/>
      </w:r>
      <w:proofErr w:type="spellStart"/>
      <w:r w:rsidRPr="000729D4">
        <w:rPr>
          <w:lang w:val="fr-FR"/>
        </w:rPr>
        <w:t>Hajkowski</w:t>
      </w:r>
      <w:proofErr w:type="spellEnd"/>
      <w:r w:rsidRPr="000729D4">
        <w:rPr>
          <w:lang w:val="fr-FR"/>
        </w:rPr>
        <w:t>, Steven “</w:t>
      </w:r>
      <w:proofErr w:type="spellStart"/>
      <w:r w:rsidRPr="000729D4">
        <w:rPr>
          <w:lang w:val="fr-FR"/>
        </w:rPr>
        <w:t>Assignee</w:t>
      </w:r>
      <w:proofErr w:type="spellEnd"/>
      <w:r w:rsidRPr="000729D4">
        <w:rPr>
          <w:lang w:val="fr-FR"/>
        </w:rPr>
        <w:t xml:space="preserve"> information in DWPI”, exposé présenté dans le cadre de l</w:t>
      </w:r>
      <w:r w:rsidR="00DD1B77" w:rsidRPr="000729D4">
        <w:rPr>
          <w:lang w:val="fr-FR"/>
        </w:rPr>
        <w:t>’</w:t>
      </w:r>
      <w:r w:rsidRPr="000729D4">
        <w:rPr>
          <w:lang w:val="fr-FR"/>
        </w:rPr>
        <w:t>atelier sur les normes de l</w:t>
      </w:r>
      <w:r w:rsidR="00DD1B77" w:rsidRPr="000729D4">
        <w:rPr>
          <w:lang w:val="fr-FR"/>
        </w:rPr>
        <w:t>’</w:t>
      </w:r>
      <w:r w:rsidRPr="000729D4">
        <w:rPr>
          <w:lang w:val="fr-FR"/>
        </w:rPr>
        <w:t>OMPI concernant la normalisation des noms des déposants [2]</w:t>
      </w:r>
      <w:r w:rsidR="000729D4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314" w:rsidRDefault="00235314" w:rsidP="00C053D7">
    <w:pPr>
      <w:jc w:val="right"/>
    </w:pPr>
    <w:r>
      <w:t>CWS/5/14</w:t>
    </w:r>
  </w:p>
  <w:p w:rsidR="00235314" w:rsidRDefault="00235314" w:rsidP="00C053D7">
    <w:pPr>
      <w:jc w:val="right"/>
    </w:pPr>
    <w:proofErr w:type="spellStart"/>
    <w:r>
      <w:t>Annexe</w:t>
    </w:r>
    <w:proofErr w:type="spellEnd"/>
    <w:r>
      <w:t>, page</w:t>
    </w:r>
    <w:r w:rsidR="006401A6">
      <w:t> </w:t>
    </w:r>
    <w:r w:rsidR="00DD1B77">
      <w:fldChar w:fldCharType="begin"/>
    </w:r>
    <w:r w:rsidR="00DD1B77">
      <w:instrText xml:space="preserve"> PAGE  \* Arabic  \* MERGEFORMAT </w:instrText>
    </w:r>
    <w:r w:rsidR="00DD1B77">
      <w:fldChar w:fldCharType="separate"/>
    </w:r>
    <w:r w:rsidR="00CE75DD">
      <w:rPr>
        <w:noProof/>
      </w:rPr>
      <w:t>11</w:t>
    </w:r>
    <w:r w:rsidR="00DD1B77">
      <w:rPr>
        <w:noProof/>
      </w:rPr>
      <w:fldChar w:fldCharType="end"/>
    </w:r>
  </w:p>
  <w:p w:rsidR="00235314" w:rsidRDefault="00235314" w:rsidP="00C053D7">
    <w:pPr>
      <w:pStyle w:val="Header"/>
      <w:jc w:val="right"/>
    </w:pPr>
  </w:p>
  <w:p w:rsidR="00AE69CC" w:rsidRDefault="00AE69CC" w:rsidP="00C053D7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314" w:rsidRDefault="00235314" w:rsidP="00E46572">
    <w:pPr>
      <w:jc w:val="right"/>
    </w:pPr>
    <w:r>
      <w:t>CWS/5/14</w:t>
    </w:r>
  </w:p>
  <w:p w:rsidR="00235314" w:rsidRDefault="00235314" w:rsidP="00E46572">
    <w:pPr>
      <w:jc w:val="right"/>
    </w:pPr>
    <w:r>
      <w:t>ANNEX</w:t>
    </w:r>
    <w:r w:rsidR="002523D0">
      <w:t>E</w:t>
    </w:r>
  </w:p>
  <w:p w:rsidR="00235314" w:rsidRDefault="00235314" w:rsidP="00E46572">
    <w:pPr>
      <w:jc w:val="right"/>
    </w:pPr>
  </w:p>
  <w:p w:rsidR="00AE69CC" w:rsidRDefault="00AE69CC" w:rsidP="00E46572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7CA8"/>
    <w:multiLevelType w:val="hybridMultilevel"/>
    <w:tmpl w:val="0E261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403F6"/>
    <w:multiLevelType w:val="hybridMultilevel"/>
    <w:tmpl w:val="67C43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20BC2"/>
    <w:multiLevelType w:val="multilevel"/>
    <w:tmpl w:val="79C04402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">
    <w:nsid w:val="1274164B"/>
    <w:multiLevelType w:val="hybridMultilevel"/>
    <w:tmpl w:val="F3D0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D0DEB"/>
    <w:multiLevelType w:val="multilevel"/>
    <w:tmpl w:val="376235FE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17555CC2"/>
    <w:multiLevelType w:val="multilevel"/>
    <w:tmpl w:val="8D08158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>
    <w:nsid w:val="192B2DDF"/>
    <w:multiLevelType w:val="hybridMultilevel"/>
    <w:tmpl w:val="10388F7A"/>
    <w:lvl w:ilvl="0" w:tplc="F0BA919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C13C4"/>
    <w:multiLevelType w:val="hybridMultilevel"/>
    <w:tmpl w:val="7C0696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DB7615"/>
    <w:multiLevelType w:val="multilevel"/>
    <w:tmpl w:val="98127E2A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26F130D5"/>
    <w:multiLevelType w:val="multilevel"/>
    <w:tmpl w:val="14E8462C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>
    <w:nsid w:val="27826F30"/>
    <w:multiLevelType w:val="hybridMultilevel"/>
    <w:tmpl w:val="BA004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D7D03"/>
    <w:multiLevelType w:val="hybridMultilevel"/>
    <w:tmpl w:val="1C9C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284F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64BCC"/>
    <w:multiLevelType w:val="hybridMultilevel"/>
    <w:tmpl w:val="3B6AA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C25B1"/>
    <w:multiLevelType w:val="hybridMultilevel"/>
    <w:tmpl w:val="710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A7E01"/>
    <w:multiLevelType w:val="hybridMultilevel"/>
    <w:tmpl w:val="67D61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7F588D"/>
    <w:multiLevelType w:val="multilevel"/>
    <w:tmpl w:val="D430DF0C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>
    <w:nsid w:val="3D941EBD"/>
    <w:multiLevelType w:val="multilevel"/>
    <w:tmpl w:val="E3E8B8CE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7">
    <w:nsid w:val="3EE05C93"/>
    <w:multiLevelType w:val="hybridMultilevel"/>
    <w:tmpl w:val="13D88AB0"/>
    <w:lvl w:ilvl="0" w:tplc="C448A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B03CB"/>
    <w:multiLevelType w:val="multilevel"/>
    <w:tmpl w:val="47865C5A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>
    <w:nsid w:val="41662476"/>
    <w:multiLevelType w:val="hybridMultilevel"/>
    <w:tmpl w:val="BF2A2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6310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AD7059"/>
    <w:multiLevelType w:val="multilevel"/>
    <w:tmpl w:val="A53A2B50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>
    <w:nsid w:val="48B165A8"/>
    <w:multiLevelType w:val="hybridMultilevel"/>
    <w:tmpl w:val="5358B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D625C6"/>
    <w:multiLevelType w:val="multilevel"/>
    <w:tmpl w:val="9C2A9400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>
    <w:nsid w:val="4C5466EC"/>
    <w:multiLevelType w:val="multilevel"/>
    <w:tmpl w:val="53E6EF22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4">
    <w:nsid w:val="53884D73"/>
    <w:multiLevelType w:val="multilevel"/>
    <w:tmpl w:val="0082D67C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>
    <w:nsid w:val="54870F13"/>
    <w:multiLevelType w:val="hybridMultilevel"/>
    <w:tmpl w:val="01AC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D2AC2"/>
    <w:multiLevelType w:val="multilevel"/>
    <w:tmpl w:val="3AF67694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7">
    <w:nsid w:val="54F34322"/>
    <w:multiLevelType w:val="multilevel"/>
    <w:tmpl w:val="58BA3858"/>
    <w:lvl w:ilvl="0">
      <w:start w:val="1"/>
      <w:numFmt w:val="bullet"/>
      <w:lvlText w:val="o"/>
      <w:lvlJc w:val="left"/>
      <w:pPr>
        <w:tabs>
          <w:tab w:val="num" w:pos="567"/>
        </w:tabs>
        <w:ind w:left="0" w:firstLine="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675345"/>
    <w:multiLevelType w:val="multilevel"/>
    <w:tmpl w:val="9D24FEEE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0">
    <w:nsid w:val="62FE6F0D"/>
    <w:multiLevelType w:val="hybridMultilevel"/>
    <w:tmpl w:val="1E202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2">
    <w:nsid w:val="6E033B5B"/>
    <w:multiLevelType w:val="multilevel"/>
    <w:tmpl w:val="9858EC74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3">
    <w:nsid w:val="6EB438B3"/>
    <w:multiLevelType w:val="hybridMultilevel"/>
    <w:tmpl w:val="341A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DA731D"/>
    <w:multiLevelType w:val="hybridMultilevel"/>
    <w:tmpl w:val="BFA6E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D11C28"/>
    <w:multiLevelType w:val="multilevel"/>
    <w:tmpl w:val="19E6FB2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6">
    <w:nsid w:val="797B4805"/>
    <w:multiLevelType w:val="hybridMultilevel"/>
    <w:tmpl w:val="7188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0731F9"/>
    <w:multiLevelType w:val="multilevel"/>
    <w:tmpl w:val="D25A7076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8">
    <w:nsid w:val="7AD87E85"/>
    <w:multiLevelType w:val="hybridMultilevel"/>
    <w:tmpl w:val="2C0AF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1"/>
  </w:num>
  <w:num w:numId="3">
    <w:abstractNumId w:val="28"/>
  </w:num>
  <w:num w:numId="4">
    <w:abstractNumId w:val="3"/>
  </w:num>
  <w:num w:numId="5">
    <w:abstractNumId w:val="7"/>
  </w:num>
  <w:num w:numId="6">
    <w:abstractNumId w:val="33"/>
  </w:num>
  <w:num w:numId="7">
    <w:abstractNumId w:val="36"/>
  </w:num>
  <w:num w:numId="8">
    <w:abstractNumId w:val="1"/>
  </w:num>
  <w:num w:numId="9">
    <w:abstractNumId w:val="0"/>
  </w:num>
  <w:num w:numId="10">
    <w:abstractNumId w:val="10"/>
  </w:num>
  <w:num w:numId="11">
    <w:abstractNumId w:val="25"/>
  </w:num>
  <w:num w:numId="12">
    <w:abstractNumId w:val="12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19"/>
  </w:num>
  <w:num w:numId="18">
    <w:abstractNumId w:val="14"/>
  </w:num>
  <w:num w:numId="19">
    <w:abstractNumId w:val="38"/>
  </w:num>
  <w:num w:numId="20">
    <w:abstractNumId w:val="21"/>
  </w:num>
  <w:num w:numId="21">
    <w:abstractNumId w:val="17"/>
  </w:num>
  <w:num w:numId="22">
    <w:abstractNumId w:val="29"/>
  </w:num>
  <w:num w:numId="23">
    <w:abstractNumId w:val="6"/>
  </w:num>
  <w:num w:numId="24">
    <w:abstractNumId w:val="2"/>
  </w:num>
  <w:num w:numId="25">
    <w:abstractNumId w:val="26"/>
  </w:num>
  <w:num w:numId="26">
    <w:abstractNumId w:val="5"/>
  </w:num>
  <w:num w:numId="27">
    <w:abstractNumId w:val="8"/>
  </w:num>
  <w:num w:numId="28">
    <w:abstractNumId w:val="24"/>
  </w:num>
  <w:num w:numId="29">
    <w:abstractNumId w:val="15"/>
  </w:num>
  <w:num w:numId="30">
    <w:abstractNumId w:val="4"/>
  </w:num>
  <w:num w:numId="31">
    <w:abstractNumId w:val="18"/>
  </w:num>
  <w:num w:numId="32">
    <w:abstractNumId w:val="37"/>
  </w:num>
  <w:num w:numId="33">
    <w:abstractNumId w:val="22"/>
  </w:num>
  <w:num w:numId="34">
    <w:abstractNumId w:val="27"/>
  </w:num>
  <w:num w:numId="35">
    <w:abstractNumId w:val="16"/>
  </w:num>
  <w:num w:numId="36">
    <w:abstractNumId w:val="32"/>
  </w:num>
  <w:num w:numId="37">
    <w:abstractNumId w:val="9"/>
  </w:num>
  <w:num w:numId="38">
    <w:abstractNumId w:val="20"/>
  </w:num>
  <w:num w:numId="39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608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90F56FA2-E647-4A50-87E7-1A11346CCE12}"/>
    <w:docVar w:name="dgnword-eventsink" w:val="113911992"/>
  </w:docVars>
  <w:rsids>
    <w:rsidRoot w:val="00B601AE"/>
    <w:rsid w:val="000005B1"/>
    <w:rsid w:val="00001F89"/>
    <w:rsid w:val="000024D3"/>
    <w:rsid w:val="000058CD"/>
    <w:rsid w:val="00005A24"/>
    <w:rsid w:val="00005B53"/>
    <w:rsid w:val="00010EE9"/>
    <w:rsid w:val="00012D00"/>
    <w:rsid w:val="000160C6"/>
    <w:rsid w:val="00027940"/>
    <w:rsid w:val="0003327F"/>
    <w:rsid w:val="0005252E"/>
    <w:rsid w:val="000540A6"/>
    <w:rsid w:val="0005508E"/>
    <w:rsid w:val="00055713"/>
    <w:rsid w:val="0005631A"/>
    <w:rsid w:val="00056978"/>
    <w:rsid w:val="00057587"/>
    <w:rsid w:val="00060270"/>
    <w:rsid w:val="00064C8A"/>
    <w:rsid w:val="000678E2"/>
    <w:rsid w:val="000729D4"/>
    <w:rsid w:val="00076232"/>
    <w:rsid w:val="0007689C"/>
    <w:rsid w:val="00076E74"/>
    <w:rsid w:val="000865D0"/>
    <w:rsid w:val="000921A8"/>
    <w:rsid w:val="0009395C"/>
    <w:rsid w:val="00093A9C"/>
    <w:rsid w:val="00095773"/>
    <w:rsid w:val="000A7B4E"/>
    <w:rsid w:val="000B065C"/>
    <w:rsid w:val="000B2551"/>
    <w:rsid w:val="000B25F7"/>
    <w:rsid w:val="000B41F7"/>
    <w:rsid w:val="000E62CD"/>
    <w:rsid w:val="000E6C64"/>
    <w:rsid w:val="000E7F68"/>
    <w:rsid w:val="000F1490"/>
    <w:rsid w:val="000F3B26"/>
    <w:rsid w:val="000F524A"/>
    <w:rsid w:val="000F5E56"/>
    <w:rsid w:val="0010363F"/>
    <w:rsid w:val="001037BA"/>
    <w:rsid w:val="00107FC6"/>
    <w:rsid w:val="0011342C"/>
    <w:rsid w:val="00114AAC"/>
    <w:rsid w:val="001173AE"/>
    <w:rsid w:val="0012097B"/>
    <w:rsid w:val="001223F5"/>
    <w:rsid w:val="00122881"/>
    <w:rsid w:val="0012304D"/>
    <w:rsid w:val="00123FFF"/>
    <w:rsid w:val="0012426F"/>
    <w:rsid w:val="0012708A"/>
    <w:rsid w:val="00151F26"/>
    <w:rsid w:val="0015460E"/>
    <w:rsid w:val="00155943"/>
    <w:rsid w:val="001676A3"/>
    <w:rsid w:val="00171886"/>
    <w:rsid w:val="00171A85"/>
    <w:rsid w:val="001728BD"/>
    <w:rsid w:val="00183381"/>
    <w:rsid w:val="0018359A"/>
    <w:rsid w:val="00191DBC"/>
    <w:rsid w:val="001950A0"/>
    <w:rsid w:val="001953B8"/>
    <w:rsid w:val="001959D7"/>
    <w:rsid w:val="001976DA"/>
    <w:rsid w:val="00197C61"/>
    <w:rsid w:val="001A1484"/>
    <w:rsid w:val="001A257E"/>
    <w:rsid w:val="001A3F02"/>
    <w:rsid w:val="001A4FC0"/>
    <w:rsid w:val="001A7E02"/>
    <w:rsid w:val="001B6928"/>
    <w:rsid w:val="001B73CC"/>
    <w:rsid w:val="001C0613"/>
    <w:rsid w:val="001C0D50"/>
    <w:rsid w:val="001C3F57"/>
    <w:rsid w:val="001D0D9F"/>
    <w:rsid w:val="001D4926"/>
    <w:rsid w:val="001D501E"/>
    <w:rsid w:val="001D76FF"/>
    <w:rsid w:val="001E68F7"/>
    <w:rsid w:val="001E6DF9"/>
    <w:rsid w:val="001E70A8"/>
    <w:rsid w:val="001F27F1"/>
    <w:rsid w:val="001F5B45"/>
    <w:rsid w:val="001F5C33"/>
    <w:rsid w:val="001F7348"/>
    <w:rsid w:val="001F7D44"/>
    <w:rsid w:val="0021271B"/>
    <w:rsid w:val="00217CA2"/>
    <w:rsid w:val="00220885"/>
    <w:rsid w:val="002226F1"/>
    <w:rsid w:val="00230061"/>
    <w:rsid w:val="00232D37"/>
    <w:rsid w:val="00235314"/>
    <w:rsid w:val="0023752F"/>
    <w:rsid w:val="002439EB"/>
    <w:rsid w:val="00245CF9"/>
    <w:rsid w:val="0024698C"/>
    <w:rsid w:val="0024740F"/>
    <w:rsid w:val="002523D0"/>
    <w:rsid w:val="00253E65"/>
    <w:rsid w:val="0025666C"/>
    <w:rsid w:val="002617CC"/>
    <w:rsid w:val="00261A40"/>
    <w:rsid w:val="00265D49"/>
    <w:rsid w:val="00274014"/>
    <w:rsid w:val="00276BA1"/>
    <w:rsid w:val="00285BF0"/>
    <w:rsid w:val="002942F8"/>
    <w:rsid w:val="00296537"/>
    <w:rsid w:val="00297CD2"/>
    <w:rsid w:val="002A0149"/>
    <w:rsid w:val="002A118D"/>
    <w:rsid w:val="002A2924"/>
    <w:rsid w:val="002A4434"/>
    <w:rsid w:val="002A6D2B"/>
    <w:rsid w:val="002B3644"/>
    <w:rsid w:val="002B3730"/>
    <w:rsid w:val="002B57F0"/>
    <w:rsid w:val="002B6053"/>
    <w:rsid w:val="002B68FC"/>
    <w:rsid w:val="002C444C"/>
    <w:rsid w:val="002C47DD"/>
    <w:rsid w:val="002C6AF0"/>
    <w:rsid w:val="002D0D36"/>
    <w:rsid w:val="002E0885"/>
    <w:rsid w:val="002E208C"/>
    <w:rsid w:val="002E2167"/>
    <w:rsid w:val="002E2B57"/>
    <w:rsid w:val="002E310E"/>
    <w:rsid w:val="002E7A4A"/>
    <w:rsid w:val="002F4B84"/>
    <w:rsid w:val="002F6116"/>
    <w:rsid w:val="003022EA"/>
    <w:rsid w:val="0030253A"/>
    <w:rsid w:val="003025E0"/>
    <w:rsid w:val="00304115"/>
    <w:rsid w:val="003060C2"/>
    <w:rsid w:val="00307337"/>
    <w:rsid w:val="003153F4"/>
    <w:rsid w:val="003216D3"/>
    <w:rsid w:val="0032540E"/>
    <w:rsid w:val="00331ACE"/>
    <w:rsid w:val="003364E2"/>
    <w:rsid w:val="00340B5B"/>
    <w:rsid w:val="00352797"/>
    <w:rsid w:val="0035338A"/>
    <w:rsid w:val="003548D0"/>
    <w:rsid w:val="0035797A"/>
    <w:rsid w:val="00361D8E"/>
    <w:rsid w:val="003641E6"/>
    <w:rsid w:val="00366641"/>
    <w:rsid w:val="0037182F"/>
    <w:rsid w:val="00371956"/>
    <w:rsid w:val="00376B27"/>
    <w:rsid w:val="00382937"/>
    <w:rsid w:val="00382E72"/>
    <w:rsid w:val="003901A9"/>
    <w:rsid w:val="00391333"/>
    <w:rsid w:val="003931FE"/>
    <w:rsid w:val="003932AA"/>
    <w:rsid w:val="0039754D"/>
    <w:rsid w:val="003A0696"/>
    <w:rsid w:val="003A2F27"/>
    <w:rsid w:val="003A39BA"/>
    <w:rsid w:val="003B08F0"/>
    <w:rsid w:val="003B5B69"/>
    <w:rsid w:val="003B6298"/>
    <w:rsid w:val="003C2C8A"/>
    <w:rsid w:val="003C428A"/>
    <w:rsid w:val="003C684D"/>
    <w:rsid w:val="003C7B5A"/>
    <w:rsid w:val="003D013E"/>
    <w:rsid w:val="003D0753"/>
    <w:rsid w:val="003D505F"/>
    <w:rsid w:val="003D53CD"/>
    <w:rsid w:val="003D5DA6"/>
    <w:rsid w:val="003E183C"/>
    <w:rsid w:val="003E25B2"/>
    <w:rsid w:val="003E5519"/>
    <w:rsid w:val="003E5C50"/>
    <w:rsid w:val="003E72F3"/>
    <w:rsid w:val="003F041B"/>
    <w:rsid w:val="003F0507"/>
    <w:rsid w:val="003F19A4"/>
    <w:rsid w:val="003F6479"/>
    <w:rsid w:val="003F6873"/>
    <w:rsid w:val="00410FB3"/>
    <w:rsid w:val="00412CE7"/>
    <w:rsid w:val="00420E27"/>
    <w:rsid w:val="00423676"/>
    <w:rsid w:val="00431118"/>
    <w:rsid w:val="0044080B"/>
    <w:rsid w:val="00442513"/>
    <w:rsid w:val="00443BA0"/>
    <w:rsid w:val="00446CF3"/>
    <w:rsid w:val="0044782C"/>
    <w:rsid w:val="00455BAB"/>
    <w:rsid w:val="004562A7"/>
    <w:rsid w:val="00462C67"/>
    <w:rsid w:val="004673EC"/>
    <w:rsid w:val="0046795A"/>
    <w:rsid w:val="004715B9"/>
    <w:rsid w:val="0047268D"/>
    <w:rsid w:val="00473827"/>
    <w:rsid w:val="0047468A"/>
    <w:rsid w:val="00485D68"/>
    <w:rsid w:val="00486332"/>
    <w:rsid w:val="00494337"/>
    <w:rsid w:val="0049608C"/>
    <w:rsid w:val="00496A1F"/>
    <w:rsid w:val="004A1D71"/>
    <w:rsid w:val="004A24DC"/>
    <w:rsid w:val="004A75F4"/>
    <w:rsid w:val="004B238B"/>
    <w:rsid w:val="004B50E4"/>
    <w:rsid w:val="004B73C9"/>
    <w:rsid w:val="004C6230"/>
    <w:rsid w:val="004E0443"/>
    <w:rsid w:val="004E1CE0"/>
    <w:rsid w:val="004F2F93"/>
    <w:rsid w:val="004F32E4"/>
    <w:rsid w:val="004F33EE"/>
    <w:rsid w:val="00510902"/>
    <w:rsid w:val="00513782"/>
    <w:rsid w:val="00517F8E"/>
    <w:rsid w:val="00525336"/>
    <w:rsid w:val="0053301B"/>
    <w:rsid w:val="00535A85"/>
    <w:rsid w:val="00537128"/>
    <w:rsid w:val="00542ACD"/>
    <w:rsid w:val="00550005"/>
    <w:rsid w:val="005547BA"/>
    <w:rsid w:val="00557F70"/>
    <w:rsid w:val="00560FD6"/>
    <w:rsid w:val="0056198F"/>
    <w:rsid w:val="005626FF"/>
    <w:rsid w:val="005643E4"/>
    <w:rsid w:val="00565587"/>
    <w:rsid w:val="00571700"/>
    <w:rsid w:val="00573CDB"/>
    <w:rsid w:val="00574966"/>
    <w:rsid w:val="005807E6"/>
    <w:rsid w:val="00581750"/>
    <w:rsid w:val="00587004"/>
    <w:rsid w:val="0059293E"/>
    <w:rsid w:val="00594750"/>
    <w:rsid w:val="00594D8D"/>
    <w:rsid w:val="0059568E"/>
    <w:rsid w:val="00595E3D"/>
    <w:rsid w:val="005A52C2"/>
    <w:rsid w:val="005B05F3"/>
    <w:rsid w:val="005B0EF2"/>
    <w:rsid w:val="005B22DC"/>
    <w:rsid w:val="005B51A4"/>
    <w:rsid w:val="005D1236"/>
    <w:rsid w:val="005D1F0A"/>
    <w:rsid w:val="005E04C5"/>
    <w:rsid w:val="005E0EF8"/>
    <w:rsid w:val="005E2A35"/>
    <w:rsid w:val="005E3056"/>
    <w:rsid w:val="005E65CE"/>
    <w:rsid w:val="005F196D"/>
    <w:rsid w:val="005F1D59"/>
    <w:rsid w:val="005F5AEC"/>
    <w:rsid w:val="005F5C31"/>
    <w:rsid w:val="005F72FF"/>
    <w:rsid w:val="0060793D"/>
    <w:rsid w:val="00612288"/>
    <w:rsid w:val="00614E48"/>
    <w:rsid w:val="0062067D"/>
    <w:rsid w:val="006210AB"/>
    <w:rsid w:val="00621325"/>
    <w:rsid w:val="00621A6C"/>
    <w:rsid w:val="00630563"/>
    <w:rsid w:val="00631D6C"/>
    <w:rsid w:val="006358B3"/>
    <w:rsid w:val="006401A6"/>
    <w:rsid w:val="006409B8"/>
    <w:rsid w:val="00642CFF"/>
    <w:rsid w:val="0064329D"/>
    <w:rsid w:val="0064551C"/>
    <w:rsid w:val="00646D6B"/>
    <w:rsid w:val="00655F7D"/>
    <w:rsid w:val="00656407"/>
    <w:rsid w:val="0066043E"/>
    <w:rsid w:val="006651BC"/>
    <w:rsid w:val="00671C2C"/>
    <w:rsid w:val="00681609"/>
    <w:rsid w:val="00683C08"/>
    <w:rsid w:val="00684383"/>
    <w:rsid w:val="006A19B0"/>
    <w:rsid w:val="006B1C5A"/>
    <w:rsid w:val="006B4066"/>
    <w:rsid w:val="006C4E1A"/>
    <w:rsid w:val="006D38F4"/>
    <w:rsid w:val="006D3CF6"/>
    <w:rsid w:val="006D51D3"/>
    <w:rsid w:val="006E0444"/>
    <w:rsid w:val="006E0D69"/>
    <w:rsid w:val="006E1BA8"/>
    <w:rsid w:val="006E33F6"/>
    <w:rsid w:val="006E4B92"/>
    <w:rsid w:val="006E634C"/>
    <w:rsid w:val="006E6F1C"/>
    <w:rsid w:val="006F1A73"/>
    <w:rsid w:val="006F75A2"/>
    <w:rsid w:val="00700E8C"/>
    <w:rsid w:val="00703FBA"/>
    <w:rsid w:val="00707621"/>
    <w:rsid w:val="00711D79"/>
    <w:rsid w:val="00712397"/>
    <w:rsid w:val="00717FA4"/>
    <w:rsid w:val="00733FB8"/>
    <w:rsid w:val="00734BA5"/>
    <w:rsid w:val="00740409"/>
    <w:rsid w:val="007516B0"/>
    <w:rsid w:val="007566D0"/>
    <w:rsid w:val="00757AE8"/>
    <w:rsid w:val="0076298F"/>
    <w:rsid w:val="00774DED"/>
    <w:rsid w:val="00776077"/>
    <w:rsid w:val="0077778E"/>
    <w:rsid w:val="00782ABF"/>
    <w:rsid w:val="00782CCD"/>
    <w:rsid w:val="007836CD"/>
    <w:rsid w:val="00785A34"/>
    <w:rsid w:val="00790AD6"/>
    <w:rsid w:val="0079190B"/>
    <w:rsid w:val="007A2145"/>
    <w:rsid w:val="007A2214"/>
    <w:rsid w:val="007A5831"/>
    <w:rsid w:val="007A68DA"/>
    <w:rsid w:val="007B240C"/>
    <w:rsid w:val="007B2EAE"/>
    <w:rsid w:val="007B4398"/>
    <w:rsid w:val="007B450B"/>
    <w:rsid w:val="007D53C7"/>
    <w:rsid w:val="007E01E8"/>
    <w:rsid w:val="007E35AD"/>
    <w:rsid w:val="007F5C6D"/>
    <w:rsid w:val="00801017"/>
    <w:rsid w:val="00801F87"/>
    <w:rsid w:val="00804469"/>
    <w:rsid w:val="00804DB7"/>
    <w:rsid w:val="008113B6"/>
    <w:rsid w:val="00820A5C"/>
    <w:rsid w:val="008226DE"/>
    <w:rsid w:val="00825909"/>
    <w:rsid w:val="00825A4C"/>
    <w:rsid w:val="00826B9A"/>
    <w:rsid w:val="00826CAF"/>
    <w:rsid w:val="00831E1F"/>
    <w:rsid w:val="008354EC"/>
    <w:rsid w:val="00844849"/>
    <w:rsid w:val="0084643E"/>
    <w:rsid w:val="00847F01"/>
    <w:rsid w:val="0085450F"/>
    <w:rsid w:val="0086339B"/>
    <w:rsid w:val="008639E8"/>
    <w:rsid w:val="00863DBE"/>
    <w:rsid w:val="008714FB"/>
    <w:rsid w:val="00871810"/>
    <w:rsid w:val="008736E2"/>
    <w:rsid w:val="0087432B"/>
    <w:rsid w:val="008746FC"/>
    <w:rsid w:val="00875218"/>
    <w:rsid w:val="00876BDF"/>
    <w:rsid w:val="00877CF7"/>
    <w:rsid w:val="0088544C"/>
    <w:rsid w:val="008861FB"/>
    <w:rsid w:val="008908B4"/>
    <w:rsid w:val="00896C07"/>
    <w:rsid w:val="008A2E08"/>
    <w:rsid w:val="008A49B1"/>
    <w:rsid w:val="008A4FE5"/>
    <w:rsid w:val="008B04FD"/>
    <w:rsid w:val="008B100F"/>
    <w:rsid w:val="008B4F6D"/>
    <w:rsid w:val="008D0723"/>
    <w:rsid w:val="008D4453"/>
    <w:rsid w:val="008E53C7"/>
    <w:rsid w:val="008E78CE"/>
    <w:rsid w:val="008F08F2"/>
    <w:rsid w:val="008F79A5"/>
    <w:rsid w:val="008F7E95"/>
    <w:rsid w:val="0090220F"/>
    <w:rsid w:val="00905E15"/>
    <w:rsid w:val="00910066"/>
    <w:rsid w:val="00915DED"/>
    <w:rsid w:val="00922C00"/>
    <w:rsid w:val="0093510C"/>
    <w:rsid w:val="0093780F"/>
    <w:rsid w:val="00937964"/>
    <w:rsid w:val="009412E6"/>
    <w:rsid w:val="0094174B"/>
    <w:rsid w:val="009421D7"/>
    <w:rsid w:val="00944FAE"/>
    <w:rsid w:val="00947E73"/>
    <w:rsid w:val="0095126B"/>
    <w:rsid w:val="00952AAB"/>
    <w:rsid w:val="0095738D"/>
    <w:rsid w:val="00961407"/>
    <w:rsid w:val="00961780"/>
    <w:rsid w:val="009652EA"/>
    <w:rsid w:val="00970500"/>
    <w:rsid w:val="009707D4"/>
    <w:rsid w:val="00970AC1"/>
    <w:rsid w:val="00975A24"/>
    <w:rsid w:val="00986026"/>
    <w:rsid w:val="00991D7F"/>
    <w:rsid w:val="00992550"/>
    <w:rsid w:val="00992BA5"/>
    <w:rsid w:val="00993836"/>
    <w:rsid w:val="0099501C"/>
    <w:rsid w:val="009A3733"/>
    <w:rsid w:val="009B04B6"/>
    <w:rsid w:val="009B2902"/>
    <w:rsid w:val="009B2F46"/>
    <w:rsid w:val="009B7F4A"/>
    <w:rsid w:val="009D3FBC"/>
    <w:rsid w:val="009D40B2"/>
    <w:rsid w:val="009E03F8"/>
    <w:rsid w:val="009E1B3C"/>
    <w:rsid w:val="009E3DFE"/>
    <w:rsid w:val="009F4603"/>
    <w:rsid w:val="009F5BDF"/>
    <w:rsid w:val="00A00288"/>
    <w:rsid w:val="00A00EA0"/>
    <w:rsid w:val="00A00FFD"/>
    <w:rsid w:val="00A01CD5"/>
    <w:rsid w:val="00A0341D"/>
    <w:rsid w:val="00A04769"/>
    <w:rsid w:val="00A14913"/>
    <w:rsid w:val="00A16664"/>
    <w:rsid w:val="00A200BC"/>
    <w:rsid w:val="00A204CD"/>
    <w:rsid w:val="00A25887"/>
    <w:rsid w:val="00A25BB5"/>
    <w:rsid w:val="00A25C32"/>
    <w:rsid w:val="00A26F1B"/>
    <w:rsid w:val="00A312C9"/>
    <w:rsid w:val="00A35CDA"/>
    <w:rsid w:val="00A4239A"/>
    <w:rsid w:val="00A42544"/>
    <w:rsid w:val="00A436DB"/>
    <w:rsid w:val="00A521B8"/>
    <w:rsid w:val="00A5386E"/>
    <w:rsid w:val="00A56799"/>
    <w:rsid w:val="00A60DBB"/>
    <w:rsid w:val="00A60DF8"/>
    <w:rsid w:val="00A61957"/>
    <w:rsid w:val="00A63A98"/>
    <w:rsid w:val="00A672DC"/>
    <w:rsid w:val="00A673BF"/>
    <w:rsid w:val="00A717E5"/>
    <w:rsid w:val="00A73E00"/>
    <w:rsid w:val="00A80EF4"/>
    <w:rsid w:val="00A82C98"/>
    <w:rsid w:val="00A85297"/>
    <w:rsid w:val="00A87B7F"/>
    <w:rsid w:val="00A92EE9"/>
    <w:rsid w:val="00A95BF1"/>
    <w:rsid w:val="00AA1150"/>
    <w:rsid w:val="00AA188A"/>
    <w:rsid w:val="00AA34DF"/>
    <w:rsid w:val="00AA35F5"/>
    <w:rsid w:val="00AA35FB"/>
    <w:rsid w:val="00AA3C92"/>
    <w:rsid w:val="00AA4FB3"/>
    <w:rsid w:val="00AB33C2"/>
    <w:rsid w:val="00AB565D"/>
    <w:rsid w:val="00AB6D42"/>
    <w:rsid w:val="00AC1EFE"/>
    <w:rsid w:val="00AC29D0"/>
    <w:rsid w:val="00AC3828"/>
    <w:rsid w:val="00AC5968"/>
    <w:rsid w:val="00AC64DF"/>
    <w:rsid w:val="00AD0BC8"/>
    <w:rsid w:val="00AD22CD"/>
    <w:rsid w:val="00AD2B67"/>
    <w:rsid w:val="00AD6119"/>
    <w:rsid w:val="00AD6252"/>
    <w:rsid w:val="00AD7DD6"/>
    <w:rsid w:val="00AE17F7"/>
    <w:rsid w:val="00AE4A44"/>
    <w:rsid w:val="00AE69CC"/>
    <w:rsid w:val="00AF43A8"/>
    <w:rsid w:val="00AF44FA"/>
    <w:rsid w:val="00AF4C4A"/>
    <w:rsid w:val="00AF4EEE"/>
    <w:rsid w:val="00B13812"/>
    <w:rsid w:val="00B2047C"/>
    <w:rsid w:val="00B27486"/>
    <w:rsid w:val="00B32B2E"/>
    <w:rsid w:val="00B37C6E"/>
    <w:rsid w:val="00B431FA"/>
    <w:rsid w:val="00B43219"/>
    <w:rsid w:val="00B46664"/>
    <w:rsid w:val="00B524BB"/>
    <w:rsid w:val="00B52EC9"/>
    <w:rsid w:val="00B5492E"/>
    <w:rsid w:val="00B56270"/>
    <w:rsid w:val="00B601AE"/>
    <w:rsid w:val="00B60FED"/>
    <w:rsid w:val="00B67718"/>
    <w:rsid w:val="00B8347D"/>
    <w:rsid w:val="00B83760"/>
    <w:rsid w:val="00B87CCB"/>
    <w:rsid w:val="00B90350"/>
    <w:rsid w:val="00B94C7B"/>
    <w:rsid w:val="00B94CE9"/>
    <w:rsid w:val="00B979C2"/>
    <w:rsid w:val="00B97B4D"/>
    <w:rsid w:val="00BA168C"/>
    <w:rsid w:val="00BA21D5"/>
    <w:rsid w:val="00BA744B"/>
    <w:rsid w:val="00BB06A7"/>
    <w:rsid w:val="00BB1E95"/>
    <w:rsid w:val="00BB57AF"/>
    <w:rsid w:val="00BB79A1"/>
    <w:rsid w:val="00BC10BD"/>
    <w:rsid w:val="00BC6280"/>
    <w:rsid w:val="00BD00A2"/>
    <w:rsid w:val="00BD2610"/>
    <w:rsid w:val="00BD6775"/>
    <w:rsid w:val="00BE2E2B"/>
    <w:rsid w:val="00BE6268"/>
    <w:rsid w:val="00BE698D"/>
    <w:rsid w:val="00BE6F72"/>
    <w:rsid w:val="00BF1281"/>
    <w:rsid w:val="00BF3175"/>
    <w:rsid w:val="00BF769E"/>
    <w:rsid w:val="00BF7ACE"/>
    <w:rsid w:val="00C053D7"/>
    <w:rsid w:val="00C10E2B"/>
    <w:rsid w:val="00C132C2"/>
    <w:rsid w:val="00C17FA3"/>
    <w:rsid w:val="00C20117"/>
    <w:rsid w:val="00C21F3B"/>
    <w:rsid w:val="00C3138D"/>
    <w:rsid w:val="00C37B9B"/>
    <w:rsid w:val="00C40320"/>
    <w:rsid w:val="00C466CF"/>
    <w:rsid w:val="00C53742"/>
    <w:rsid w:val="00C554EC"/>
    <w:rsid w:val="00C633D9"/>
    <w:rsid w:val="00C67205"/>
    <w:rsid w:val="00C7377D"/>
    <w:rsid w:val="00C772C1"/>
    <w:rsid w:val="00C842AA"/>
    <w:rsid w:val="00C8668D"/>
    <w:rsid w:val="00C878EB"/>
    <w:rsid w:val="00CA2CC8"/>
    <w:rsid w:val="00CA5528"/>
    <w:rsid w:val="00CA5AE3"/>
    <w:rsid w:val="00CB031F"/>
    <w:rsid w:val="00CB131A"/>
    <w:rsid w:val="00CB7381"/>
    <w:rsid w:val="00CC062B"/>
    <w:rsid w:val="00CC094D"/>
    <w:rsid w:val="00CC3CCD"/>
    <w:rsid w:val="00CC7F0D"/>
    <w:rsid w:val="00CD1AF7"/>
    <w:rsid w:val="00CD3D8C"/>
    <w:rsid w:val="00CE515F"/>
    <w:rsid w:val="00CE75DD"/>
    <w:rsid w:val="00D13ABD"/>
    <w:rsid w:val="00D13F1A"/>
    <w:rsid w:val="00D14C72"/>
    <w:rsid w:val="00D1683D"/>
    <w:rsid w:val="00D17740"/>
    <w:rsid w:val="00D233B4"/>
    <w:rsid w:val="00D311C8"/>
    <w:rsid w:val="00D32BF3"/>
    <w:rsid w:val="00D33363"/>
    <w:rsid w:val="00D35C94"/>
    <w:rsid w:val="00D420C2"/>
    <w:rsid w:val="00D43440"/>
    <w:rsid w:val="00D53515"/>
    <w:rsid w:val="00D53961"/>
    <w:rsid w:val="00D55CD4"/>
    <w:rsid w:val="00D55FB9"/>
    <w:rsid w:val="00D56C05"/>
    <w:rsid w:val="00D56F13"/>
    <w:rsid w:val="00D6172D"/>
    <w:rsid w:val="00D6257C"/>
    <w:rsid w:val="00D630EF"/>
    <w:rsid w:val="00D77648"/>
    <w:rsid w:val="00D81144"/>
    <w:rsid w:val="00D81469"/>
    <w:rsid w:val="00D81F92"/>
    <w:rsid w:val="00D84985"/>
    <w:rsid w:val="00D873E8"/>
    <w:rsid w:val="00D8760C"/>
    <w:rsid w:val="00D93EA1"/>
    <w:rsid w:val="00DA4272"/>
    <w:rsid w:val="00DB2435"/>
    <w:rsid w:val="00DB2EC0"/>
    <w:rsid w:val="00DB61B2"/>
    <w:rsid w:val="00DC02FF"/>
    <w:rsid w:val="00DC0FC4"/>
    <w:rsid w:val="00DC323B"/>
    <w:rsid w:val="00DD15EB"/>
    <w:rsid w:val="00DD1B77"/>
    <w:rsid w:val="00DD1B99"/>
    <w:rsid w:val="00DD2C34"/>
    <w:rsid w:val="00DD56F8"/>
    <w:rsid w:val="00DE0F2C"/>
    <w:rsid w:val="00DE2BEB"/>
    <w:rsid w:val="00DE5BA6"/>
    <w:rsid w:val="00DE6171"/>
    <w:rsid w:val="00DE7949"/>
    <w:rsid w:val="00DF3F4F"/>
    <w:rsid w:val="00DF5F6B"/>
    <w:rsid w:val="00E01927"/>
    <w:rsid w:val="00E047B2"/>
    <w:rsid w:val="00E05B9E"/>
    <w:rsid w:val="00E1396A"/>
    <w:rsid w:val="00E14A91"/>
    <w:rsid w:val="00E16107"/>
    <w:rsid w:val="00E2086B"/>
    <w:rsid w:val="00E23216"/>
    <w:rsid w:val="00E26D98"/>
    <w:rsid w:val="00E30EA5"/>
    <w:rsid w:val="00E32942"/>
    <w:rsid w:val="00E33C1C"/>
    <w:rsid w:val="00E37E29"/>
    <w:rsid w:val="00E40472"/>
    <w:rsid w:val="00E46572"/>
    <w:rsid w:val="00E51612"/>
    <w:rsid w:val="00E51726"/>
    <w:rsid w:val="00E559E8"/>
    <w:rsid w:val="00E6483B"/>
    <w:rsid w:val="00E663D6"/>
    <w:rsid w:val="00E6788D"/>
    <w:rsid w:val="00E75442"/>
    <w:rsid w:val="00E7546D"/>
    <w:rsid w:val="00E77BF2"/>
    <w:rsid w:val="00E77CCB"/>
    <w:rsid w:val="00E80A9E"/>
    <w:rsid w:val="00E814C5"/>
    <w:rsid w:val="00E82BD1"/>
    <w:rsid w:val="00E835FC"/>
    <w:rsid w:val="00E84E7C"/>
    <w:rsid w:val="00E86C18"/>
    <w:rsid w:val="00E94982"/>
    <w:rsid w:val="00EA3BD1"/>
    <w:rsid w:val="00EA6AF6"/>
    <w:rsid w:val="00EB1225"/>
    <w:rsid w:val="00EC36E6"/>
    <w:rsid w:val="00EC4323"/>
    <w:rsid w:val="00EC61A1"/>
    <w:rsid w:val="00ED1E5E"/>
    <w:rsid w:val="00ED218C"/>
    <w:rsid w:val="00ED505E"/>
    <w:rsid w:val="00ED6D05"/>
    <w:rsid w:val="00ED6DC5"/>
    <w:rsid w:val="00ED6F20"/>
    <w:rsid w:val="00EE46F0"/>
    <w:rsid w:val="00EF4EEB"/>
    <w:rsid w:val="00EF6730"/>
    <w:rsid w:val="00EF7E30"/>
    <w:rsid w:val="00F003E7"/>
    <w:rsid w:val="00F015CD"/>
    <w:rsid w:val="00F116C7"/>
    <w:rsid w:val="00F140A4"/>
    <w:rsid w:val="00F14494"/>
    <w:rsid w:val="00F218DE"/>
    <w:rsid w:val="00F4107A"/>
    <w:rsid w:val="00F41C71"/>
    <w:rsid w:val="00F43C2E"/>
    <w:rsid w:val="00F4633A"/>
    <w:rsid w:val="00F473BA"/>
    <w:rsid w:val="00F47719"/>
    <w:rsid w:val="00F54A02"/>
    <w:rsid w:val="00F56983"/>
    <w:rsid w:val="00F70A9F"/>
    <w:rsid w:val="00F70EC7"/>
    <w:rsid w:val="00F73FC2"/>
    <w:rsid w:val="00F75334"/>
    <w:rsid w:val="00F753D7"/>
    <w:rsid w:val="00F836DA"/>
    <w:rsid w:val="00F8415A"/>
    <w:rsid w:val="00F94A54"/>
    <w:rsid w:val="00F94F0D"/>
    <w:rsid w:val="00F96ECF"/>
    <w:rsid w:val="00FA16AA"/>
    <w:rsid w:val="00FB7643"/>
    <w:rsid w:val="00FC0750"/>
    <w:rsid w:val="00FC7E87"/>
    <w:rsid w:val="00FD6B05"/>
    <w:rsid w:val="00FD6E36"/>
    <w:rsid w:val="00FE31FD"/>
    <w:rsid w:val="00FE33D4"/>
    <w:rsid w:val="00FE3A76"/>
    <w:rsid w:val="00FE5067"/>
    <w:rsid w:val="00FE5B14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E515F"/>
    <w:pPr>
      <w:keepNext/>
      <w:keepLines/>
      <w:spacing w:before="320" w:after="120"/>
      <w:ind w:left="567"/>
      <w:outlineLvl w:val="4"/>
    </w:pPr>
    <w:rPr>
      <w:rFonts w:eastAsiaTheme="majorEastAsia" w:cstheme="majorBidi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2"/>
      </w:numPr>
    </w:pPr>
  </w:style>
  <w:style w:type="paragraph" w:customStyle="1" w:styleId="ONUME">
    <w:name w:val="ONUM E"/>
    <w:basedOn w:val="BodyText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2B57F0"/>
    <w:pPr>
      <w:ind w:left="720"/>
      <w:contextualSpacing/>
    </w:pPr>
  </w:style>
  <w:style w:type="character" w:styleId="FootnoteReference">
    <w:name w:val="footnote reference"/>
    <w:basedOn w:val="DefaultParagraphFont"/>
    <w:rsid w:val="00E80A9E"/>
    <w:rPr>
      <w:vertAlign w:val="superscript"/>
    </w:rPr>
  </w:style>
  <w:style w:type="character" w:styleId="EndnoteReference">
    <w:name w:val="endnote reference"/>
    <w:basedOn w:val="DefaultParagraphFont"/>
    <w:rsid w:val="00AB33C2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CE515F"/>
    <w:rPr>
      <w:rFonts w:ascii="Arial" w:eastAsiaTheme="majorEastAsia" w:hAnsi="Arial" w:cstheme="majorBidi"/>
      <w:sz w:val="22"/>
      <w:u w:val="single"/>
    </w:rPr>
  </w:style>
  <w:style w:type="character" w:customStyle="1" w:styleId="Heading1Char">
    <w:name w:val="Heading 1 Char"/>
    <w:basedOn w:val="DefaultParagraphFont"/>
    <w:link w:val="Heading1"/>
    <w:rsid w:val="003C684D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styleId="CommentReference">
    <w:name w:val="annotation reference"/>
    <w:basedOn w:val="DefaultParagraphFont"/>
    <w:rsid w:val="001036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0363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363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10363F"/>
    <w:rPr>
      <w:rFonts w:ascii="Arial" w:hAnsi="Arial" w:cs="Arial"/>
      <w:b/>
      <w:bCs/>
      <w:sz w:val="18"/>
    </w:rPr>
  </w:style>
  <w:style w:type="paragraph" w:styleId="BalloonText">
    <w:name w:val="Balloon Text"/>
    <w:basedOn w:val="Normal"/>
    <w:link w:val="BalloonTextChar"/>
    <w:rsid w:val="001036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63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D4926"/>
    <w:rPr>
      <w:rFonts w:ascii="Arial" w:hAnsi="Arial" w:cs="Arial"/>
      <w:sz w:val="22"/>
    </w:rPr>
  </w:style>
  <w:style w:type="paragraph" w:customStyle="1" w:styleId="Endofdocument-Annex">
    <w:name w:val="[End of document - Annex]"/>
    <w:basedOn w:val="Normal"/>
    <w:rsid w:val="00E46572"/>
    <w:pPr>
      <w:ind w:left="5534"/>
    </w:pPr>
    <w:rPr>
      <w:rFonts w:eastAsia="SimSun"/>
      <w:lang w:eastAsia="zh-CN"/>
    </w:rPr>
  </w:style>
  <w:style w:type="character" w:styleId="Hyperlink">
    <w:name w:val="Hyperlink"/>
    <w:basedOn w:val="DefaultParagraphFont"/>
    <w:rsid w:val="000729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E515F"/>
    <w:pPr>
      <w:keepNext/>
      <w:keepLines/>
      <w:spacing w:before="320" w:after="120"/>
      <w:ind w:left="567"/>
      <w:outlineLvl w:val="4"/>
    </w:pPr>
    <w:rPr>
      <w:rFonts w:eastAsiaTheme="majorEastAsia" w:cstheme="majorBidi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2"/>
      </w:numPr>
    </w:pPr>
  </w:style>
  <w:style w:type="paragraph" w:customStyle="1" w:styleId="ONUME">
    <w:name w:val="ONUM E"/>
    <w:basedOn w:val="BodyText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2B57F0"/>
    <w:pPr>
      <w:ind w:left="720"/>
      <w:contextualSpacing/>
    </w:pPr>
  </w:style>
  <w:style w:type="character" w:styleId="FootnoteReference">
    <w:name w:val="footnote reference"/>
    <w:basedOn w:val="DefaultParagraphFont"/>
    <w:rsid w:val="00E80A9E"/>
    <w:rPr>
      <w:vertAlign w:val="superscript"/>
    </w:rPr>
  </w:style>
  <w:style w:type="character" w:styleId="EndnoteReference">
    <w:name w:val="endnote reference"/>
    <w:basedOn w:val="DefaultParagraphFont"/>
    <w:rsid w:val="00AB33C2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CE515F"/>
    <w:rPr>
      <w:rFonts w:ascii="Arial" w:eastAsiaTheme="majorEastAsia" w:hAnsi="Arial" w:cstheme="majorBidi"/>
      <w:sz w:val="22"/>
      <w:u w:val="single"/>
    </w:rPr>
  </w:style>
  <w:style w:type="character" w:customStyle="1" w:styleId="Heading1Char">
    <w:name w:val="Heading 1 Char"/>
    <w:basedOn w:val="DefaultParagraphFont"/>
    <w:link w:val="Heading1"/>
    <w:rsid w:val="003C684D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styleId="CommentReference">
    <w:name w:val="annotation reference"/>
    <w:basedOn w:val="DefaultParagraphFont"/>
    <w:rsid w:val="001036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0363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363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10363F"/>
    <w:rPr>
      <w:rFonts w:ascii="Arial" w:hAnsi="Arial" w:cs="Arial"/>
      <w:b/>
      <w:bCs/>
      <w:sz w:val="18"/>
    </w:rPr>
  </w:style>
  <w:style w:type="paragraph" w:styleId="BalloonText">
    <w:name w:val="Balloon Text"/>
    <w:basedOn w:val="Normal"/>
    <w:link w:val="BalloonTextChar"/>
    <w:rsid w:val="001036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63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D4926"/>
    <w:rPr>
      <w:rFonts w:ascii="Arial" w:hAnsi="Arial" w:cs="Arial"/>
      <w:sz w:val="22"/>
    </w:rPr>
  </w:style>
  <w:style w:type="paragraph" w:customStyle="1" w:styleId="Endofdocument-Annex">
    <w:name w:val="[End of document - Annex]"/>
    <w:basedOn w:val="Normal"/>
    <w:rsid w:val="00E46572"/>
    <w:pPr>
      <w:ind w:left="5534"/>
    </w:pPr>
    <w:rPr>
      <w:rFonts w:eastAsia="SimSun"/>
      <w:lang w:eastAsia="zh-CN"/>
    </w:rPr>
  </w:style>
  <w:style w:type="character" w:styleId="Hyperlink">
    <w:name w:val="Hyperlink"/>
    <w:basedOn w:val="DefaultParagraphFont"/>
    <w:rsid w:val="00072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A601B-4D56-4443-BEBA-461683A0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4983</Words>
  <Characters>28444</Characters>
  <Application>Microsoft Office Word</Application>
  <DocSecurity>0</DocSecurity>
  <Lines>592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CWS/5/14 Annex (in French)</vt:lpstr>
    </vt:vector>
  </TitlesOfParts>
  <Company>World Intellectual Property Organization</Company>
  <LinksUpToDate>false</LinksUpToDate>
  <CharactersWithSpaces>33205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CWS/5/14 Annex (in French)</dc:title>
  <dc:subject>Applicant Name Standardization</dc:subject>
  <dc:creator>WIPO</dc:creator>
  <cp:keywords>CWS</cp:keywords>
  <cp:lastModifiedBy>ZAGO Bétina</cp:lastModifiedBy>
  <cp:revision>8</cp:revision>
  <cp:lastPrinted>2017-05-04T22:28:00Z</cp:lastPrinted>
  <dcterms:created xsi:type="dcterms:W3CDTF">2017-05-12T07:00:00Z</dcterms:created>
  <dcterms:modified xsi:type="dcterms:W3CDTF">2017-05-12T07:20:00Z</dcterms:modified>
</cp:coreProperties>
</file>