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9C" w:rsidRPr="00C23F0E" w:rsidRDefault="00AC00B9" w:rsidP="00275C61">
      <w:pPr>
        <w:pStyle w:val="Heading1"/>
        <w:spacing w:before="0" w:after="220"/>
        <w:rPr>
          <w:lang w:val="fr-FR"/>
        </w:rPr>
      </w:pPr>
      <w:bookmarkStart w:id="0" w:name="_GoBack"/>
      <w:bookmarkEnd w:id="0"/>
      <w:r w:rsidRPr="00C23F0E">
        <w:rPr>
          <w:lang w:val="fr-FR"/>
        </w:rPr>
        <w:t xml:space="preserve">Recommandations concernant </w:t>
      </w:r>
      <w:r w:rsidR="005213CD" w:rsidRPr="00C23F0E">
        <w:rPr>
          <w:lang w:val="fr-FR"/>
        </w:rPr>
        <w:t>des dispositions relatives au</w:t>
      </w:r>
      <w:r w:rsidRPr="00C23F0E">
        <w:rPr>
          <w:lang w:val="fr-FR"/>
        </w:rPr>
        <w:t xml:space="preserve"> passage de la norme</w:t>
      </w:r>
      <w:r w:rsidR="00A330AB" w:rsidRPr="00C23F0E">
        <w:rPr>
          <w:lang w:val="fr-FR"/>
        </w:rPr>
        <w:t> </w:t>
      </w:r>
      <w:r w:rsidRPr="00C23F0E">
        <w:rPr>
          <w:lang w:val="fr-FR"/>
        </w:rPr>
        <w:t>ST.25 à la norme</w:t>
      </w:r>
      <w:r w:rsidR="00A330AB" w:rsidRPr="00C23F0E">
        <w:rPr>
          <w:lang w:val="fr-FR"/>
        </w:rPr>
        <w:t> </w:t>
      </w:r>
      <w:r w:rsidRPr="00C23F0E">
        <w:rPr>
          <w:lang w:val="fr-FR"/>
        </w:rPr>
        <w:t>ST.26 de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OMPI</w:t>
      </w:r>
    </w:p>
    <w:p w:rsidR="00313AF1" w:rsidRPr="00C23F0E" w:rsidRDefault="005213CD" w:rsidP="001068B7">
      <w:pPr>
        <w:spacing w:after="220"/>
        <w:rPr>
          <w:lang w:val="fr-FR"/>
        </w:rPr>
      </w:pPr>
      <w:r w:rsidRPr="00C23F0E">
        <w:rPr>
          <w:i/>
          <w:lang w:val="fr-FR"/>
        </w:rPr>
        <w:t xml:space="preserve">Document </w:t>
      </w:r>
      <w:r w:rsidR="00AC00B9" w:rsidRPr="00C23F0E">
        <w:rPr>
          <w:i/>
          <w:lang w:val="fr-FR"/>
        </w:rPr>
        <w:t>établi par l</w:t>
      </w:r>
      <w:r w:rsidR="001D269C" w:rsidRPr="00C23F0E">
        <w:rPr>
          <w:i/>
          <w:lang w:val="fr-FR"/>
        </w:rPr>
        <w:t>’</w:t>
      </w:r>
      <w:r w:rsidR="00AC00B9" w:rsidRPr="00C23F0E">
        <w:rPr>
          <w:i/>
          <w:lang w:val="fr-FR"/>
        </w:rPr>
        <w:t>Office européen des brevets (OEB)</w:t>
      </w:r>
    </w:p>
    <w:p w:rsidR="00313AF1" w:rsidRDefault="00EE209A" w:rsidP="00275C61">
      <w:pPr>
        <w:pStyle w:val="Heading2"/>
        <w:spacing w:before="0"/>
        <w:rPr>
          <w:lang w:val="fr-FR"/>
        </w:rPr>
      </w:pPr>
      <w:r w:rsidRPr="00C23F0E">
        <w:rPr>
          <w:lang w:val="fr-FR"/>
        </w:rPr>
        <w:t>H</w:t>
      </w:r>
      <w:r w:rsidR="005213CD" w:rsidRPr="00C23F0E">
        <w:rPr>
          <w:lang w:val="fr-FR"/>
        </w:rPr>
        <w:t>istorique</w:t>
      </w:r>
    </w:p>
    <w:p w:rsidR="00313AF1" w:rsidRPr="00C23F0E" w:rsidRDefault="00AC00B9" w:rsidP="00275C61">
      <w:pPr>
        <w:pStyle w:val="ONUMFS"/>
        <w:rPr>
          <w:lang w:val="fr-FR"/>
        </w:rPr>
      </w:pPr>
      <w:r w:rsidRPr="00C23F0E">
        <w:rPr>
          <w:lang w:val="fr-FR"/>
        </w:rPr>
        <w:t>Le Comité des normes de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OMPI (CWS) a demandé à l</w:t>
      </w:r>
      <w:r w:rsidR="001D269C" w:rsidRPr="00C23F0E">
        <w:rPr>
          <w:lang w:val="fr-FR"/>
        </w:rPr>
        <w:t>’</w:t>
      </w:r>
      <w:r w:rsidR="009C5407" w:rsidRPr="00C23F0E">
        <w:rPr>
          <w:lang w:val="fr-FR"/>
        </w:rPr>
        <w:t>É</w:t>
      </w:r>
      <w:r w:rsidRPr="00C23F0E">
        <w:rPr>
          <w:lang w:val="fr-FR"/>
        </w:rPr>
        <w:t>quipe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 xml:space="preserve">experts chargée du listage des séquences de présenter une proposition </w:t>
      </w:r>
      <w:r w:rsidR="005E6C22" w:rsidRPr="00C23F0E">
        <w:rPr>
          <w:lang w:val="fr-FR"/>
        </w:rPr>
        <w:t>concernant</w:t>
      </w:r>
      <w:r w:rsidR="009C5407" w:rsidRPr="00C23F0E">
        <w:rPr>
          <w:lang w:val="fr-FR"/>
        </w:rPr>
        <w:t xml:space="preserve"> des</w:t>
      </w:r>
      <w:r w:rsidRPr="00C23F0E">
        <w:rPr>
          <w:lang w:val="fr-FR"/>
        </w:rPr>
        <w:t xml:space="preserve"> dispositions</w:t>
      </w:r>
      <w:r w:rsidR="00D86CC8" w:rsidRPr="00C23F0E">
        <w:rPr>
          <w:lang w:val="fr-FR"/>
        </w:rPr>
        <w:t xml:space="preserve"> transitoires</w:t>
      </w:r>
      <w:r w:rsidRPr="00C23F0E">
        <w:rPr>
          <w:lang w:val="fr-FR"/>
        </w:rPr>
        <w:t xml:space="preserve"> relatives au passage de la norme</w:t>
      </w:r>
      <w:r w:rsidR="00A330AB" w:rsidRPr="00C23F0E">
        <w:rPr>
          <w:lang w:val="fr-FR"/>
        </w:rPr>
        <w:t> </w:t>
      </w:r>
      <w:r w:rsidRPr="00C23F0E">
        <w:rPr>
          <w:lang w:val="fr-FR"/>
        </w:rPr>
        <w:t>ST.25 à la norme</w:t>
      </w:r>
      <w:r w:rsidR="00A330AB" w:rsidRPr="00C23F0E">
        <w:rPr>
          <w:lang w:val="fr-FR"/>
        </w:rPr>
        <w:t> </w:t>
      </w:r>
      <w:r w:rsidRPr="00C23F0E">
        <w:rPr>
          <w:lang w:val="fr-FR"/>
        </w:rPr>
        <w:t>ST.26 de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 xml:space="preserve">OMPI pour examen et approbation à sa session </w:t>
      </w:r>
      <w:r w:rsidR="005E6C22" w:rsidRPr="00C23F0E">
        <w:rPr>
          <w:lang w:val="fr-FR"/>
        </w:rPr>
        <w:t>d</w:t>
      </w:r>
      <w:r w:rsidR="001D269C" w:rsidRPr="00C23F0E">
        <w:rPr>
          <w:lang w:val="fr-FR"/>
        </w:rPr>
        <w:t>e 2017</w:t>
      </w:r>
      <w:r w:rsidRPr="00C23F0E">
        <w:rPr>
          <w:lang w:val="fr-FR"/>
        </w:rPr>
        <w:t>.</w:t>
      </w:r>
      <w:r w:rsidR="009275F0">
        <w:rPr>
          <w:lang w:val="fr-FR"/>
        </w:rPr>
        <w:t xml:space="preserve"> </w:t>
      </w:r>
      <w:r w:rsidR="005213CD" w:rsidRPr="00C23F0E">
        <w:rPr>
          <w:lang w:val="fr-FR"/>
        </w:rPr>
        <w:t>Suite à</w:t>
      </w:r>
      <w:r w:rsidR="00FA45ED" w:rsidRPr="00C23F0E">
        <w:rPr>
          <w:lang w:val="fr-FR"/>
        </w:rPr>
        <w:t xml:space="preserve"> l</w:t>
      </w:r>
      <w:r w:rsidR="001D269C" w:rsidRPr="00C23F0E">
        <w:rPr>
          <w:lang w:val="fr-FR"/>
        </w:rPr>
        <w:t>’</w:t>
      </w:r>
      <w:r w:rsidR="00FA45ED" w:rsidRPr="00C23F0E">
        <w:rPr>
          <w:lang w:val="fr-FR"/>
        </w:rPr>
        <w:t>adoption de la norme</w:t>
      </w:r>
      <w:r w:rsidR="00A330AB" w:rsidRPr="00C23F0E">
        <w:rPr>
          <w:lang w:val="fr-FR"/>
        </w:rPr>
        <w:t> </w:t>
      </w:r>
      <w:r w:rsidR="00FA45ED" w:rsidRPr="00C23F0E">
        <w:rPr>
          <w:lang w:val="fr-FR"/>
        </w:rPr>
        <w:t>ST.26 par</w:t>
      </w:r>
      <w:r w:rsidR="001D269C" w:rsidRPr="00C23F0E">
        <w:rPr>
          <w:lang w:val="fr-FR"/>
        </w:rPr>
        <w:t xml:space="preserve"> le CWS</w:t>
      </w:r>
      <w:r w:rsidR="00FA45ED" w:rsidRPr="00C23F0E">
        <w:rPr>
          <w:lang w:val="fr-FR"/>
        </w:rPr>
        <w:t xml:space="preserve"> </w:t>
      </w:r>
      <w:r w:rsidR="001D269C" w:rsidRPr="00C23F0E">
        <w:rPr>
          <w:lang w:val="fr-FR"/>
        </w:rPr>
        <w:t>en 2016</w:t>
      </w:r>
      <w:r w:rsidR="00FA45ED" w:rsidRPr="00C23F0E">
        <w:rPr>
          <w:lang w:val="fr-FR"/>
        </w:rPr>
        <w:t>, l</w:t>
      </w:r>
      <w:r w:rsidR="001D269C" w:rsidRPr="00C23F0E">
        <w:rPr>
          <w:lang w:val="fr-FR"/>
        </w:rPr>
        <w:t>’</w:t>
      </w:r>
      <w:r w:rsidR="00FA45ED" w:rsidRPr="00C23F0E">
        <w:rPr>
          <w:lang w:val="fr-FR"/>
        </w:rPr>
        <w:t>équipe d</w:t>
      </w:r>
      <w:r w:rsidR="001D269C" w:rsidRPr="00C23F0E">
        <w:rPr>
          <w:lang w:val="fr-FR"/>
        </w:rPr>
        <w:t>’</w:t>
      </w:r>
      <w:r w:rsidR="00FA45ED" w:rsidRPr="00C23F0E">
        <w:rPr>
          <w:lang w:val="fr-FR"/>
        </w:rPr>
        <w:t>experts a mené deux</w:t>
      </w:r>
      <w:r w:rsidR="00A330AB" w:rsidRPr="00C23F0E">
        <w:rPr>
          <w:lang w:val="fr-FR"/>
        </w:rPr>
        <w:t> </w:t>
      </w:r>
      <w:r w:rsidR="00FA45ED" w:rsidRPr="00C23F0E">
        <w:rPr>
          <w:lang w:val="fr-FR"/>
        </w:rPr>
        <w:t xml:space="preserve">séries de discussions consacrées </w:t>
      </w:r>
      <w:r w:rsidR="005213CD" w:rsidRPr="00C23F0E">
        <w:rPr>
          <w:lang w:val="fr-FR"/>
        </w:rPr>
        <w:t>au</w:t>
      </w:r>
      <w:r w:rsidR="00FA45ED" w:rsidRPr="00C23F0E">
        <w:rPr>
          <w:lang w:val="fr-FR"/>
        </w:rPr>
        <w:t xml:space="preserve"> passage de la norme</w:t>
      </w:r>
      <w:r w:rsidR="00A330AB" w:rsidRPr="00C23F0E">
        <w:rPr>
          <w:lang w:val="fr-FR"/>
        </w:rPr>
        <w:t> </w:t>
      </w:r>
      <w:r w:rsidR="00FA45ED" w:rsidRPr="00C23F0E">
        <w:rPr>
          <w:lang w:val="fr-FR"/>
        </w:rPr>
        <w:t>ST.25 à la norme</w:t>
      </w:r>
      <w:r w:rsidR="00A330AB" w:rsidRPr="00C23F0E">
        <w:rPr>
          <w:lang w:val="fr-FR"/>
        </w:rPr>
        <w:t> </w:t>
      </w:r>
      <w:r w:rsidR="00FA45ED" w:rsidRPr="00C23F0E">
        <w:rPr>
          <w:lang w:val="fr-FR"/>
        </w:rPr>
        <w:t>ST.26.</w:t>
      </w:r>
    </w:p>
    <w:p w:rsidR="00313AF1" w:rsidRPr="00C23F0E" w:rsidRDefault="00FA45ED" w:rsidP="00275C61">
      <w:pPr>
        <w:pStyle w:val="ONUMFS"/>
        <w:rPr>
          <w:lang w:val="fr-FR"/>
        </w:rPr>
      </w:pPr>
      <w:r w:rsidRPr="00C23F0E">
        <w:rPr>
          <w:lang w:val="fr-FR"/>
        </w:rPr>
        <w:t>Compte tenu de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 xml:space="preserve">intérêt </w:t>
      </w:r>
      <w:r w:rsidR="005213CD" w:rsidRPr="00C23F0E">
        <w:rPr>
          <w:lang w:val="fr-FR"/>
        </w:rPr>
        <w:t xml:space="preserve">que présente </w:t>
      </w:r>
      <w:r w:rsidR="00D86CC8" w:rsidRPr="00C23F0E">
        <w:rPr>
          <w:lang w:val="fr-FR"/>
        </w:rPr>
        <w:t>le passage de la norme</w:t>
      </w:r>
      <w:r w:rsidR="00A330AB" w:rsidRPr="00C23F0E">
        <w:rPr>
          <w:lang w:val="fr-FR"/>
        </w:rPr>
        <w:t> </w:t>
      </w:r>
      <w:r w:rsidR="00D86CC8" w:rsidRPr="00C23F0E">
        <w:rPr>
          <w:lang w:val="fr-FR"/>
        </w:rPr>
        <w:t>ST.25 à la norme</w:t>
      </w:r>
      <w:r w:rsidR="00A330AB" w:rsidRPr="00C23F0E">
        <w:rPr>
          <w:lang w:val="fr-FR"/>
        </w:rPr>
        <w:t> </w:t>
      </w:r>
      <w:r w:rsidR="00D86CC8" w:rsidRPr="00C23F0E">
        <w:rPr>
          <w:lang w:val="fr-FR"/>
        </w:rPr>
        <w:t>ST.26 de l</w:t>
      </w:r>
      <w:r w:rsidR="001D269C" w:rsidRPr="00C23F0E">
        <w:rPr>
          <w:lang w:val="fr-FR"/>
        </w:rPr>
        <w:t>’</w:t>
      </w:r>
      <w:r w:rsidR="00D86CC8" w:rsidRPr="00C23F0E">
        <w:rPr>
          <w:lang w:val="fr-FR"/>
        </w:rPr>
        <w:t xml:space="preserve">OMPI </w:t>
      </w:r>
      <w:r w:rsidRPr="00C23F0E">
        <w:rPr>
          <w:lang w:val="fr-FR"/>
        </w:rPr>
        <w:t>pour le Traité de coopération en matière de brevets (PCT),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équipe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experts a invité le Bureau international à consulter les membres</w:t>
      </w:r>
      <w:r w:rsidR="001D269C" w:rsidRPr="00C23F0E">
        <w:rPr>
          <w:lang w:val="fr-FR"/>
        </w:rPr>
        <w:t xml:space="preserve"> du PCT</w:t>
      </w:r>
      <w:r w:rsidRPr="00C23F0E">
        <w:rPr>
          <w:lang w:val="fr-FR"/>
        </w:rPr>
        <w:t xml:space="preserve"> afin de recueillir leurs </w:t>
      </w:r>
      <w:r w:rsidR="005213CD" w:rsidRPr="00C23F0E">
        <w:rPr>
          <w:lang w:val="fr-FR"/>
        </w:rPr>
        <w:t>observations sur le suj</w:t>
      </w:r>
      <w:r w:rsidR="009275F0">
        <w:rPr>
          <w:lang w:val="fr-FR"/>
        </w:rPr>
        <w:t xml:space="preserve">et. </w:t>
      </w:r>
      <w:r w:rsidR="00EE209A" w:rsidRPr="00C23F0E">
        <w:rPr>
          <w:lang w:val="fr-FR"/>
        </w:rPr>
        <w:t>Le</w:t>
      </w:r>
      <w:r w:rsidR="00613E9A" w:rsidRPr="00C23F0E">
        <w:rPr>
          <w:lang w:val="fr-FR"/>
        </w:rPr>
        <w:t xml:space="preserve"> Bureau international a </w:t>
      </w:r>
      <w:r w:rsidR="005E6C22" w:rsidRPr="00C23F0E">
        <w:rPr>
          <w:lang w:val="fr-FR"/>
        </w:rPr>
        <w:t>en</w:t>
      </w:r>
      <w:r w:rsidR="009C5407" w:rsidRPr="00C23F0E">
        <w:rPr>
          <w:lang w:val="fr-FR"/>
        </w:rPr>
        <w:t xml:space="preserve"> conséquen</w:t>
      </w:r>
      <w:r w:rsidR="005E6C22" w:rsidRPr="00C23F0E">
        <w:rPr>
          <w:lang w:val="fr-FR"/>
        </w:rPr>
        <w:t>ce</w:t>
      </w:r>
      <w:r w:rsidR="00613E9A" w:rsidRPr="00C23F0E">
        <w:rPr>
          <w:lang w:val="fr-FR"/>
        </w:rPr>
        <w:t xml:space="preserve"> </w:t>
      </w:r>
      <w:r w:rsidR="005213CD" w:rsidRPr="00C23F0E">
        <w:rPr>
          <w:lang w:val="fr-FR"/>
        </w:rPr>
        <w:t xml:space="preserve">envoyé </w:t>
      </w:r>
      <w:r w:rsidR="00613E9A" w:rsidRPr="00C23F0E">
        <w:rPr>
          <w:lang w:val="fr-FR"/>
        </w:rPr>
        <w:t>la circulaire C.</w:t>
      </w:r>
      <w:r w:rsidR="00A330AB" w:rsidRPr="00C23F0E">
        <w:rPr>
          <w:lang w:val="fr-FR"/>
        </w:rPr>
        <w:t> </w:t>
      </w:r>
      <w:r w:rsidR="00613E9A" w:rsidRPr="00C23F0E">
        <w:rPr>
          <w:lang w:val="fr-FR"/>
        </w:rPr>
        <w:t>PCT</w:t>
      </w:r>
      <w:r w:rsidR="00EE209A" w:rsidRPr="00C23F0E">
        <w:rPr>
          <w:lang w:val="fr-FR"/>
        </w:rPr>
        <w:t> </w:t>
      </w:r>
      <w:r w:rsidR="00613E9A" w:rsidRPr="00C23F0E">
        <w:rPr>
          <w:lang w:val="fr-FR"/>
        </w:rPr>
        <w:t>1485/C.</w:t>
      </w:r>
      <w:r w:rsidR="00EE209A" w:rsidRPr="00C23F0E">
        <w:rPr>
          <w:lang w:val="fr-FR"/>
        </w:rPr>
        <w:t> </w:t>
      </w:r>
      <w:r w:rsidR="00613E9A" w:rsidRPr="00C23F0E">
        <w:rPr>
          <w:lang w:val="fr-FR"/>
        </w:rPr>
        <w:t>CWS</w:t>
      </w:r>
      <w:r w:rsidR="00EE209A" w:rsidRPr="00C23F0E">
        <w:rPr>
          <w:lang w:val="fr-FR"/>
        </w:rPr>
        <w:t> </w:t>
      </w:r>
      <w:r w:rsidR="00613E9A" w:rsidRPr="00C23F0E">
        <w:rPr>
          <w:lang w:val="fr-FR"/>
        </w:rPr>
        <w:t>75.</w:t>
      </w:r>
      <w:r w:rsidR="00A330AB" w:rsidRPr="00C23F0E">
        <w:rPr>
          <w:lang w:val="fr-FR"/>
        </w:rPr>
        <w:t xml:space="preserve"> </w:t>
      </w:r>
      <w:r w:rsidR="005213CD" w:rsidRPr="00C23F0E">
        <w:rPr>
          <w:lang w:val="fr-FR"/>
        </w:rPr>
        <w:t>Il</w:t>
      </w:r>
      <w:r w:rsidR="00613E9A" w:rsidRPr="00C23F0E">
        <w:rPr>
          <w:lang w:val="fr-FR"/>
        </w:rPr>
        <w:t xml:space="preserve"> a </w:t>
      </w:r>
      <w:r w:rsidR="005213CD" w:rsidRPr="00C23F0E">
        <w:rPr>
          <w:lang w:val="fr-FR"/>
        </w:rPr>
        <w:t xml:space="preserve">ensuite </w:t>
      </w:r>
      <w:r w:rsidR="009C5407" w:rsidRPr="00C23F0E">
        <w:rPr>
          <w:lang w:val="fr-FR"/>
        </w:rPr>
        <w:t>communiqué</w:t>
      </w:r>
      <w:r w:rsidR="00613E9A" w:rsidRPr="00C23F0E">
        <w:rPr>
          <w:lang w:val="fr-FR"/>
        </w:rPr>
        <w:t xml:space="preserve"> </w:t>
      </w:r>
      <w:r w:rsidR="009C5407" w:rsidRPr="00C23F0E">
        <w:rPr>
          <w:lang w:val="fr-FR"/>
        </w:rPr>
        <w:t>tous les commentaires reçus en réponse</w:t>
      </w:r>
      <w:r w:rsidR="00613E9A" w:rsidRPr="00C23F0E">
        <w:rPr>
          <w:lang w:val="fr-FR"/>
        </w:rPr>
        <w:t xml:space="preserve"> à cette circulaire </w:t>
      </w:r>
      <w:r w:rsidR="009C5407" w:rsidRPr="00C23F0E">
        <w:rPr>
          <w:lang w:val="fr-FR"/>
        </w:rPr>
        <w:t>à</w:t>
      </w:r>
      <w:r w:rsidR="00613E9A" w:rsidRPr="00C23F0E">
        <w:rPr>
          <w:lang w:val="fr-FR"/>
        </w:rPr>
        <w:t xml:space="preserve"> l</w:t>
      </w:r>
      <w:r w:rsidR="001D269C" w:rsidRPr="00C23F0E">
        <w:rPr>
          <w:lang w:val="fr-FR"/>
        </w:rPr>
        <w:t>’</w:t>
      </w:r>
      <w:r w:rsidR="00613E9A" w:rsidRPr="00C23F0E">
        <w:rPr>
          <w:lang w:val="fr-FR"/>
        </w:rPr>
        <w:t>équipe d</w:t>
      </w:r>
      <w:r w:rsidR="001D269C" w:rsidRPr="00C23F0E">
        <w:rPr>
          <w:lang w:val="fr-FR"/>
        </w:rPr>
        <w:t>’</w:t>
      </w:r>
      <w:r w:rsidR="00613E9A" w:rsidRPr="00C23F0E">
        <w:rPr>
          <w:lang w:val="fr-FR"/>
        </w:rPr>
        <w:t xml:space="preserve">experts et a présenté une analyse </w:t>
      </w:r>
      <w:r w:rsidR="005213CD" w:rsidRPr="00C23F0E">
        <w:rPr>
          <w:lang w:val="fr-FR"/>
        </w:rPr>
        <w:t>des réponses</w:t>
      </w:r>
      <w:r w:rsidR="001D269C" w:rsidRPr="00C23F0E">
        <w:rPr>
          <w:lang w:val="fr-FR"/>
        </w:rPr>
        <w:t xml:space="preserve"> </w:t>
      </w:r>
      <w:r w:rsidR="005E6C22" w:rsidRPr="00C23F0E">
        <w:rPr>
          <w:lang w:val="fr-FR"/>
        </w:rPr>
        <w:t>à la Réunion des administrations internationales du PCT</w:t>
      </w:r>
      <w:r w:rsidR="00613E9A" w:rsidRPr="00C23F0E">
        <w:rPr>
          <w:lang w:val="fr-FR"/>
        </w:rPr>
        <w:t xml:space="preserve"> e</w:t>
      </w:r>
      <w:r w:rsidR="00D7005B" w:rsidRPr="00C23F0E">
        <w:rPr>
          <w:lang w:val="fr-FR"/>
        </w:rPr>
        <w:t>n</w:t>
      </w:r>
      <w:r w:rsidR="00613E9A" w:rsidRPr="00C23F0E">
        <w:rPr>
          <w:lang w:val="fr-FR"/>
        </w:rPr>
        <w:t xml:space="preserve"> </w:t>
      </w:r>
      <w:r w:rsidR="001D269C" w:rsidRPr="00C23F0E">
        <w:rPr>
          <w:lang w:val="fr-FR"/>
        </w:rPr>
        <w:t>février 20</w:t>
      </w:r>
      <w:r w:rsidR="00613E9A" w:rsidRPr="00C23F0E">
        <w:rPr>
          <w:lang w:val="fr-FR"/>
        </w:rPr>
        <w:t>17.</w:t>
      </w:r>
      <w:r w:rsidR="009275F0">
        <w:rPr>
          <w:lang w:val="fr-FR"/>
        </w:rPr>
        <w:t xml:space="preserve"> </w:t>
      </w:r>
      <w:r w:rsidR="005213CD" w:rsidRPr="00C23F0E">
        <w:rPr>
          <w:lang w:val="fr-FR"/>
        </w:rPr>
        <w:t>L</w:t>
      </w:r>
      <w:r w:rsidR="001D269C" w:rsidRPr="00C23F0E">
        <w:rPr>
          <w:lang w:val="fr-FR"/>
        </w:rPr>
        <w:t>’</w:t>
      </w:r>
      <w:r w:rsidR="003D0811" w:rsidRPr="00C23F0E">
        <w:rPr>
          <w:lang w:val="fr-FR"/>
        </w:rPr>
        <w:t>équipe d</w:t>
      </w:r>
      <w:r w:rsidR="001D269C" w:rsidRPr="00C23F0E">
        <w:rPr>
          <w:lang w:val="fr-FR"/>
        </w:rPr>
        <w:t>’</w:t>
      </w:r>
      <w:r w:rsidR="003D0811" w:rsidRPr="00C23F0E">
        <w:rPr>
          <w:lang w:val="fr-FR"/>
        </w:rPr>
        <w:t xml:space="preserve">experts </w:t>
      </w:r>
      <w:r w:rsidR="005213CD" w:rsidRPr="00C23F0E">
        <w:rPr>
          <w:lang w:val="fr-FR"/>
        </w:rPr>
        <w:t>a</w:t>
      </w:r>
      <w:r w:rsidR="003D0811" w:rsidRPr="00C23F0E">
        <w:rPr>
          <w:lang w:val="fr-FR"/>
        </w:rPr>
        <w:t xml:space="preserve"> également </w:t>
      </w:r>
      <w:r w:rsidR="005213CD" w:rsidRPr="00C23F0E">
        <w:rPr>
          <w:lang w:val="fr-FR"/>
        </w:rPr>
        <w:t>abordé la question du</w:t>
      </w:r>
      <w:r w:rsidR="003D0811" w:rsidRPr="00C23F0E">
        <w:rPr>
          <w:lang w:val="fr-FR"/>
        </w:rPr>
        <w:t xml:space="preserve"> passage d</w:t>
      </w:r>
      <w:r w:rsidR="001D269C" w:rsidRPr="00C23F0E">
        <w:rPr>
          <w:lang w:val="fr-FR"/>
        </w:rPr>
        <w:t>’</w:t>
      </w:r>
      <w:r w:rsidR="003D0811" w:rsidRPr="00C23F0E">
        <w:rPr>
          <w:lang w:val="fr-FR"/>
        </w:rPr>
        <w:t>une norme à l</w:t>
      </w:r>
      <w:r w:rsidR="001D269C" w:rsidRPr="00C23F0E">
        <w:rPr>
          <w:lang w:val="fr-FR"/>
        </w:rPr>
        <w:t>’</w:t>
      </w:r>
      <w:r w:rsidR="003D0811" w:rsidRPr="00C23F0E">
        <w:rPr>
          <w:lang w:val="fr-FR"/>
        </w:rPr>
        <w:t xml:space="preserve">autre au cours de plusieurs réunions </w:t>
      </w:r>
      <w:proofErr w:type="spellStart"/>
      <w:r w:rsidR="003D0811" w:rsidRPr="00C23F0E">
        <w:rPr>
          <w:lang w:val="fr-FR"/>
        </w:rPr>
        <w:t>WebEx</w:t>
      </w:r>
      <w:proofErr w:type="spellEnd"/>
      <w:r w:rsidR="003D0811" w:rsidRPr="00C23F0E">
        <w:rPr>
          <w:lang w:val="fr-FR"/>
        </w:rPr>
        <w:t xml:space="preserve"> et sur son forum électronique.</w:t>
      </w:r>
    </w:p>
    <w:p w:rsidR="00313AF1" w:rsidRDefault="003D0811" w:rsidP="00275C61">
      <w:pPr>
        <w:pStyle w:val="Heading2"/>
        <w:spacing w:before="0"/>
        <w:rPr>
          <w:lang w:val="fr-FR"/>
        </w:rPr>
      </w:pPr>
      <w:r w:rsidRPr="00C23F0E">
        <w:rPr>
          <w:lang w:val="fr-FR"/>
        </w:rPr>
        <w:t>Recommandations de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équipe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experts</w:t>
      </w:r>
    </w:p>
    <w:p w:rsidR="00313AF1" w:rsidRPr="00C23F0E" w:rsidRDefault="004B3FF3" w:rsidP="00275C61">
      <w:pPr>
        <w:pStyle w:val="ONUMFS"/>
        <w:rPr>
          <w:lang w:val="fr-FR"/>
        </w:rPr>
      </w:pPr>
      <w:r w:rsidRPr="00C23F0E">
        <w:rPr>
          <w:lang w:val="fr-FR"/>
        </w:rPr>
        <w:t>Suite à la demande</w:t>
      </w:r>
      <w:r w:rsidR="001D269C" w:rsidRPr="00C23F0E">
        <w:rPr>
          <w:lang w:val="fr-FR"/>
        </w:rPr>
        <w:t xml:space="preserve"> du CWS</w:t>
      </w:r>
      <w:r w:rsidRPr="00C23F0E">
        <w:rPr>
          <w:lang w:val="fr-FR"/>
        </w:rPr>
        <w:t xml:space="preserve"> et compte tenu d</w:t>
      </w:r>
      <w:r w:rsidR="00D7005B" w:rsidRPr="00C23F0E">
        <w:rPr>
          <w:lang w:val="fr-FR"/>
        </w:rPr>
        <w:t>es</w:t>
      </w:r>
      <w:r w:rsidRPr="00C23F0E">
        <w:rPr>
          <w:lang w:val="fr-FR"/>
        </w:rPr>
        <w:t xml:space="preserve"> résultat</w:t>
      </w:r>
      <w:r w:rsidR="00D7005B" w:rsidRPr="00C23F0E">
        <w:rPr>
          <w:lang w:val="fr-FR"/>
        </w:rPr>
        <w:t>s</w:t>
      </w:r>
      <w:r w:rsidRPr="00C23F0E">
        <w:rPr>
          <w:lang w:val="fr-FR"/>
        </w:rPr>
        <w:t xml:space="preserve"> de la consultation menée par le Bureau international </w:t>
      </w:r>
      <w:r w:rsidR="00560AFD" w:rsidRPr="00C23F0E">
        <w:rPr>
          <w:lang w:val="fr-FR"/>
        </w:rPr>
        <w:t>au moyen de</w:t>
      </w:r>
      <w:r w:rsidRPr="00C23F0E">
        <w:rPr>
          <w:lang w:val="fr-FR"/>
        </w:rPr>
        <w:t xml:space="preserve"> la circulaire, l</w:t>
      </w:r>
      <w:r w:rsidR="001D269C" w:rsidRPr="00C23F0E">
        <w:rPr>
          <w:lang w:val="fr-FR"/>
        </w:rPr>
        <w:t>’</w:t>
      </w:r>
      <w:r w:rsidR="00560AFD" w:rsidRPr="00C23F0E">
        <w:rPr>
          <w:lang w:val="fr-FR"/>
        </w:rPr>
        <w:t>É</w:t>
      </w:r>
      <w:r w:rsidRPr="00C23F0E">
        <w:rPr>
          <w:lang w:val="fr-FR"/>
        </w:rPr>
        <w:t>quipe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experts chargée du listage des séquences recommande</w:t>
      </w:r>
      <w:r w:rsidR="001D269C" w:rsidRPr="00C23F0E">
        <w:rPr>
          <w:lang w:val="fr-FR"/>
        </w:rPr>
        <w:t> :</w:t>
      </w:r>
    </w:p>
    <w:p w:rsidR="00313AF1" w:rsidRDefault="004B3FF3" w:rsidP="00275C61">
      <w:pPr>
        <w:pStyle w:val="Heading3"/>
        <w:spacing w:before="0"/>
        <w:rPr>
          <w:u w:val="none"/>
          <w:lang w:val="fr-FR"/>
        </w:rPr>
      </w:pPr>
      <w:r w:rsidRPr="00C23F0E">
        <w:rPr>
          <w:lang w:val="fr-FR"/>
        </w:rPr>
        <w:t>Scénarios concernant le passage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une norme à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autre</w:t>
      </w:r>
      <w:r w:rsidR="00F52A30" w:rsidRPr="00C23F0E">
        <w:rPr>
          <w:u w:val="none"/>
          <w:lang w:val="fr-FR"/>
        </w:rPr>
        <w:t> :</w:t>
      </w:r>
    </w:p>
    <w:p w:rsidR="001D269C" w:rsidRPr="00C23F0E" w:rsidRDefault="00D71FCD" w:rsidP="00275C61">
      <w:pPr>
        <w:pStyle w:val="ONUMFS"/>
        <w:rPr>
          <w:lang w:val="fr-FR"/>
        </w:rPr>
      </w:pPr>
      <w:r w:rsidRPr="00C23F0E">
        <w:rPr>
          <w:lang w:val="fr-FR"/>
        </w:rPr>
        <w:t>Conformément à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 xml:space="preserve">opinion </w:t>
      </w:r>
      <w:r w:rsidR="009F0833" w:rsidRPr="00C23F0E">
        <w:rPr>
          <w:lang w:val="fr-FR"/>
        </w:rPr>
        <w:t>dont font état</w:t>
      </w:r>
      <w:r w:rsidRPr="00C23F0E">
        <w:rPr>
          <w:lang w:val="fr-FR"/>
        </w:rPr>
        <w:t xml:space="preserve"> les réponses des offices à la circulaire qui leur </w:t>
      </w:r>
      <w:r w:rsidR="00D86CC8" w:rsidRPr="00C23F0E">
        <w:rPr>
          <w:lang w:val="fr-FR"/>
        </w:rPr>
        <w:t xml:space="preserve">a été envoyée, </w:t>
      </w:r>
      <w:r w:rsidRPr="00C23F0E">
        <w:rPr>
          <w:lang w:val="fr-FR"/>
        </w:rPr>
        <w:t>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équipe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experts est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avis que le scénario d</w:t>
      </w:r>
      <w:r w:rsidR="005E6C22" w:rsidRPr="00C23F0E">
        <w:rPr>
          <w:lang w:val="fr-FR"/>
        </w:rPr>
        <w:t>it du</w:t>
      </w:r>
      <w:r w:rsidRPr="00C23F0E">
        <w:rPr>
          <w:lang w:val="fr-FR"/>
        </w:rPr>
        <w:t xml:space="preserve"> “</w:t>
      </w:r>
      <w:proofErr w:type="spellStart"/>
      <w:r w:rsidRPr="00C23F0E">
        <w:rPr>
          <w:lang w:val="fr-FR"/>
        </w:rPr>
        <w:t>big</w:t>
      </w:r>
      <w:proofErr w:type="spellEnd"/>
      <w:r w:rsidRPr="00C23F0E">
        <w:rPr>
          <w:lang w:val="fr-FR"/>
        </w:rPr>
        <w:t xml:space="preserve"> bang” est la meilleure option étant donné qu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elle semble offrir la plus grande sécurité juridique aux déposants et aux offic</w:t>
      </w:r>
      <w:r w:rsidR="00EE209A" w:rsidRPr="00C23F0E">
        <w:rPr>
          <w:lang w:val="fr-FR"/>
        </w:rPr>
        <w:t>es. To</w:t>
      </w:r>
      <w:r w:rsidRPr="00C23F0E">
        <w:rPr>
          <w:lang w:val="fr-FR"/>
        </w:rPr>
        <w:t xml:space="preserve">us les offices devraient </w:t>
      </w:r>
      <w:r w:rsidR="009F0833" w:rsidRPr="00C23F0E">
        <w:rPr>
          <w:lang w:val="fr-FR"/>
        </w:rPr>
        <w:t>ainsi</w:t>
      </w:r>
      <w:r w:rsidRPr="00C23F0E">
        <w:rPr>
          <w:lang w:val="fr-FR"/>
        </w:rPr>
        <w:t xml:space="preserve"> convenir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une date pour le passage de la norme</w:t>
      </w:r>
      <w:r w:rsidR="00A330AB" w:rsidRPr="00C23F0E">
        <w:rPr>
          <w:lang w:val="fr-FR"/>
        </w:rPr>
        <w:t> </w:t>
      </w:r>
      <w:r w:rsidRPr="00C23F0E">
        <w:rPr>
          <w:lang w:val="fr-FR"/>
        </w:rPr>
        <w:t>ST.25 à la norme</w:t>
      </w:r>
      <w:r w:rsidR="00A330AB" w:rsidRPr="00C23F0E">
        <w:rPr>
          <w:lang w:val="fr-FR"/>
        </w:rPr>
        <w:t> </w:t>
      </w:r>
      <w:r w:rsidRPr="00C23F0E">
        <w:rPr>
          <w:lang w:val="fr-FR"/>
        </w:rPr>
        <w:t xml:space="preserve">ST.26 pour le dépôt des listages des séquences </w:t>
      </w:r>
      <w:r w:rsidR="009F0833" w:rsidRPr="00C23F0E">
        <w:rPr>
          <w:lang w:val="fr-FR"/>
        </w:rPr>
        <w:t>d</w:t>
      </w:r>
      <w:r w:rsidR="005E6C22" w:rsidRPr="00C23F0E">
        <w:rPr>
          <w:lang w:val="fr-FR"/>
        </w:rPr>
        <w:t>ans l</w:t>
      </w:r>
      <w:r w:rsidR="009F0833" w:rsidRPr="00C23F0E">
        <w:rPr>
          <w:lang w:val="fr-FR"/>
        </w:rPr>
        <w:t>es</w:t>
      </w:r>
      <w:r w:rsidRPr="00C23F0E">
        <w:rPr>
          <w:lang w:val="fr-FR"/>
        </w:rPr>
        <w:t xml:space="preserve"> nouvelles demandes (“date d</w:t>
      </w:r>
      <w:r w:rsidR="005E6C22" w:rsidRPr="00C23F0E">
        <w:rPr>
          <w:lang w:val="fr-FR"/>
        </w:rPr>
        <w:t>e</w:t>
      </w:r>
      <w:r w:rsidRPr="00C23F0E">
        <w:rPr>
          <w:lang w:val="fr-FR"/>
        </w:rPr>
        <w:t xml:space="preserve"> </w:t>
      </w:r>
      <w:r w:rsidR="005E6C22" w:rsidRPr="00C23F0E">
        <w:rPr>
          <w:lang w:val="fr-FR"/>
        </w:rPr>
        <w:t>transition</w:t>
      </w:r>
      <w:r w:rsidRPr="00C23F0E">
        <w:rPr>
          <w:lang w:val="fr-FR"/>
        </w:rPr>
        <w:t>”).</w:t>
      </w:r>
    </w:p>
    <w:p w:rsidR="00313AF1" w:rsidRPr="00275C61" w:rsidRDefault="003B0842" w:rsidP="00275C61">
      <w:pPr>
        <w:pStyle w:val="Heading3"/>
        <w:spacing w:before="0"/>
        <w:rPr>
          <w:lang w:val="fr-FR"/>
        </w:rPr>
      </w:pPr>
      <w:r>
        <w:rPr>
          <w:lang w:val="fr-FR"/>
        </w:rPr>
        <w:t>D</w:t>
      </w:r>
      <w:r w:rsidR="00B66EFA" w:rsidRPr="00C23F0E">
        <w:rPr>
          <w:lang w:val="fr-FR"/>
        </w:rPr>
        <w:t>emandes internationales déposées après la date d</w:t>
      </w:r>
      <w:r w:rsidR="005E6C22" w:rsidRPr="00C23F0E">
        <w:rPr>
          <w:lang w:val="fr-FR"/>
        </w:rPr>
        <w:t>e transition</w:t>
      </w:r>
      <w:r w:rsidR="00B66EFA" w:rsidRPr="00C23F0E">
        <w:rPr>
          <w:lang w:val="fr-FR"/>
        </w:rPr>
        <w:t xml:space="preserve"> revendiquant la priorité </w:t>
      </w:r>
      <w:r w:rsidR="005E6C22" w:rsidRPr="00C23F0E">
        <w:rPr>
          <w:lang w:val="fr-FR"/>
        </w:rPr>
        <w:t>d’</w:t>
      </w:r>
      <w:r w:rsidR="00B66EFA" w:rsidRPr="00C23F0E">
        <w:rPr>
          <w:lang w:val="fr-FR"/>
        </w:rPr>
        <w:t xml:space="preserve">une demande </w:t>
      </w:r>
      <w:r w:rsidR="005E6C22" w:rsidRPr="00C23F0E">
        <w:rPr>
          <w:lang w:val="fr-FR"/>
        </w:rPr>
        <w:t>contenant</w:t>
      </w:r>
      <w:r w:rsidR="00B66EFA" w:rsidRPr="00C23F0E">
        <w:rPr>
          <w:lang w:val="fr-FR"/>
        </w:rPr>
        <w:t xml:space="preserve"> un listage des séquences déposé </w:t>
      </w:r>
      <w:r w:rsidR="009F0833" w:rsidRPr="00C23F0E">
        <w:rPr>
          <w:lang w:val="fr-FR"/>
        </w:rPr>
        <w:t>selon</w:t>
      </w:r>
      <w:r w:rsidR="00B66EFA" w:rsidRPr="00C23F0E">
        <w:rPr>
          <w:lang w:val="fr-FR"/>
        </w:rPr>
        <w:t xml:space="preserve"> la norme</w:t>
      </w:r>
      <w:r w:rsidR="00A330AB" w:rsidRPr="00C23F0E">
        <w:rPr>
          <w:lang w:val="fr-FR"/>
        </w:rPr>
        <w:t> </w:t>
      </w:r>
      <w:r w:rsidR="00B66EFA" w:rsidRPr="00C23F0E">
        <w:rPr>
          <w:lang w:val="fr-FR"/>
        </w:rPr>
        <w:t>ST.25</w:t>
      </w:r>
      <w:r w:rsidR="001D269C" w:rsidRPr="00275C61">
        <w:rPr>
          <w:lang w:val="fr-FR"/>
        </w:rPr>
        <w:t> :</w:t>
      </w:r>
    </w:p>
    <w:p w:rsidR="001D269C" w:rsidRPr="00C23F0E" w:rsidRDefault="00537880" w:rsidP="00275C61">
      <w:pPr>
        <w:pStyle w:val="ONUMFS"/>
        <w:rPr>
          <w:lang w:val="fr-FR"/>
        </w:rPr>
      </w:pPr>
      <w:r w:rsidRPr="00C23F0E">
        <w:rPr>
          <w:lang w:val="fr-FR"/>
        </w:rPr>
        <w:t xml:space="preserve">Les réponses à la circulaire </w:t>
      </w:r>
      <w:r w:rsidR="009F0833" w:rsidRPr="00C23F0E">
        <w:rPr>
          <w:lang w:val="fr-FR"/>
        </w:rPr>
        <w:t>exprimaient des points de vue divergent</w:t>
      </w:r>
      <w:r w:rsidR="002F1F0C" w:rsidRPr="00C23F0E">
        <w:rPr>
          <w:lang w:val="fr-FR"/>
        </w:rPr>
        <w:t>s</w:t>
      </w:r>
      <w:r w:rsidR="009F0833" w:rsidRPr="00C23F0E">
        <w:rPr>
          <w:lang w:val="fr-FR"/>
        </w:rPr>
        <w:t xml:space="preserve"> </w:t>
      </w:r>
      <w:r w:rsidR="002F1F0C" w:rsidRPr="00C23F0E">
        <w:rPr>
          <w:lang w:val="fr-FR"/>
        </w:rPr>
        <w:t xml:space="preserve">quant à </w:t>
      </w:r>
      <w:r w:rsidRPr="00C23F0E">
        <w:rPr>
          <w:lang w:val="fr-FR"/>
        </w:rPr>
        <w:t>la date d</w:t>
      </w:r>
      <w:r w:rsidR="005E6C22" w:rsidRPr="00C23F0E">
        <w:rPr>
          <w:lang w:val="fr-FR"/>
        </w:rPr>
        <w:t>e transition</w:t>
      </w:r>
      <w:r w:rsidR="00D86CC8" w:rsidRPr="00C23F0E">
        <w:rPr>
          <w:lang w:val="fr-FR"/>
        </w:rPr>
        <w:t xml:space="preserve">, </w:t>
      </w:r>
      <w:r w:rsidR="005E6C22" w:rsidRPr="00C23F0E">
        <w:rPr>
          <w:lang w:val="fr-FR"/>
        </w:rPr>
        <w:t xml:space="preserve">s’agissant de savoir </w:t>
      </w:r>
      <w:r w:rsidR="00D86CC8" w:rsidRPr="00C23F0E">
        <w:rPr>
          <w:lang w:val="fr-FR"/>
        </w:rPr>
        <w:t>si elle</w:t>
      </w:r>
      <w:r w:rsidRPr="00C23F0E">
        <w:rPr>
          <w:lang w:val="fr-FR"/>
        </w:rPr>
        <w:t xml:space="preserve"> devrait être déterminée par rapport à la date d</w:t>
      </w:r>
      <w:r w:rsidR="005E6C22" w:rsidRPr="00C23F0E">
        <w:rPr>
          <w:lang w:val="fr-FR"/>
        </w:rPr>
        <w:t>e</w:t>
      </w:r>
      <w:r w:rsidRPr="00C23F0E">
        <w:rPr>
          <w:lang w:val="fr-FR"/>
        </w:rPr>
        <w:t xml:space="preserve"> dépôt international des demandes internationales</w:t>
      </w:r>
      <w:r w:rsidR="005E6C22" w:rsidRPr="00C23F0E">
        <w:rPr>
          <w:lang w:val="fr-FR"/>
        </w:rPr>
        <w:t xml:space="preserve"> ou à</w:t>
      </w:r>
      <w:r w:rsidRPr="00C23F0E">
        <w:rPr>
          <w:lang w:val="fr-FR"/>
        </w:rPr>
        <w:t xml:space="preserve"> la date de priorité ou si </w:t>
      </w:r>
      <w:r w:rsidR="002F1F0C" w:rsidRPr="00C23F0E">
        <w:rPr>
          <w:lang w:val="fr-FR"/>
        </w:rPr>
        <w:t>le choix devrait être laissé aux déposants</w:t>
      </w:r>
      <w:r w:rsidRPr="00C23F0E">
        <w:rPr>
          <w:lang w:val="fr-FR"/>
        </w:rPr>
        <w:t>.</w:t>
      </w:r>
    </w:p>
    <w:p w:rsidR="00313AF1" w:rsidRPr="00C23F0E" w:rsidRDefault="00874E6F" w:rsidP="00275C61">
      <w:pPr>
        <w:pStyle w:val="ONUMFS"/>
        <w:rPr>
          <w:lang w:val="fr-FR"/>
        </w:rPr>
      </w:pPr>
      <w:r w:rsidRPr="00C23F0E">
        <w:rPr>
          <w:lang w:val="fr-FR"/>
        </w:rPr>
        <w:t xml:space="preserve">Suite à une analyse </w:t>
      </w:r>
      <w:r w:rsidR="005E6C22" w:rsidRPr="00C23F0E">
        <w:rPr>
          <w:lang w:val="fr-FR"/>
        </w:rPr>
        <w:t>détaillée</w:t>
      </w:r>
      <w:r w:rsidRPr="00C23F0E">
        <w:rPr>
          <w:lang w:val="fr-FR"/>
        </w:rPr>
        <w:t xml:space="preserve"> des avantages et des </w:t>
      </w:r>
      <w:r w:rsidR="009C5407" w:rsidRPr="00C23F0E">
        <w:rPr>
          <w:lang w:val="fr-FR"/>
        </w:rPr>
        <w:t xml:space="preserve">inconvénients </w:t>
      </w:r>
      <w:r w:rsidR="002F1F0C" w:rsidRPr="00C23F0E">
        <w:rPr>
          <w:lang w:val="fr-FR"/>
        </w:rPr>
        <w:t>de ces</w:t>
      </w:r>
      <w:r w:rsidR="009C5407" w:rsidRPr="00C23F0E">
        <w:rPr>
          <w:lang w:val="fr-FR"/>
        </w:rPr>
        <w:t xml:space="preserve"> trois</w:t>
      </w:r>
      <w:r w:rsidR="00A330AB" w:rsidRPr="00C23F0E">
        <w:rPr>
          <w:lang w:val="fr-FR"/>
        </w:rPr>
        <w:t> </w:t>
      </w:r>
      <w:r w:rsidR="009C5407" w:rsidRPr="00C23F0E">
        <w:rPr>
          <w:lang w:val="fr-FR"/>
        </w:rPr>
        <w:t>options</w:t>
      </w:r>
      <w:r w:rsidRPr="00C23F0E">
        <w:rPr>
          <w:lang w:val="fr-FR"/>
        </w:rPr>
        <w:t xml:space="preserve"> </w:t>
      </w:r>
      <w:r w:rsidR="009C5407" w:rsidRPr="00C23F0E">
        <w:rPr>
          <w:lang w:val="fr-FR"/>
        </w:rPr>
        <w:t>et</w:t>
      </w:r>
      <w:r w:rsidRPr="00C23F0E">
        <w:rPr>
          <w:lang w:val="fr-FR"/>
        </w:rPr>
        <w:t xml:space="preserve"> des réponses fournies </w:t>
      </w:r>
      <w:r w:rsidR="005E6C22" w:rsidRPr="00C23F0E">
        <w:rPr>
          <w:lang w:val="fr-FR"/>
        </w:rPr>
        <w:t>à la Réunion des administrations internationales du PCT</w:t>
      </w:r>
      <w:r w:rsidRPr="00C23F0E">
        <w:rPr>
          <w:lang w:val="fr-FR"/>
        </w:rPr>
        <w:t xml:space="preserve"> </w:t>
      </w:r>
      <w:r w:rsidR="009C5407" w:rsidRPr="00C23F0E">
        <w:rPr>
          <w:lang w:val="fr-FR"/>
        </w:rPr>
        <w:t>en</w:t>
      </w:r>
      <w:r w:rsidRPr="00C23F0E">
        <w:rPr>
          <w:lang w:val="fr-FR"/>
        </w:rPr>
        <w:t xml:space="preserve"> février (voir les </w:t>
      </w:r>
      <w:r w:rsidR="001D269C" w:rsidRPr="00C23F0E">
        <w:rPr>
          <w:lang w:val="fr-FR"/>
        </w:rPr>
        <w:t>paragraphes 6</w:t>
      </w:r>
      <w:r w:rsidRPr="00C23F0E">
        <w:rPr>
          <w:lang w:val="fr-FR"/>
        </w:rPr>
        <w:t>5 à 67 du document PCT/MIA/24/15),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équipe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experts a provisoirement décidé que la date d</w:t>
      </w:r>
      <w:r w:rsidR="005E6C22" w:rsidRPr="00C23F0E">
        <w:rPr>
          <w:lang w:val="fr-FR"/>
        </w:rPr>
        <w:t>u</w:t>
      </w:r>
      <w:r w:rsidRPr="00C23F0E">
        <w:rPr>
          <w:lang w:val="fr-FR"/>
        </w:rPr>
        <w:t xml:space="preserve"> dépôt international serait la plus appropriée, sous réserve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 xml:space="preserve">une analyse plus approfondie </w:t>
      </w:r>
      <w:r w:rsidR="005E6C22" w:rsidRPr="00C23F0E">
        <w:rPr>
          <w:lang w:val="fr-FR"/>
        </w:rPr>
        <w:t xml:space="preserve">visant à </w:t>
      </w:r>
      <w:r w:rsidR="002F1F0C" w:rsidRPr="00C23F0E">
        <w:rPr>
          <w:lang w:val="fr-FR"/>
        </w:rPr>
        <w:t>examiner</w:t>
      </w:r>
      <w:r w:rsidRPr="00C23F0E">
        <w:rPr>
          <w:lang w:val="fr-FR"/>
        </w:rPr>
        <w:t xml:space="preserve"> les éventuelles questions </w:t>
      </w:r>
      <w:r w:rsidR="002F1F0C" w:rsidRPr="00C23F0E">
        <w:rPr>
          <w:lang w:val="fr-FR"/>
        </w:rPr>
        <w:t>relatives aux</w:t>
      </w:r>
      <w:r w:rsidRPr="00C23F0E">
        <w:rPr>
          <w:lang w:val="fr-FR"/>
        </w:rPr>
        <w:t xml:space="preserve"> éléments ajoutés ou supprimés </w:t>
      </w:r>
      <w:r w:rsidR="005E6C22" w:rsidRPr="00C23F0E">
        <w:rPr>
          <w:lang w:val="fr-FR"/>
        </w:rPr>
        <w:t>du fait</w:t>
      </w:r>
      <w:r w:rsidRPr="00C23F0E">
        <w:rPr>
          <w:lang w:val="fr-FR"/>
        </w:rPr>
        <w:t xml:space="preserve"> de la conversion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un listage des séquences de la norme</w:t>
      </w:r>
      <w:r w:rsidR="00A330AB" w:rsidRPr="00C23F0E">
        <w:rPr>
          <w:lang w:val="fr-FR"/>
        </w:rPr>
        <w:t> </w:t>
      </w:r>
      <w:r w:rsidRPr="00C23F0E">
        <w:rPr>
          <w:lang w:val="fr-FR"/>
        </w:rPr>
        <w:t>ST.25</w:t>
      </w:r>
      <w:r w:rsidR="002F1F0C" w:rsidRPr="00C23F0E">
        <w:rPr>
          <w:lang w:val="fr-FR"/>
        </w:rPr>
        <w:t xml:space="preserve"> à la norme</w:t>
      </w:r>
      <w:r w:rsidR="00A330AB" w:rsidRPr="00C23F0E">
        <w:rPr>
          <w:lang w:val="fr-FR"/>
        </w:rPr>
        <w:t> </w:t>
      </w:r>
      <w:r w:rsidR="002F1F0C" w:rsidRPr="00C23F0E">
        <w:rPr>
          <w:lang w:val="fr-FR"/>
        </w:rPr>
        <w:t>ST.26</w:t>
      </w:r>
      <w:r w:rsidRPr="00C23F0E">
        <w:rPr>
          <w:lang w:val="fr-FR"/>
        </w:rPr>
        <w:t xml:space="preserve"> et sous réserve qu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un outil d</w:t>
      </w:r>
      <w:r w:rsidR="005E6C22" w:rsidRPr="00C23F0E">
        <w:rPr>
          <w:lang w:val="fr-FR"/>
        </w:rPr>
        <w:t>’édition</w:t>
      </w:r>
      <w:r w:rsidRPr="00C23F0E">
        <w:rPr>
          <w:lang w:val="fr-FR"/>
        </w:rPr>
        <w:t xml:space="preserve"> et de validation </w:t>
      </w:r>
      <w:r w:rsidR="002F1F0C" w:rsidRPr="00C23F0E">
        <w:rPr>
          <w:lang w:val="fr-FR"/>
        </w:rPr>
        <w:t>puisse être utilisé</w:t>
      </w:r>
      <w:r w:rsidRPr="00C23F0E">
        <w:rPr>
          <w:lang w:val="fr-FR"/>
        </w:rPr>
        <w:t xml:space="preserve"> pour faciliter la conversion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 xml:space="preserve">un listage des séquences </w:t>
      </w:r>
      <w:r w:rsidR="002F1F0C" w:rsidRPr="00C23F0E">
        <w:rPr>
          <w:lang w:val="fr-FR"/>
        </w:rPr>
        <w:t>d</w:t>
      </w:r>
      <w:r w:rsidR="001D269C" w:rsidRPr="00C23F0E">
        <w:rPr>
          <w:lang w:val="fr-FR"/>
        </w:rPr>
        <w:t>’</w:t>
      </w:r>
      <w:r w:rsidR="002F1F0C" w:rsidRPr="00C23F0E">
        <w:rPr>
          <w:lang w:val="fr-FR"/>
        </w:rPr>
        <w:t>une norme à l</w:t>
      </w:r>
      <w:r w:rsidR="001D269C" w:rsidRPr="00C23F0E">
        <w:rPr>
          <w:lang w:val="fr-FR"/>
        </w:rPr>
        <w:t>’</w:t>
      </w:r>
      <w:r w:rsidR="002F1F0C" w:rsidRPr="00C23F0E">
        <w:rPr>
          <w:lang w:val="fr-FR"/>
        </w:rPr>
        <w:t>autre</w:t>
      </w:r>
      <w:r w:rsidRPr="00C23F0E">
        <w:rPr>
          <w:lang w:val="fr-FR"/>
        </w:rPr>
        <w:t xml:space="preserve"> sans </w:t>
      </w:r>
      <w:r w:rsidR="009C5407" w:rsidRPr="00C23F0E">
        <w:rPr>
          <w:lang w:val="fr-FR"/>
        </w:rPr>
        <w:t>que</w:t>
      </w:r>
      <w:r w:rsidRPr="00C23F0E">
        <w:rPr>
          <w:lang w:val="fr-FR"/>
        </w:rPr>
        <w:t xml:space="preserve"> des éléments</w:t>
      </w:r>
      <w:r w:rsidR="009C5407" w:rsidRPr="00C23F0E">
        <w:rPr>
          <w:lang w:val="fr-FR"/>
        </w:rPr>
        <w:t xml:space="preserve"> soient ajoutés ou supprim</w:t>
      </w:r>
      <w:r w:rsidR="009275F0">
        <w:rPr>
          <w:lang w:val="fr-FR"/>
        </w:rPr>
        <w:t xml:space="preserve">és. </w:t>
      </w:r>
      <w:r w:rsidR="00EE209A" w:rsidRPr="00C23F0E">
        <w:rPr>
          <w:lang w:val="fr-FR"/>
        </w:rPr>
        <w:t>Un</w:t>
      </w:r>
      <w:r w:rsidRPr="00C23F0E">
        <w:rPr>
          <w:lang w:val="fr-FR"/>
        </w:rPr>
        <w:t xml:space="preserve"> document est en cours de préparation pour effec</w:t>
      </w:r>
      <w:r w:rsidR="005E6C22" w:rsidRPr="00C23F0E">
        <w:rPr>
          <w:lang w:val="fr-FR"/>
        </w:rPr>
        <w:t>tuer cette analyse et formuler d</w:t>
      </w:r>
      <w:r w:rsidRPr="00C23F0E">
        <w:rPr>
          <w:lang w:val="fr-FR"/>
        </w:rPr>
        <w:t>es recommandations appropriées à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usage des déposants.</w:t>
      </w:r>
    </w:p>
    <w:p w:rsidR="00313AF1" w:rsidRPr="00C23F0E" w:rsidRDefault="00874E6F" w:rsidP="00275C61">
      <w:pPr>
        <w:pStyle w:val="ONUMFS"/>
        <w:rPr>
          <w:lang w:val="fr-FR"/>
        </w:rPr>
      </w:pPr>
      <w:r w:rsidRPr="00C23F0E">
        <w:rPr>
          <w:lang w:val="fr-FR"/>
        </w:rPr>
        <w:lastRenderedPageBreak/>
        <w:t xml:space="preserve">La décision </w:t>
      </w:r>
      <w:r w:rsidR="002F1F0C" w:rsidRPr="00C23F0E">
        <w:rPr>
          <w:lang w:val="fr-FR"/>
        </w:rPr>
        <w:t>concernant</w:t>
      </w:r>
      <w:r w:rsidRPr="00C23F0E">
        <w:rPr>
          <w:lang w:val="fr-FR"/>
        </w:rPr>
        <w:t xml:space="preserve"> la procédure à suivre dans la phase nationale ou régional</w:t>
      </w:r>
      <w:r w:rsidR="009C5407" w:rsidRPr="00C23F0E">
        <w:rPr>
          <w:lang w:val="fr-FR"/>
        </w:rPr>
        <w:t>e</w:t>
      </w:r>
      <w:r w:rsidRPr="00C23F0E">
        <w:rPr>
          <w:lang w:val="fr-FR"/>
        </w:rPr>
        <w:t xml:space="preserve"> (par</w:t>
      </w:r>
      <w:r w:rsidR="000F2E8F" w:rsidRPr="00C23F0E">
        <w:rPr>
          <w:lang w:val="fr-FR"/>
        </w:rPr>
        <w:t xml:space="preserve"> </w:t>
      </w:r>
      <w:r w:rsidRPr="00C23F0E">
        <w:rPr>
          <w:lang w:val="fr-FR"/>
        </w:rPr>
        <w:t xml:space="preserve">exemple pour les demandes divisionnaires) devrait être laissée </w:t>
      </w:r>
      <w:r w:rsidR="005E6C22" w:rsidRPr="00C23F0E">
        <w:rPr>
          <w:lang w:val="fr-FR"/>
        </w:rPr>
        <w:t>à la discrétion</w:t>
      </w:r>
      <w:r w:rsidRPr="00C23F0E">
        <w:rPr>
          <w:lang w:val="fr-FR"/>
        </w:rPr>
        <w:t xml:space="preserve"> </w:t>
      </w:r>
      <w:r w:rsidR="005E6C22" w:rsidRPr="00C23F0E">
        <w:rPr>
          <w:lang w:val="fr-FR"/>
        </w:rPr>
        <w:t xml:space="preserve">des </w:t>
      </w:r>
      <w:r w:rsidRPr="00C23F0E">
        <w:rPr>
          <w:lang w:val="fr-FR"/>
        </w:rPr>
        <w:t>offices nationaux ou régionaux.</w:t>
      </w:r>
    </w:p>
    <w:p w:rsidR="00313AF1" w:rsidRPr="00275C61" w:rsidRDefault="00874E6F" w:rsidP="00275C61">
      <w:pPr>
        <w:pStyle w:val="Heading3"/>
        <w:spacing w:before="0"/>
        <w:rPr>
          <w:lang w:val="fr-FR"/>
        </w:rPr>
      </w:pPr>
      <w:r w:rsidRPr="00C23F0E">
        <w:rPr>
          <w:lang w:val="fr-FR"/>
        </w:rPr>
        <w:t xml:space="preserve">Date </w:t>
      </w:r>
      <w:r w:rsidR="005E6C22" w:rsidRPr="00C23F0E">
        <w:rPr>
          <w:lang w:val="fr-FR"/>
        </w:rPr>
        <w:t xml:space="preserve">de transition </w:t>
      </w:r>
      <w:r w:rsidRPr="00C23F0E">
        <w:rPr>
          <w:lang w:val="fr-FR"/>
        </w:rPr>
        <w:t>provisoire</w:t>
      </w:r>
      <w:r w:rsidR="00F52A30" w:rsidRPr="00275C61">
        <w:rPr>
          <w:lang w:val="fr-FR"/>
        </w:rPr>
        <w:t> :</w:t>
      </w:r>
    </w:p>
    <w:p w:rsidR="00313AF1" w:rsidRPr="00C23F0E" w:rsidRDefault="00A45236" w:rsidP="00275C61">
      <w:pPr>
        <w:pStyle w:val="ONUMFS"/>
        <w:rPr>
          <w:lang w:val="fr-FR"/>
        </w:rPr>
      </w:pPr>
      <w:r w:rsidRPr="00C23F0E">
        <w:rPr>
          <w:lang w:val="fr-FR"/>
        </w:rPr>
        <w:t>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équipe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experts est provisoirement convenu</w:t>
      </w:r>
      <w:r w:rsidR="00F52A30" w:rsidRPr="00C23F0E">
        <w:rPr>
          <w:lang w:val="fr-FR"/>
        </w:rPr>
        <w:t xml:space="preserve">e </w:t>
      </w:r>
      <w:r w:rsidR="002F1F0C" w:rsidRPr="00C23F0E">
        <w:rPr>
          <w:lang w:val="fr-FR"/>
        </w:rPr>
        <w:t>de fixer la mise en œuvre du</w:t>
      </w:r>
      <w:r w:rsidRPr="00C23F0E">
        <w:rPr>
          <w:lang w:val="fr-FR"/>
        </w:rPr>
        <w:t xml:space="preserve"> passage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une norme à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 xml:space="preserve">autre </w:t>
      </w:r>
      <w:r w:rsidR="002F1F0C" w:rsidRPr="00C23F0E">
        <w:rPr>
          <w:lang w:val="fr-FR"/>
        </w:rPr>
        <w:t>à</w:t>
      </w:r>
      <w:r w:rsidRPr="00C23F0E">
        <w:rPr>
          <w:lang w:val="fr-FR"/>
        </w:rPr>
        <w:t xml:space="preserve"> </w:t>
      </w:r>
      <w:r w:rsidR="001D269C" w:rsidRPr="00C23F0E">
        <w:rPr>
          <w:lang w:val="fr-FR"/>
        </w:rPr>
        <w:t>janvier 20</w:t>
      </w:r>
      <w:r w:rsidRPr="00C23F0E">
        <w:rPr>
          <w:lang w:val="fr-FR"/>
        </w:rPr>
        <w:t>22, sous réserve qu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 xml:space="preserve">un outil </w:t>
      </w:r>
      <w:r w:rsidR="005E6C22" w:rsidRPr="00C23F0E">
        <w:rPr>
          <w:lang w:val="fr-FR"/>
        </w:rPr>
        <w:t>d’édi</w:t>
      </w:r>
      <w:r w:rsidRPr="00C23F0E">
        <w:rPr>
          <w:lang w:val="fr-FR"/>
        </w:rPr>
        <w:t>tion et de validation p</w:t>
      </w:r>
      <w:r w:rsidR="005E6C22" w:rsidRPr="00C23F0E">
        <w:rPr>
          <w:lang w:val="fr-FR"/>
        </w:rPr>
        <w:t>ermette</w:t>
      </w:r>
      <w:r w:rsidRPr="00C23F0E">
        <w:rPr>
          <w:lang w:val="fr-FR"/>
        </w:rPr>
        <w:t xml:space="preserve"> </w:t>
      </w:r>
      <w:r w:rsidR="005E6C22" w:rsidRPr="00C23F0E">
        <w:rPr>
          <w:lang w:val="fr-FR"/>
        </w:rPr>
        <w:t>d’</w:t>
      </w:r>
      <w:r w:rsidRPr="00C23F0E">
        <w:rPr>
          <w:lang w:val="fr-FR"/>
        </w:rPr>
        <w:t xml:space="preserve">afficher et </w:t>
      </w:r>
      <w:r w:rsidR="005E6C22" w:rsidRPr="00C23F0E">
        <w:rPr>
          <w:lang w:val="fr-FR"/>
        </w:rPr>
        <w:t>d’</w:t>
      </w:r>
      <w:r w:rsidRPr="00C23F0E">
        <w:rPr>
          <w:lang w:val="fr-FR"/>
        </w:rPr>
        <w:t xml:space="preserve">imprimer </w:t>
      </w:r>
      <w:r w:rsidR="005E6C22" w:rsidRPr="00C23F0E">
        <w:rPr>
          <w:lang w:val="fr-FR"/>
        </w:rPr>
        <w:t>l</w:t>
      </w:r>
      <w:r w:rsidRPr="00C23F0E">
        <w:rPr>
          <w:lang w:val="fr-FR"/>
        </w:rPr>
        <w:t>es listages de séq</w:t>
      </w:r>
      <w:r w:rsidR="00313AF1" w:rsidRPr="00C23F0E">
        <w:rPr>
          <w:lang w:val="fr-FR"/>
        </w:rPr>
        <w:t>uences sous une forme lisible pa</w:t>
      </w:r>
      <w:r w:rsidRPr="00C23F0E">
        <w:rPr>
          <w:lang w:val="fr-FR"/>
        </w:rPr>
        <w:t>r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utilisateur.</w:t>
      </w:r>
    </w:p>
    <w:p w:rsidR="00313AF1" w:rsidRDefault="00A45236" w:rsidP="00275C61">
      <w:pPr>
        <w:pStyle w:val="Heading2"/>
        <w:spacing w:before="0"/>
        <w:rPr>
          <w:lang w:val="fr-FR"/>
        </w:rPr>
      </w:pPr>
      <w:r w:rsidRPr="00C23F0E">
        <w:rPr>
          <w:lang w:val="fr-FR"/>
        </w:rPr>
        <w:t>Travaux futurs de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équipe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experts</w:t>
      </w:r>
    </w:p>
    <w:p w:rsidR="00313AF1" w:rsidRPr="00C23F0E" w:rsidRDefault="00A45236" w:rsidP="00275C61">
      <w:pPr>
        <w:pStyle w:val="ONUMFS"/>
        <w:rPr>
          <w:lang w:val="fr-FR"/>
        </w:rPr>
      </w:pPr>
      <w:r w:rsidRPr="00C23F0E">
        <w:rPr>
          <w:lang w:val="fr-FR"/>
        </w:rPr>
        <w:t>L</w:t>
      </w:r>
      <w:r w:rsidR="001D269C" w:rsidRPr="00C23F0E">
        <w:rPr>
          <w:lang w:val="fr-FR"/>
        </w:rPr>
        <w:t>’</w:t>
      </w:r>
      <w:r w:rsidR="005E6C22" w:rsidRPr="00C23F0E">
        <w:rPr>
          <w:lang w:val="fr-FR"/>
        </w:rPr>
        <w:t>É</w:t>
      </w:r>
      <w:r w:rsidRPr="00C23F0E">
        <w:rPr>
          <w:lang w:val="fr-FR"/>
        </w:rPr>
        <w:t>quipe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 xml:space="preserve">experts SEQL </w:t>
      </w:r>
      <w:r w:rsidR="005E6C22" w:rsidRPr="00C23F0E">
        <w:rPr>
          <w:lang w:val="fr-FR"/>
        </w:rPr>
        <w:t>est con</w:t>
      </w:r>
      <w:r w:rsidR="005D79DD" w:rsidRPr="00C23F0E">
        <w:rPr>
          <w:lang w:val="fr-FR"/>
        </w:rPr>
        <w:t>venue de</w:t>
      </w:r>
      <w:r w:rsidRPr="00C23F0E">
        <w:rPr>
          <w:lang w:val="fr-FR"/>
        </w:rPr>
        <w:t>s tâches suivantes</w:t>
      </w:r>
      <w:r w:rsidR="001D269C" w:rsidRPr="00C23F0E">
        <w:rPr>
          <w:lang w:val="fr-FR"/>
        </w:rPr>
        <w:t> :</w:t>
      </w:r>
    </w:p>
    <w:p w:rsidR="00313AF1" w:rsidRPr="00C23F0E" w:rsidRDefault="005D79DD" w:rsidP="00275C61">
      <w:pPr>
        <w:pStyle w:val="ONUMFS"/>
        <w:numPr>
          <w:ilvl w:val="1"/>
          <w:numId w:val="6"/>
        </w:numPr>
        <w:rPr>
          <w:lang w:val="fr-FR"/>
        </w:rPr>
      </w:pPr>
      <w:r w:rsidRPr="00C23F0E">
        <w:rPr>
          <w:lang w:val="fr-FR"/>
        </w:rPr>
        <w:t>Fournir un appui au</w:t>
      </w:r>
      <w:r w:rsidR="00313AF1" w:rsidRPr="00C23F0E">
        <w:rPr>
          <w:lang w:val="fr-FR"/>
        </w:rPr>
        <w:t xml:space="preserve"> Bureau international de l</w:t>
      </w:r>
      <w:r w:rsidR="001D269C" w:rsidRPr="00C23F0E">
        <w:rPr>
          <w:lang w:val="fr-FR"/>
        </w:rPr>
        <w:t>’</w:t>
      </w:r>
      <w:r w:rsidR="00313AF1" w:rsidRPr="00C23F0E">
        <w:rPr>
          <w:lang w:val="fr-FR"/>
        </w:rPr>
        <w:t xml:space="preserve">OMPI en </w:t>
      </w:r>
      <w:r w:rsidR="002F1F0C" w:rsidRPr="00C23F0E">
        <w:rPr>
          <w:lang w:val="fr-FR"/>
        </w:rPr>
        <w:t xml:space="preserve">lui </w:t>
      </w:r>
      <w:r w:rsidR="00313AF1" w:rsidRPr="00C23F0E">
        <w:rPr>
          <w:lang w:val="fr-FR"/>
        </w:rPr>
        <w:t xml:space="preserve">communiquant les besoins et les commentaires des utilisateurs </w:t>
      </w:r>
      <w:r w:rsidR="009C5407" w:rsidRPr="00C23F0E">
        <w:rPr>
          <w:lang w:val="fr-FR"/>
        </w:rPr>
        <w:t>concernant</w:t>
      </w:r>
      <w:r w:rsidR="00313AF1" w:rsidRPr="00C23F0E">
        <w:rPr>
          <w:lang w:val="fr-FR"/>
        </w:rPr>
        <w:t xml:space="preserve"> le système </w:t>
      </w:r>
      <w:r w:rsidRPr="00C23F0E">
        <w:rPr>
          <w:lang w:val="fr-FR"/>
        </w:rPr>
        <w:t>d’édition</w:t>
      </w:r>
      <w:r w:rsidR="00313AF1" w:rsidRPr="00C23F0E">
        <w:rPr>
          <w:lang w:val="fr-FR"/>
        </w:rPr>
        <w:t>.</w:t>
      </w:r>
    </w:p>
    <w:p w:rsidR="00313AF1" w:rsidRPr="00C23F0E" w:rsidRDefault="005D79DD" w:rsidP="00275C61">
      <w:pPr>
        <w:pStyle w:val="ONUMFS"/>
        <w:numPr>
          <w:ilvl w:val="1"/>
          <w:numId w:val="6"/>
        </w:numPr>
        <w:rPr>
          <w:lang w:val="fr-FR"/>
        </w:rPr>
      </w:pPr>
      <w:r w:rsidRPr="00C23F0E">
        <w:rPr>
          <w:lang w:val="fr-FR"/>
        </w:rPr>
        <w:t>Fournir un appui au</w:t>
      </w:r>
      <w:r w:rsidR="00313AF1" w:rsidRPr="00C23F0E">
        <w:rPr>
          <w:lang w:val="fr-FR"/>
        </w:rPr>
        <w:t xml:space="preserve"> Bureau international de l</w:t>
      </w:r>
      <w:r w:rsidR="001D269C" w:rsidRPr="00C23F0E">
        <w:rPr>
          <w:lang w:val="fr-FR"/>
        </w:rPr>
        <w:t>’</w:t>
      </w:r>
      <w:r w:rsidR="00313AF1" w:rsidRPr="00C23F0E">
        <w:rPr>
          <w:lang w:val="fr-FR"/>
        </w:rPr>
        <w:t xml:space="preserve">OMPI </w:t>
      </w:r>
      <w:r w:rsidRPr="00C23F0E">
        <w:rPr>
          <w:lang w:val="fr-FR"/>
        </w:rPr>
        <w:t>pour les</w:t>
      </w:r>
      <w:r w:rsidR="009C5407" w:rsidRPr="00C23F0E">
        <w:rPr>
          <w:lang w:val="fr-FR"/>
        </w:rPr>
        <w:t xml:space="preserve"> révision</w:t>
      </w:r>
      <w:r w:rsidRPr="00C23F0E">
        <w:rPr>
          <w:lang w:val="fr-FR"/>
        </w:rPr>
        <w:t>s à apporter</w:t>
      </w:r>
      <w:r w:rsidR="009C5407" w:rsidRPr="00C23F0E">
        <w:rPr>
          <w:lang w:val="fr-FR"/>
        </w:rPr>
        <w:t xml:space="preserve"> en conséquence </w:t>
      </w:r>
      <w:r w:rsidRPr="00C23F0E">
        <w:rPr>
          <w:lang w:val="fr-FR"/>
        </w:rPr>
        <w:t>aux</w:t>
      </w:r>
      <w:r w:rsidR="00313AF1" w:rsidRPr="00C23F0E">
        <w:rPr>
          <w:lang w:val="fr-FR"/>
        </w:rPr>
        <w:t xml:space="preserve"> instructions administratives</w:t>
      </w:r>
      <w:r w:rsidR="001D269C" w:rsidRPr="00C23F0E">
        <w:rPr>
          <w:lang w:val="fr-FR"/>
        </w:rPr>
        <w:t xml:space="preserve"> du PCT</w:t>
      </w:r>
      <w:r w:rsidR="00313AF1" w:rsidRPr="00C23F0E">
        <w:rPr>
          <w:lang w:val="fr-FR"/>
        </w:rPr>
        <w:t>.</w:t>
      </w:r>
    </w:p>
    <w:p w:rsidR="00313AF1" w:rsidRPr="00C23F0E" w:rsidRDefault="00FC06EC" w:rsidP="00275C61">
      <w:pPr>
        <w:pStyle w:val="ONUMFS"/>
        <w:numPr>
          <w:ilvl w:val="1"/>
          <w:numId w:val="6"/>
        </w:numPr>
        <w:spacing w:after="0"/>
        <w:rPr>
          <w:lang w:val="fr-FR"/>
        </w:rPr>
      </w:pPr>
      <w:r w:rsidRPr="00C23F0E">
        <w:rPr>
          <w:lang w:val="fr-FR"/>
        </w:rPr>
        <w:t>Les efforts de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équipe d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 xml:space="preserve">experts se </w:t>
      </w:r>
      <w:r w:rsidR="002F1F0C" w:rsidRPr="00C23F0E">
        <w:rPr>
          <w:lang w:val="fr-FR"/>
        </w:rPr>
        <w:t>porteront aussi</w:t>
      </w:r>
      <w:r w:rsidRPr="00C23F0E">
        <w:rPr>
          <w:lang w:val="fr-FR"/>
        </w:rPr>
        <w:t xml:space="preserve"> à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avenir sur la révision de la norme</w:t>
      </w:r>
      <w:r w:rsidR="00A330AB" w:rsidRPr="00C23F0E">
        <w:rPr>
          <w:lang w:val="fr-FR"/>
        </w:rPr>
        <w:t> </w:t>
      </w:r>
      <w:r w:rsidRPr="00C23F0E">
        <w:rPr>
          <w:lang w:val="fr-FR"/>
        </w:rPr>
        <w:t>ST.26 de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O</w:t>
      </w:r>
      <w:r w:rsidR="00EE209A" w:rsidRPr="00C23F0E">
        <w:rPr>
          <w:lang w:val="fr-FR"/>
        </w:rPr>
        <w:t>MPI. Il</w:t>
      </w:r>
      <w:r w:rsidRPr="00C23F0E">
        <w:rPr>
          <w:lang w:val="fr-FR"/>
        </w:rPr>
        <w:t xml:space="preserve"> est </w:t>
      </w:r>
      <w:r w:rsidR="002F1F0C" w:rsidRPr="00C23F0E">
        <w:rPr>
          <w:lang w:val="fr-FR"/>
        </w:rPr>
        <w:t>proposé</w:t>
      </w:r>
      <w:r w:rsidRPr="00C23F0E">
        <w:rPr>
          <w:lang w:val="fr-FR"/>
        </w:rPr>
        <w:t xml:space="preserve"> que les </w:t>
      </w:r>
      <w:r w:rsidR="002F1F0C" w:rsidRPr="00C23F0E">
        <w:rPr>
          <w:lang w:val="fr-FR"/>
        </w:rPr>
        <w:t xml:space="preserve">futures </w:t>
      </w:r>
      <w:r w:rsidRPr="00C23F0E">
        <w:rPr>
          <w:lang w:val="fr-FR"/>
        </w:rPr>
        <w:t xml:space="preserve">révisions de la norme se fassent </w:t>
      </w:r>
      <w:r w:rsidR="005D79DD" w:rsidRPr="00C23F0E">
        <w:rPr>
          <w:lang w:val="fr-FR"/>
        </w:rPr>
        <w:t>à</w:t>
      </w:r>
      <w:r w:rsidRPr="00C23F0E">
        <w:rPr>
          <w:lang w:val="fr-FR"/>
        </w:rPr>
        <w:t xml:space="preserve"> </w:t>
      </w:r>
      <w:r w:rsidR="00D86CC8" w:rsidRPr="00C23F0E">
        <w:rPr>
          <w:lang w:val="fr-FR"/>
        </w:rPr>
        <w:t>l</w:t>
      </w:r>
      <w:r w:rsidR="001D269C" w:rsidRPr="00C23F0E">
        <w:rPr>
          <w:lang w:val="fr-FR"/>
        </w:rPr>
        <w:t>’</w:t>
      </w:r>
      <w:r w:rsidR="00D86CC8" w:rsidRPr="00C23F0E">
        <w:rPr>
          <w:lang w:val="fr-FR"/>
        </w:rPr>
        <w:t>instigation</w:t>
      </w:r>
      <w:r w:rsidRPr="00C23F0E">
        <w:rPr>
          <w:lang w:val="fr-FR"/>
        </w:rPr>
        <w:t xml:space="preserve"> des membres</w:t>
      </w:r>
      <w:r w:rsidR="001D269C" w:rsidRPr="00C23F0E">
        <w:rPr>
          <w:lang w:val="fr-FR"/>
        </w:rPr>
        <w:t xml:space="preserve"> du CWS</w:t>
      </w:r>
      <w:r w:rsidRPr="00C23F0E">
        <w:rPr>
          <w:lang w:val="fr-FR"/>
        </w:rPr>
        <w:t xml:space="preserve"> et non selon un programme prédéfini.</w:t>
      </w:r>
    </w:p>
    <w:p w:rsidR="00313AF1" w:rsidRPr="00C23F0E" w:rsidRDefault="00313AF1" w:rsidP="00275C61">
      <w:pPr>
        <w:ind w:left="5529"/>
        <w:rPr>
          <w:lang w:val="fr-FR"/>
        </w:rPr>
      </w:pPr>
    </w:p>
    <w:p w:rsidR="00EE209A" w:rsidRPr="00C23F0E" w:rsidRDefault="00EE209A" w:rsidP="00275C61">
      <w:pPr>
        <w:ind w:left="5529"/>
        <w:rPr>
          <w:lang w:val="fr-FR"/>
        </w:rPr>
      </w:pPr>
    </w:p>
    <w:p w:rsidR="000F2E8F" w:rsidRPr="00C23F0E" w:rsidRDefault="00FC06EC" w:rsidP="00275C61">
      <w:pPr>
        <w:ind w:left="5533"/>
        <w:rPr>
          <w:lang w:val="fr-FR"/>
        </w:rPr>
      </w:pPr>
      <w:r w:rsidRPr="00C23F0E">
        <w:rPr>
          <w:lang w:val="fr-FR"/>
        </w:rPr>
        <w:t>[Fin de l</w:t>
      </w:r>
      <w:r w:rsidR="001D269C" w:rsidRPr="00C23F0E">
        <w:rPr>
          <w:lang w:val="fr-FR"/>
        </w:rPr>
        <w:t>’</w:t>
      </w:r>
      <w:r w:rsidRPr="00C23F0E">
        <w:rPr>
          <w:lang w:val="fr-FR"/>
        </w:rPr>
        <w:t>annexe et du document]</w:t>
      </w:r>
    </w:p>
    <w:sectPr w:rsidR="000F2E8F" w:rsidRPr="00C23F0E" w:rsidSect="005E6C22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D7" w:rsidRDefault="004C5ED7">
      <w:r>
        <w:separator/>
      </w:r>
    </w:p>
  </w:endnote>
  <w:endnote w:type="continuationSeparator" w:id="0">
    <w:p w:rsidR="004C5ED7" w:rsidRDefault="004C5ED7" w:rsidP="003B38C1">
      <w:r>
        <w:separator/>
      </w:r>
    </w:p>
    <w:p w:rsidR="004C5ED7" w:rsidRPr="003B38C1" w:rsidRDefault="004C5E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C5ED7" w:rsidRPr="003B38C1" w:rsidRDefault="004C5E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D7" w:rsidRDefault="004C5ED7">
      <w:r>
        <w:separator/>
      </w:r>
    </w:p>
  </w:footnote>
  <w:footnote w:type="continuationSeparator" w:id="0">
    <w:p w:rsidR="004C5ED7" w:rsidRDefault="004C5ED7" w:rsidP="008B60B2">
      <w:r>
        <w:separator/>
      </w:r>
    </w:p>
    <w:p w:rsidR="004C5ED7" w:rsidRPr="00ED77FB" w:rsidRDefault="004C5E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C5ED7" w:rsidRPr="00ED77FB" w:rsidRDefault="004C5E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61" w:rsidRPr="009A37D2" w:rsidRDefault="00275C61" w:rsidP="00275C61">
    <w:pPr>
      <w:jc w:val="right"/>
    </w:pPr>
    <w:r w:rsidRPr="009A37D2">
      <w:t>CWS/</w:t>
    </w:r>
    <w:r>
      <w:t>5</w:t>
    </w:r>
    <w:r w:rsidRPr="009A37D2">
      <w:t>/</w:t>
    </w:r>
    <w:r>
      <w:t>7 Rev.1</w:t>
    </w:r>
  </w:p>
  <w:p w:rsidR="00EC4E49" w:rsidRPr="001D269C" w:rsidRDefault="00B246BC" w:rsidP="00477D6B">
    <w:pPr>
      <w:jc w:val="right"/>
      <w:rPr>
        <w:lang w:val="fr-FR"/>
      </w:rPr>
    </w:pPr>
    <w:r w:rsidRPr="001D269C">
      <w:rPr>
        <w:lang w:val="fr-FR"/>
      </w:rPr>
      <w:t>Annex</w:t>
    </w:r>
    <w:r w:rsidR="001D269C" w:rsidRPr="001D269C">
      <w:rPr>
        <w:lang w:val="fr-FR"/>
      </w:rPr>
      <w:t>e</w:t>
    </w:r>
    <w:r w:rsidR="001032C2" w:rsidRPr="001D269C">
      <w:rPr>
        <w:lang w:val="fr-FR"/>
      </w:rPr>
      <w:t>,</w:t>
    </w:r>
    <w:r w:rsidRPr="001D269C">
      <w:rPr>
        <w:lang w:val="fr-FR"/>
      </w:rPr>
      <w:t xml:space="preserve"> </w:t>
    </w:r>
    <w:r w:rsidR="00EC4E49" w:rsidRPr="001D269C">
      <w:rPr>
        <w:lang w:val="fr-FR"/>
      </w:rPr>
      <w:t>page</w:t>
    </w:r>
    <w:r w:rsidR="001D269C" w:rsidRPr="001D269C">
      <w:rPr>
        <w:lang w:val="fr-FR"/>
      </w:rPr>
      <w:t> </w:t>
    </w:r>
    <w:r w:rsidR="00EC4E49" w:rsidRPr="001D269C">
      <w:rPr>
        <w:lang w:val="fr-FR"/>
      </w:rPr>
      <w:fldChar w:fldCharType="begin"/>
    </w:r>
    <w:r w:rsidR="00EC4E49" w:rsidRPr="001D269C">
      <w:rPr>
        <w:lang w:val="fr-FR"/>
      </w:rPr>
      <w:instrText xml:space="preserve"> PAGE  \* MERGEFORMAT </w:instrText>
    </w:r>
    <w:r w:rsidR="00EC4E49" w:rsidRPr="001D269C">
      <w:rPr>
        <w:lang w:val="fr-FR"/>
      </w:rPr>
      <w:fldChar w:fldCharType="separate"/>
    </w:r>
    <w:r w:rsidR="00774301">
      <w:rPr>
        <w:noProof/>
        <w:lang w:val="fr-FR"/>
      </w:rPr>
      <w:t>2</w:t>
    </w:r>
    <w:r w:rsidR="00EC4E49" w:rsidRPr="001D269C">
      <w:rPr>
        <w:lang w:val="fr-FR"/>
      </w:rPr>
      <w:fldChar w:fldCharType="end"/>
    </w:r>
  </w:p>
  <w:p w:rsidR="00EC4E49" w:rsidRDefault="00EC4E49" w:rsidP="00477D6B">
    <w:pPr>
      <w:jc w:val="right"/>
      <w:rPr>
        <w:lang w:val="fr-FR"/>
      </w:rPr>
    </w:pPr>
  </w:p>
  <w:p w:rsidR="00275C61" w:rsidRPr="001D269C" w:rsidRDefault="00275C61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6BC" w:rsidRPr="009A37D2" w:rsidRDefault="00B246BC" w:rsidP="00B246BC">
    <w:pPr>
      <w:jc w:val="right"/>
    </w:pPr>
    <w:r w:rsidRPr="009A37D2">
      <w:t>CWS/</w:t>
    </w:r>
    <w:r>
      <w:t>5</w:t>
    </w:r>
    <w:r w:rsidRPr="009A37D2">
      <w:t>/</w:t>
    </w:r>
    <w:r>
      <w:t>7</w:t>
    </w:r>
    <w:r w:rsidR="00275C61">
      <w:t xml:space="preserve"> Rev.1</w:t>
    </w:r>
  </w:p>
  <w:p w:rsidR="00B246BC" w:rsidRPr="009A37D2" w:rsidRDefault="00B246BC" w:rsidP="00B246BC">
    <w:pPr>
      <w:jc w:val="right"/>
    </w:pPr>
    <w:bookmarkStart w:id="1" w:name="_Toc479151716"/>
    <w:r>
      <w:t>ANNEX</w:t>
    </w:r>
    <w:r w:rsidR="001D269C">
      <w:t>E</w:t>
    </w:r>
  </w:p>
  <w:bookmarkEnd w:id="1"/>
  <w:p w:rsidR="00B246BC" w:rsidRDefault="00B246BC" w:rsidP="00B246BC">
    <w:pPr>
      <w:jc w:val="right"/>
    </w:pPr>
  </w:p>
  <w:p w:rsidR="00275C61" w:rsidRPr="009A37D2" w:rsidRDefault="00275C61" w:rsidP="00B246BC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A360170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953A61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028477E"/>
    <w:multiLevelType w:val="multilevel"/>
    <w:tmpl w:val="CFAEF188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9A55B0"/>
    <w:multiLevelType w:val="hybridMultilevel"/>
    <w:tmpl w:val="1D466B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40792"/>
    <w:multiLevelType w:val="hybridMultilevel"/>
    <w:tmpl w:val="B94AECE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D51A1"/>
    <w:multiLevelType w:val="hybridMultilevel"/>
    <w:tmpl w:val="ACFA9AAC"/>
    <w:lvl w:ilvl="0" w:tplc="EFEE36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4C079B"/>
    <w:rsid w:val="000163E5"/>
    <w:rsid w:val="00020E90"/>
    <w:rsid w:val="00043CAA"/>
    <w:rsid w:val="00053B31"/>
    <w:rsid w:val="00075432"/>
    <w:rsid w:val="000968ED"/>
    <w:rsid w:val="000A6EFF"/>
    <w:rsid w:val="000F2E8F"/>
    <w:rsid w:val="000F5E56"/>
    <w:rsid w:val="001032C2"/>
    <w:rsid w:val="00103B9F"/>
    <w:rsid w:val="001068B7"/>
    <w:rsid w:val="00107728"/>
    <w:rsid w:val="00112D22"/>
    <w:rsid w:val="001362EE"/>
    <w:rsid w:val="00166058"/>
    <w:rsid w:val="001832A6"/>
    <w:rsid w:val="001A0084"/>
    <w:rsid w:val="001D269C"/>
    <w:rsid w:val="001E084A"/>
    <w:rsid w:val="002634C4"/>
    <w:rsid w:val="00275C61"/>
    <w:rsid w:val="002928D3"/>
    <w:rsid w:val="002A550D"/>
    <w:rsid w:val="002A5EA2"/>
    <w:rsid w:val="002C6794"/>
    <w:rsid w:val="002E4A96"/>
    <w:rsid w:val="002F1F0C"/>
    <w:rsid w:val="002F1FE6"/>
    <w:rsid w:val="002F4E68"/>
    <w:rsid w:val="003079C1"/>
    <w:rsid w:val="00312F7F"/>
    <w:rsid w:val="00313AF1"/>
    <w:rsid w:val="0033154C"/>
    <w:rsid w:val="00342A15"/>
    <w:rsid w:val="00361450"/>
    <w:rsid w:val="003673CF"/>
    <w:rsid w:val="00380863"/>
    <w:rsid w:val="003845C1"/>
    <w:rsid w:val="003A30D8"/>
    <w:rsid w:val="003A6F89"/>
    <w:rsid w:val="003B0842"/>
    <w:rsid w:val="003B0876"/>
    <w:rsid w:val="003B29CE"/>
    <w:rsid w:val="003B38C1"/>
    <w:rsid w:val="003B5AA3"/>
    <w:rsid w:val="003D0811"/>
    <w:rsid w:val="003E02D3"/>
    <w:rsid w:val="00400967"/>
    <w:rsid w:val="00423E3E"/>
    <w:rsid w:val="00427AF4"/>
    <w:rsid w:val="0045673A"/>
    <w:rsid w:val="004647DA"/>
    <w:rsid w:val="00470C5B"/>
    <w:rsid w:val="00471BA7"/>
    <w:rsid w:val="00474062"/>
    <w:rsid w:val="00477D6B"/>
    <w:rsid w:val="004906BA"/>
    <w:rsid w:val="004A266D"/>
    <w:rsid w:val="004A5299"/>
    <w:rsid w:val="004B3FF3"/>
    <w:rsid w:val="004C079B"/>
    <w:rsid w:val="004C5ED7"/>
    <w:rsid w:val="004D15B1"/>
    <w:rsid w:val="004E69D7"/>
    <w:rsid w:val="004F16B6"/>
    <w:rsid w:val="005019FF"/>
    <w:rsid w:val="005213CD"/>
    <w:rsid w:val="00522C05"/>
    <w:rsid w:val="0053057A"/>
    <w:rsid w:val="005366F5"/>
    <w:rsid w:val="00537880"/>
    <w:rsid w:val="00556FA4"/>
    <w:rsid w:val="00560A29"/>
    <w:rsid w:val="00560AFD"/>
    <w:rsid w:val="00562578"/>
    <w:rsid w:val="00590382"/>
    <w:rsid w:val="005B34C4"/>
    <w:rsid w:val="005C6649"/>
    <w:rsid w:val="005C7D9D"/>
    <w:rsid w:val="005D79DD"/>
    <w:rsid w:val="005E6572"/>
    <w:rsid w:val="005E6C22"/>
    <w:rsid w:val="00605827"/>
    <w:rsid w:val="00613E9A"/>
    <w:rsid w:val="00622A81"/>
    <w:rsid w:val="0063162B"/>
    <w:rsid w:val="00640FAE"/>
    <w:rsid w:val="00646050"/>
    <w:rsid w:val="00662341"/>
    <w:rsid w:val="0066351E"/>
    <w:rsid w:val="006713CA"/>
    <w:rsid w:val="00676C5C"/>
    <w:rsid w:val="006C2FCD"/>
    <w:rsid w:val="006E29FC"/>
    <w:rsid w:val="00707859"/>
    <w:rsid w:val="00735879"/>
    <w:rsid w:val="00774301"/>
    <w:rsid w:val="007819D2"/>
    <w:rsid w:val="007C2240"/>
    <w:rsid w:val="007D0C7D"/>
    <w:rsid w:val="007D1613"/>
    <w:rsid w:val="007D7A3B"/>
    <w:rsid w:val="00810D6C"/>
    <w:rsid w:val="00816CFA"/>
    <w:rsid w:val="00863809"/>
    <w:rsid w:val="00874E6F"/>
    <w:rsid w:val="008862B3"/>
    <w:rsid w:val="008B1EFD"/>
    <w:rsid w:val="008B2CC1"/>
    <w:rsid w:val="008B60B2"/>
    <w:rsid w:val="0090731E"/>
    <w:rsid w:val="00913781"/>
    <w:rsid w:val="00916EE2"/>
    <w:rsid w:val="00922CCF"/>
    <w:rsid w:val="00925CAB"/>
    <w:rsid w:val="009275F0"/>
    <w:rsid w:val="00945F19"/>
    <w:rsid w:val="009529BD"/>
    <w:rsid w:val="009551E4"/>
    <w:rsid w:val="009650C6"/>
    <w:rsid w:val="00966A22"/>
    <w:rsid w:val="0096722F"/>
    <w:rsid w:val="00980843"/>
    <w:rsid w:val="009C5407"/>
    <w:rsid w:val="009D1E92"/>
    <w:rsid w:val="009E2791"/>
    <w:rsid w:val="009E3F6F"/>
    <w:rsid w:val="009F0833"/>
    <w:rsid w:val="009F2C90"/>
    <w:rsid w:val="009F499F"/>
    <w:rsid w:val="00A03DF8"/>
    <w:rsid w:val="00A24EEB"/>
    <w:rsid w:val="00A25BCC"/>
    <w:rsid w:val="00A330AB"/>
    <w:rsid w:val="00A33B66"/>
    <w:rsid w:val="00A42DAF"/>
    <w:rsid w:val="00A45236"/>
    <w:rsid w:val="00A45BD8"/>
    <w:rsid w:val="00A869B7"/>
    <w:rsid w:val="00A9671E"/>
    <w:rsid w:val="00AC00B9"/>
    <w:rsid w:val="00AC205C"/>
    <w:rsid w:val="00AC3F4A"/>
    <w:rsid w:val="00AD7A06"/>
    <w:rsid w:val="00AE4A3A"/>
    <w:rsid w:val="00AF0A6B"/>
    <w:rsid w:val="00AF13B2"/>
    <w:rsid w:val="00B05A69"/>
    <w:rsid w:val="00B073A6"/>
    <w:rsid w:val="00B246BC"/>
    <w:rsid w:val="00B27207"/>
    <w:rsid w:val="00B33D93"/>
    <w:rsid w:val="00B510E8"/>
    <w:rsid w:val="00B66EFA"/>
    <w:rsid w:val="00B9734B"/>
    <w:rsid w:val="00BC68BB"/>
    <w:rsid w:val="00BE4592"/>
    <w:rsid w:val="00C11BFE"/>
    <w:rsid w:val="00C23F0E"/>
    <w:rsid w:val="00C2498D"/>
    <w:rsid w:val="00CE33C3"/>
    <w:rsid w:val="00CE535A"/>
    <w:rsid w:val="00D04A48"/>
    <w:rsid w:val="00D441B9"/>
    <w:rsid w:val="00D45252"/>
    <w:rsid w:val="00D70031"/>
    <w:rsid w:val="00D7005B"/>
    <w:rsid w:val="00D71B4D"/>
    <w:rsid w:val="00D71FCD"/>
    <w:rsid w:val="00D84528"/>
    <w:rsid w:val="00D86CC8"/>
    <w:rsid w:val="00D93D55"/>
    <w:rsid w:val="00D969F9"/>
    <w:rsid w:val="00DA5413"/>
    <w:rsid w:val="00DB6F85"/>
    <w:rsid w:val="00DC3A11"/>
    <w:rsid w:val="00DC4DF7"/>
    <w:rsid w:val="00DD4617"/>
    <w:rsid w:val="00DD625F"/>
    <w:rsid w:val="00DF0955"/>
    <w:rsid w:val="00E335FE"/>
    <w:rsid w:val="00E431A8"/>
    <w:rsid w:val="00E73638"/>
    <w:rsid w:val="00E818A7"/>
    <w:rsid w:val="00E84598"/>
    <w:rsid w:val="00EC4E49"/>
    <w:rsid w:val="00ED77FB"/>
    <w:rsid w:val="00EE209A"/>
    <w:rsid w:val="00EE45FA"/>
    <w:rsid w:val="00F50043"/>
    <w:rsid w:val="00F52A30"/>
    <w:rsid w:val="00F66152"/>
    <w:rsid w:val="00F774E1"/>
    <w:rsid w:val="00F852B7"/>
    <w:rsid w:val="00FA45ED"/>
    <w:rsid w:val="00FC06EC"/>
    <w:rsid w:val="00FC11EB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uiPriority w:val="99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550FE-8395-4F65-BA33-F19396EC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760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CWS/5/7 Annex (in English)</vt:lpstr>
    </vt:vector>
  </TitlesOfParts>
  <Company>WIPO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CWS/5/7 Rev.1 Annex (in French)</dc:title>
  <dc:subject>Recommendations for the Transition Provision from WIPO Standard ST.25 to ST.26</dc:subject>
  <dc:creator>WIPO</dc:creator>
  <cp:keywords>CWS</cp:keywords>
  <cp:lastModifiedBy>ZAGO Bétina</cp:lastModifiedBy>
  <cp:revision>6</cp:revision>
  <cp:lastPrinted>2017-04-21T07:36:00Z</cp:lastPrinted>
  <dcterms:created xsi:type="dcterms:W3CDTF">2017-05-08T09:37:00Z</dcterms:created>
  <dcterms:modified xsi:type="dcterms:W3CDTF">2017-05-08T12:41:00Z</dcterms:modified>
</cp:coreProperties>
</file>