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A8BE" w14:textId="77777777" w:rsidR="00574BB0" w:rsidRPr="00FA1C92" w:rsidRDefault="00574BB0" w:rsidP="003C714E">
      <w:pPr>
        <w:pStyle w:val="TitleCAPS"/>
        <w:rPr>
          <w:b/>
          <w:sz w:val="20"/>
        </w:rPr>
      </w:pPr>
      <w:bookmarkStart w:id="0" w:name="_Toc292122864"/>
      <w:bookmarkStart w:id="1" w:name="_Toc293679783"/>
      <w:bookmarkStart w:id="2" w:name="_Toc295994219"/>
      <w:bookmarkStart w:id="3" w:name="_Toc309651064"/>
      <w:bookmarkStart w:id="4" w:name="_Toc314474197"/>
      <w:bookmarkStart w:id="5" w:name="_Toc317499952"/>
      <w:bookmarkStart w:id="6" w:name="_Toc321297002"/>
      <w:bookmarkStart w:id="7" w:name="_Toc383437130"/>
      <w:bookmarkStart w:id="8" w:name="_Toc383437607"/>
      <w:bookmarkStart w:id="9" w:name="_Toc383444377"/>
      <w:bookmarkStart w:id="10" w:name="_Toc383509989"/>
    </w:p>
    <w:p w14:paraId="6602224A" w14:textId="77777777" w:rsidR="00574BB0" w:rsidRPr="00FA1C92" w:rsidRDefault="00574BB0" w:rsidP="003C714E">
      <w:pPr>
        <w:pStyle w:val="TitleCAPS"/>
        <w:rPr>
          <w:b/>
          <w:sz w:val="20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0CFBC1F2" w14:textId="77777777" w:rsidR="00574BB0" w:rsidRPr="00FA1C92" w:rsidRDefault="00DD6923" w:rsidP="00DD6923">
      <w:pPr>
        <w:pStyle w:val="TitleCAPS"/>
        <w:rPr>
          <w:b/>
          <w:sz w:val="20"/>
          <w:lang w:val="fr-CH"/>
        </w:rPr>
      </w:pPr>
      <w:r w:rsidRPr="00FA1C92">
        <w:rPr>
          <w:b/>
          <w:sz w:val="20"/>
          <w:lang w:val="fr-CH"/>
        </w:rPr>
        <w:t>Norme ST.XX</w:t>
      </w:r>
    </w:p>
    <w:p w14:paraId="5099FC46" w14:textId="36D1B6E4" w:rsidR="00574BB0" w:rsidRPr="00FA1C92" w:rsidRDefault="00DD6923" w:rsidP="00DD6923">
      <w:pPr>
        <w:pStyle w:val="TitleCAPS"/>
        <w:rPr>
          <w:lang w:val="fr-CH"/>
        </w:rPr>
      </w:pPr>
      <w:r w:rsidRPr="00FA1C92">
        <w:rPr>
          <w:lang w:val="fr-CH"/>
        </w:rPr>
        <w:t xml:space="preserve">recommandation concernant la gestion électronique des marques de mouvement </w:t>
      </w:r>
      <w:r w:rsidR="00F1620F">
        <w:rPr>
          <w:lang w:val="fr-CH"/>
        </w:rPr>
        <w:t>ET</w:t>
      </w:r>
      <w:r w:rsidRPr="00FA1C92">
        <w:rPr>
          <w:lang w:val="fr-CH"/>
        </w:rPr>
        <w:t xml:space="preserve"> </w:t>
      </w:r>
      <w:r w:rsidR="00F1620F">
        <w:rPr>
          <w:lang w:val="fr-CH"/>
        </w:rPr>
        <w:t xml:space="preserve">des marques </w:t>
      </w:r>
      <w:r w:rsidRPr="00F1620F">
        <w:rPr>
          <w:lang w:val="fr-CH"/>
        </w:rPr>
        <w:t>multimédias</w:t>
      </w:r>
    </w:p>
    <w:p w14:paraId="6518639E" w14:textId="3731F942" w:rsidR="00574BB0" w:rsidRPr="00FA1C92" w:rsidRDefault="00FD708C" w:rsidP="00FD708C">
      <w:pPr>
        <w:jc w:val="center"/>
        <w:rPr>
          <w:rFonts w:eastAsia="Batang" w:cs="Times New Roman"/>
          <w:sz w:val="17"/>
          <w:lang w:val="fr-CH"/>
        </w:rPr>
      </w:pPr>
      <w:r w:rsidRPr="004956EA">
        <w:rPr>
          <w:rFonts w:eastAsia="Batang" w:cs="Times New Roman"/>
          <w:sz w:val="17"/>
          <w:lang w:val="fr-CH"/>
        </w:rPr>
        <w:t>Projet final</w:t>
      </w:r>
    </w:p>
    <w:p w14:paraId="73B28654" w14:textId="77777777" w:rsidR="00574BB0" w:rsidRPr="00FA1C92" w:rsidRDefault="00574BB0" w:rsidP="003C714E">
      <w:pPr>
        <w:jc w:val="center"/>
        <w:rPr>
          <w:rFonts w:eastAsia="Batang" w:cs="Times New Roman"/>
          <w:sz w:val="17"/>
          <w:lang w:val="fr-CH"/>
        </w:rPr>
      </w:pPr>
    </w:p>
    <w:p w14:paraId="22D82DDE" w14:textId="77777777" w:rsidR="00574BB0" w:rsidRPr="00FA1C92" w:rsidRDefault="00574BB0" w:rsidP="003C714E">
      <w:pPr>
        <w:jc w:val="center"/>
        <w:rPr>
          <w:rFonts w:eastAsia="Batang" w:cs="Times New Roman"/>
          <w:sz w:val="17"/>
          <w:lang w:val="fr-CH"/>
        </w:rPr>
      </w:pPr>
    </w:p>
    <w:p w14:paraId="145D6C36" w14:textId="66ABE97B" w:rsidR="00F0551C" w:rsidRDefault="00201AA1" w:rsidP="00201AA1">
      <w:pPr>
        <w:jc w:val="center"/>
        <w:rPr>
          <w:rFonts w:eastAsia="Batang" w:cs="Times New Roman"/>
          <w:i/>
          <w:sz w:val="17"/>
          <w:lang w:val="fr-CH"/>
        </w:rPr>
      </w:pPr>
      <w:r w:rsidRPr="00FA1C92">
        <w:rPr>
          <w:rFonts w:eastAsia="Batang" w:cs="Times New Roman"/>
          <w:i/>
          <w:sz w:val="17"/>
          <w:lang w:val="fr-CH"/>
        </w:rPr>
        <w:t>Proposition présentée par l</w:t>
      </w:r>
      <w:r w:rsidR="00F0551C">
        <w:rPr>
          <w:rFonts w:eastAsia="Batang" w:cs="Times New Roman"/>
          <w:i/>
          <w:sz w:val="17"/>
          <w:lang w:val="fr-CH"/>
        </w:rPr>
        <w:t>’</w:t>
      </w:r>
      <w:r w:rsidRPr="00FA1C92">
        <w:rPr>
          <w:rFonts w:eastAsia="Batang" w:cs="Times New Roman"/>
          <w:i/>
          <w:sz w:val="17"/>
          <w:lang w:val="fr-CH"/>
        </w:rPr>
        <w:t>Équipe d</w:t>
      </w:r>
      <w:r w:rsidR="00F0551C">
        <w:rPr>
          <w:rFonts w:eastAsia="Batang" w:cs="Times New Roman"/>
          <w:i/>
          <w:sz w:val="17"/>
          <w:lang w:val="fr-CH"/>
        </w:rPr>
        <w:t>’</w:t>
      </w:r>
      <w:r w:rsidRPr="00FA1C92">
        <w:rPr>
          <w:rFonts w:eastAsia="Batang" w:cs="Times New Roman"/>
          <w:i/>
          <w:sz w:val="17"/>
          <w:lang w:val="fr-CH"/>
        </w:rPr>
        <w:t>experts chargée des normes relatives aux marques à la huit</w:t>
      </w:r>
      <w:r w:rsidR="00F0551C">
        <w:rPr>
          <w:rFonts w:eastAsia="Batang" w:cs="Times New Roman"/>
          <w:i/>
          <w:sz w:val="17"/>
          <w:lang w:val="fr-CH"/>
        </w:rPr>
        <w:t>ième session</w:t>
      </w:r>
      <w:r w:rsidR="00F0551C" w:rsidRPr="00FA1C92">
        <w:rPr>
          <w:rFonts w:eastAsia="Batang" w:cs="Times New Roman"/>
          <w:i/>
          <w:sz w:val="17"/>
          <w:lang w:val="fr-CH"/>
        </w:rPr>
        <w:t xml:space="preserve"> du</w:t>
      </w:r>
      <w:r w:rsidR="00F0551C">
        <w:rPr>
          <w:rFonts w:eastAsia="Batang" w:cs="Times New Roman"/>
          <w:i/>
          <w:sz w:val="17"/>
          <w:lang w:val="fr-CH"/>
        </w:rPr>
        <w:t> </w:t>
      </w:r>
      <w:r w:rsidR="00F0551C" w:rsidRPr="00FA1C92">
        <w:rPr>
          <w:rFonts w:eastAsia="Batang" w:cs="Times New Roman"/>
          <w:i/>
          <w:sz w:val="17"/>
          <w:lang w:val="fr-CH"/>
        </w:rPr>
        <w:t>CWS</w:t>
      </w:r>
    </w:p>
    <w:p w14:paraId="2C5F9922" w14:textId="7F37A261" w:rsidR="00574BB0" w:rsidRPr="00FA1C92" w:rsidRDefault="00574BB0" w:rsidP="003C714E">
      <w:pPr>
        <w:pStyle w:val="List0"/>
        <w:jc w:val="center"/>
        <w:rPr>
          <w:b/>
          <w:bCs/>
          <w:lang w:val="fr-CH" w:eastAsia="zh-CN"/>
        </w:rPr>
      </w:pPr>
    </w:p>
    <w:p w14:paraId="6A8279C7" w14:textId="77777777" w:rsidR="00574BB0" w:rsidRPr="00FA1C92" w:rsidRDefault="00574BB0" w:rsidP="003C714E">
      <w:pPr>
        <w:pStyle w:val="TitleCAPS"/>
        <w:jc w:val="left"/>
        <w:rPr>
          <w:caps w:val="0"/>
          <w:lang w:val="fr-CH"/>
        </w:rPr>
      </w:pPr>
    </w:p>
    <w:p w14:paraId="0B72D4EC" w14:textId="77777777" w:rsidR="00574BB0" w:rsidRPr="00FA1C92" w:rsidRDefault="00201AA1" w:rsidP="00201AA1">
      <w:pPr>
        <w:jc w:val="center"/>
        <w:rPr>
          <w:rFonts w:eastAsia="Batang" w:cs="Times New Roman"/>
          <w:sz w:val="17"/>
          <w:lang w:val="fr-CH"/>
        </w:rPr>
      </w:pPr>
      <w:r w:rsidRPr="00FA1C92">
        <w:rPr>
          <w:rFonts w:eastAsia="Batang" w:cs="Times New Roman"/>
          <w:sz w:val="17"/>
          <w:lang w:val="fr-CH"/>
        </w:rPr>
        <w:t>TABLE DES MATIÈRES</w:t>
      </w:r>
    </w:p>
    <w:p w14:paraId="4F5F1343" w14:textId="77777777" w:rsidR="00574BB0" w:rsidRPr="00FA1C92" w:rsidRDefault="00574BB0" w:rsidP="003C714E">
      <w:pPr>
        <w:tabs>
          <w:tab w:val="center" w:pos="4677"/>
          <w:tab w:val="left" w:pos="8397"/>
        </w:tabs>
        <w:rPr>
          <w:rFonts w:cs="Times New Roman"/>
          <w:sz w:val="17"/>
          <w:szCs w:val="17"/>
          <w:lang w:val="fr-CH"/>
        </w:rPr>
      </w:pPr>
    </w:p>
    <w:p w14:paraId="05265950" w14:textId="2971D56C" w:rsidR="00714729" w:rsidRPr="00714729" w:rsidRDefault="00714729" w:rsidP="007147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r-CH" w:eastAsia="en-US"/>
        </w:rPr>
      </w:pPr>
      <w:r>
        <w:rPr>
          <w:rFonts w:eastAsia="Batang"/>
          <w:caps/>
          <w:noProof/>
          <w:szCs w:val="17"/>
        </w:rPr>
        <w:fldChar w:fldCharType="begin"/>
      </w:r>
      <w:r w:rsidRPr="00714729">
        <w:rPr>
          <w:rFonts w:eastAsia="Batang"/>
          <w:caps/>
          <w:noProof/>
          <w:szCs w:val="17"/>
          <w:lang w:val="fr-CH"/>
        </w:rPr>
        <w:instrText xml:space="preserve"> TOC \o "1-3" \u </w:instrText>
      </w:r>
      <w:r>
        <w:rPr>
          <w:rFonts w:eastAsia="Batang"/>
          <w:caps/>
          <w:noProof/>
          <w:szCs w:val="17"/>
        </w:rPr>
        <w:fldChar w:fldCharType="separate"/>
      </w:r>
      <w:r w:rsidRPr="00FC28B2">
        <w:rPr>
          <w:rFonts w:eastAsia="Times New Roman"/>
          <w:noProof/>
          <w:lang w:val="fr-CH"/>
        </w:rPr>
        <w:t>INTRODUCTION</w:t>
      </w:r>
      <w:r w:rsidRPr="00714729">
        <w:rPr>
          <w:noProof/>
          <w:lang w:val="fr-CH"/>
        </w:rPr>
        <w:tab/>
      </w:r>
      <w:r>
        <w:rPr>
          <w:noProof/>
        </w:rPr>
        <w:fldChar w:fldCharType="begin"/>
      </w:r>
      <w:r w:rsidRPr="00714729">
        <w:rPr>
          <w:noProof/>
          <w:lang w:val="fr-CH"/>
        </w:rPr>
        <w:instrText xml:space="preserve"> PAGEREF _Toc55396110 \h </w:instrText>
      </w:r>
      <w:r>
        <w:rPr>
          <w:noProof/>
        </w:rPr>
      </w:r>
      <w:r>
        <w:rPr>
          <w:noProof/>
        </w:rPr>
        <w:fldChar w:fldCharType="separate"/>
      </w:r>
      <w:r w:rsidR="002573DE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2B3D1653" w14:textId="4103CA10" w:rsidR="00714729" w:rsidRPr="00714729" w:rsidRDefault="00714729" w:rsidP="007147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r-CH" w:eastAsia="en-US"/>
        </w:rPr>
      </w:pPr>
      <w:r w:rsidRPr="00FC28B2">
        <w:rPr>
          <w:rFonts w:eastAsia="Times New Roman" w:cs="Times New Roman"/>
          <w:noProof/>
          <w:lang w:val="fr-CH"/>
        </w:rPr>
        <w:t>DÉFINITIONS</w:t>
      </w:r>
      <w:r w:rsidRPr="00714729">
        <w:rPr>
          <w:noProof/>
          <w:lang w:val="fr-CH"/>
        </w:rPr>
        <w:tab/>
      </w:r>
      <w:r>
        <w:rPr>
          <w:noProof/>
        </w:rPr>
        <w:fldChar w:fldCharType="begin"/>
      </w:r>
      <w:r w:rsidRPr="00714729">
        <w:rPr>
          <w:noProof/>
          <w:lang w:val="fr-CH"/>
        </w:rPr>
        <w:instrText xml:space="preserve"> PAGEREF _Toc55396111 \h </w:instrText>
      </w:r>
      <w:r>
        <w:rPr>
          <w:noProof/>
        </w:rPr>
      </w:r>
      <w:r>
        <w:rPr>
          <w:noProof/>
        </w:rPr>
        <w:fldChar w:fldCharType="separate"/>
      </w:r>
      <w:r w:rsidR="002573DE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618E33D5" w14:textId="3E28B7BE" w:rsidR="00714729" w:rsidRPr="00714729" w:rsidRDefault="00714729" w:rsidP="007147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r-CH" w:eastAsia="en-US"/>
        </w:rPr>
      </w:pPr>
      <w:r w:rsidRPr="00FC28B2">
        <w:rPr>
          <w:rFonts w:eastAsia="Times New Roman" w:cs="Times New Roman"/>
          <w:noProof/>
          <w:lang w:val="fr-CH"/>
        </w:rPr>
        <w:t>RÉFÉRENCES</w:t>
      </w:r>
      <w:r w:rsidRPr="00714729">
        <w:rPr>
          <w:noProof/>
          <w:lang w:val="fr-CH"/>
        </w:rPr>
        <w:tab/>
      </w:r>
      <w:r>
        <w:rPr>
          <w:noProof/>
        </w:rPr>
        <w:fldChar w:fldCharType="begin"/>
      </w:r>
      <w:r w:rsidRPr="00714729">
        <w:rPr>
          <w:noProof/>
          <w:lang w:val="fr-CH"/>
        </w:rPr>
        <w:instrText xml:space="preserve"> PAGEREF _Toc55396112 \h </w:instrText>
      </w:r>
      <w:r>
        <w:rPr>
          <w:noProof/>
        </w:rPr>
      </w:r>
      <w:r>
        <w:rPr>
          <w:noProof/>
        </w:rPr>
        <w:fldChar w:fldCharType="separate"/>
      </w:r>
      <w:r w:rsidR="002573DE">
        <w:rPr>
          <w:noProof/>
          <w:lang w:val="fr-CH"/>
        </w:rPr>
        <w:t>2</w:t>
      </w:r>
      <w:r>
        <w:rPr>
          <w:noProof/>
        </w:rPr>
        <w:fldChar w:fldCharType="end"/>
      </w:r>
    </w:p>
    <w:p w14:paraId="27676FBC" w14:textId="7EEB85EC" w:rsidR="00714729" w:rsidRPr="00714729" w:rsidRDefault="00714729" w:rsidP="007147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r-CH" w:eastAsia="en-US"/>
        </w:rPr>
      </w:pPr>
      <w:r w:rsidRPr="00FC28B2">
        <w:rPr>
          <w:rFonts w:eastAsia="Times New Roman" w:cs="Times New Roman"/>
          <w:noProof/>
          <w:lang w:val="fr-CH"/>
        </w:rPr>
        <w:t>RECOMMANDATIONS GÉNÉRALES</w:t>
      </w:r>
      <w:r w:rsidRPr="00714729">
        <w:rPr>
          <w:noProof/>
          <w:lang w:val="fr-CH"/>
        </w:rPr>
        <w:tab/>
      </w:r>
      <w:r>
        <w:rPr>
          <w:noProof/>
        </w:rPr>
        <w:fldChar w:fldCharType="begin"/>
      </w:r>
      <w:r w:rsidRPr="00714729">
        <w:rPr>
          <w:noProof/>
          <w:lang w:val="fr-CH"/>
        </w:rPr>
        <w:instrText xml:space="preserve"> PAGEREF _Toc55396113 \h </w:instrText>
      </w:r>
      <w:r>
        <w:rPr>
          <w:noProof/>
        </w:rPr>
      </w:r>
      <w:r>
        <w:rPr>
          <w:noProof/>
        </w:rPr>
        <w:fldChar w:fldCharType="separate"/>
      </w:r>
      <w:r w:rsidR="002573DE">
        <w:rPr>
          <w:noProof/>
          <w:lang w:val="fr-CH"/>
        </w:rPr>
        <w:t>3</w:t>
      </w:r>
      <w:r>
        <w:rPr>
          <w:noProof/>
        </w:rPr>
        <w:fldChar w:fldCharType="end"/>
      </w:r>
    </w:p>
    <w:p w14:paraId="463654B7" w14:textId="6CF7BB92" w:rsidR="00714729" w:rsidRPr="00714729" w:rsidRDefault="00714729" w:rsidP="007147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r-CH" w:eastAsia="en-US"/>
        </w:rPr>
      </w:pPr>
      <w:r w:rsidRPr="00FC28B2">
        <w:rPr>
          <w:noProof/>
          <w:lang w:val="fr-CH"/>
        </w:rPr>
        <w:t>RECOMMANDATIONS CONCERNANT LA REPRÉSENTATION GRAPHIQUE DES MARQUES DE MOUVEMENT</w:t>
      </w:r>
      <w:r w:rsidRPr="00714729">
        <w:rPr>
          <w:noProof/>
          <w:lang w:val="fr-CH"/>
        </w:rPr>
        <w:tab/>
      </w:r>
      <w:r>
        <w:rPr>
          <w:noProof/>
        </w:rPr>
        <w:fldChar w:fldCharType="begin"/>
      </w:r>
      <w:r w:rsidRPr="00714729">
        <w:rPr>
          <w:noProof/>
          <w:lang w:val="fr-CH"/>
        </w:rPr>
        <w:instrText xml:space="preserve"> PAGEREF _Toc55396114 \h </w:instrText>
      </w:r>
      <w:r>
        <w:rPr>
          <w:noProof/>
        </w:rPr>
      </w:r>
      <w:r>
        <w:rPr>
          <w:noProof/>
        </w:rPr>
        <w:fldChar w:fldCharType="separate"/>
      </w:r>
      <w:r w:rsidR="002573DE">
        <w:rPr>
          <w:noProof/>
          <w:lang w:val="fr-CH"/>
        </w:rPr>
        <w:t>3</w:t>
      </w:r>
      <w:r>
        <w:rPr>
          <w:noProof/>
        </w:rPr>
        <w:fldChar w:fldCharType="end"/>
      </w:r>
    </w:p>
    <w:p w14:paraId="2D5CCD05" w14:textId="1923B574" w:rsidR="00714729" w:rsidRPr="00714729" w:rsidRDefault="00714729" w:rsidP="007147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r-CH" w:eastAsia="en-US"/>
        </w:rPr>
      </w:pPr>
      <w:r w:rsidRPr="00FC28B2">
        <w:rPr>
          <w:noProof/>
          <w:lang w:val="fr-CH"/>
        </w:rPr>
        <w:t>RECOMMANDATIONS CONCERNANT LA REPRÉSENTATION GRAPHIQUE DES MARQUES MULTIMÉDIAS</w:t>
      </w:r>
      <w:r w:rsidRPr="00714729">
        <w:rPr>
          <w:noProof/>
          <w:lang w:val="fr-CH"/>
        </w:rPr>
        <w:tab/>
      </w:r>
      <w:r>
        <w:rPr>
          <w:noProof/>
        </w:rPr>
        <w:fldChar w:fldCharType="begin"/>
      </w:r>
      <w:r w:rsidRPr="00714729">
        <w:rPr>
          <w:noProof/>
          <w:lang w:val="fr-CH"/>
        </w:rPr>
        <w:instrText xml:space="preserve"> PAGEREF _Toc55396115 \h </w:instrText>
      </w:r>
      <w:r>
        <w:rPr>
          <w:noProof/>
        </w:rPr>
      </w:r>
      <w:r>
        <w:rPr>
          <w:noProof/>
        </w:rPr>
        <w:fldChar w:fldCharType="separate"/>
      </w:r>
      <w:r w:rsidR="002573DE">
        <w:rPr>
          <w:noProof/>
          <w:lang w:val="fr-CH"/>
        </w:rPr>
        <w:t>3</w:t>
      </w:r>
      <w:r>
        <w:rPr>
          <w:noProof/>
        </w:rPr>
        <w:fldChar w:fldCharType="end"/>
      </w:r>
    </w:p>
    <w:p w14:paraId="5C31F8CE" w14:textId="1255AC01" w:rsidR="00714729" w:rsidRPr="00714729" w:rsidRDefault="00714729" w:rsidP="007147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r-CH" w:eastAsia="en-US"/>
        </w:rPr>
      </w:pPr>
      <w:r w:rsidRPr="00FC28B2">
        <w:rPr>
          <w:noProof/>
          <w:lang w:val="fr-CH"/>
        </w:rPr>
        <w:t>RECOMMANDATIONS CONCERNANT L’ENREGISTREMENT DE MARQUES DE MOUVEMENT OU MULTIMÉDIAS</w:t>
      </w:r>
      <w:r w:rsidRPr="00714729">
        <w:rPr>
          <w:noProof/>
          <w:lang w:val="fr-CH"/>
        </w:rPr>
        <w:tab/>
      </w:r>
      <w:r>
        <w:rPr>
          <w:noProof/>
        </w:rPr>
        <w:fldChar w:fldCharType="begin"/>
      </w:r>
      <w:r w:rsidRPr="00714729">
        <w:rPr>
          <w:noProof/>
          <w:lang w:val="fr-CH"/>
        </w:rPr>
        <w:instrText xml:space="preserve"> PAGEREF _Toc55396116 \h </w:instrText>
      </w:r>
      <w:r>
        <w:rPr>
          <w:noProof/>
        </w:rPr>
      </w:r>
      <w:r>
        <w:rPr>
          <w:noProof/>
        </w:rPr>
        <w:fldChar w:fldCharType="separate"/>
      </w:r>
      <w:r w:rsidR="002573DE">
        <w:rPr>
          <w:noProof/>
          <w:lang w:val="fr-CH"/>
        </w:rPr>
        <w:t>4</w:t>
      </w:r>
      <w:r>
        <w:rPr>
          <w:noProof/>
        </w:rPr>
        <w:fldChar w:fldCharType="end"/>
      </w:r>
    </w:p>
    <w:p w14:paraId="0422D553" w14:textId="4F343773" w:rsidR="00714729" w:rsidRPr="00714729" w:rsidRDefault="00714729" w:rsidP="007147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r-CH" w:eastAsia="en-US"/>
        </w:rPr>
      </w:pPr>
      <w:r w:rsidRPr="00FC28B2">
        <w:rPr>
          <w:noProof/>
          <w:lang w:val="fr-CH"/>
        </w:rPr>
        <w:t>RECOMMANDATIONS CONCERNANT LA DESCRIPTION TEXTUELLE DES MARQUES DE MOUVEMENT OU MULTIMÉDIA</w:t>
      </w:r>
      <w:r w:rsidRPr="00714729">
        <w:rPr>
          <w:noProof/>
          <w:lang w:val="fr-CH"/>
        </w:rPr>
        <w:tab/>
      </w:r>
      <w:r>
        <w:rPr>
          <w:noProof/>
        </w:rPr>
        <w:fldChar w:fldCharType="begin"/>
      </w:r>
      <w:r w:rsidRPr="00714729">
        <w:rPr>
          <w:noProof/>
          <w:lang w:val="fr-CH"/>
        </w:rPr>
        <w:instrText xml:space="preserve"> PAGEREF _Toc55396117 \h </w:instrText>
      </w:r>
      <w:r>
        <w:rPr>
          <w:noProof/>
        </w:rPr>
      </w:r>
      <w:r>
        <w:rPr>
          <w:noProof/>
        </w:rPr>
        <w:fldChar w:fldCharType="separate"/>
      </w:r>
      <w:r w:rsidR="002573DE">
        <w:rPr>
          <w:noProof/>
          <w:lang w:val="fr-CH"/>
        </w:rPr>
        <w:t>4</w:t>
      </w:r>
      <w:r>
        <w:rPr>
          <w:noProof/>
        </w:rPr>
        <w:fldChar w:fldCharType="end"/>
      </w:r>
    </w:p>
    <w:p w14:paraId="475E8680" w14:textId="34C12CEE" w:rsidR="00714729" w:rsidRPr="00714729" w:rsidRDefault="00714729" w:rsidP="0071472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r-CH" w:eastAsia="en-US"/>
        </w:rPr>
      </w:pPr>
      <w:r w:rsidRPr="00FC28B2">
        <w:rPr>
          <w:noProof/>
          <w:lang w:val="fr-CH"/>
        </w:rPr>
        <w:t>RECOMMANDATIONS CONCERNANT LA PUBLICATION DES MARQUES DE MOUVEMENT OU MULTIMÉDIA</w:t>
      </w:r>
      <w:r w:rsidRPr="00714729">
        <w:rPr>
          <w:noProof/>
          <w:lang w:val="fr-CH"/>
        </w:rPr>
        <w:tab/>
      </w:r>
      <w:r>
        <w:rPr>
          <w:noProof/>
        </w:rPr>
        <w:fldChar w:fldCharType="begin"/>
      </w:r>
      <w:r w:rsidRPr="00714729">
        <w:rPr>
          <w:noProof/>
          <w:lang w:val="fr-CH"/>
        </w:rPr>
        <w:instrText xml:space="preserve"> PAGEREF _Toc55396118 \h </w:instrText>
      </w:r>
      <w:r>
        <w:rPr>
          <w:noProof/>
        </w:rPr>
      </w:r>
      <w:r>
        <w:rPr>
          <w:noProof/>
        </w:rPr>
        <w:fldChar w:fldCharType="separate"/>
      </w:r>
      <w:r w:rsidR="002573DE">
        <w:rPr>
          <w:noProof/>
          <w:lang w:val="fr-CH"/>
        </w:rPr>
        <w:t>5</w:t>
      </w:r>
      <w:r>
        <w:rPr>
          <w:noProof/>
        </w:rPr>
        <w:fldChar w:fldCharType="end"/>
      </w:r>
    </w:p>
    <w:p w14:paraId="71D00767" w14:textId="255A5FB3" w:rsidR="00574BB0" w:rsidRPr="00A9056B" w:rsidRDefault="00714729" w:rsidP="003C714E">
      <w:pPr>
        <w:tabs>
          <w:tab w:val="center" w:pos="4677"/>
          <w:tab w:val="left" w:pos="8397"/>
        </w:tabs>
        <w:rPr>
          <w:sz w:val="17"/>
          <w:szCs w:val="17"/>
          <w:lang w:val="fr-CH"/>
        </w:rPr>
      </w:pPr>
      <w:r>
        <w:rPr>
          <w:rFonts w:eastAsia="Batang" w:cs="Times New Roman"/>
          <w:caps/>
          <w:noProof/>
          <w:sz w:val="17"/>
          <w:szCs w:val="17"/>
          <w:lang w:eastAsia="zh-CN"/>
        </w:rPr>
        <w:fldChar w:fldCharType="end"/>
      </w:r>
    </w:p>
    <w:p w14:paraId="3354DAD9" w14:textId="77777777" w:rsidR="008C4CA1" w:rsidRDefault="008C4CA1">
      <w:pPr>
        <w:rPr>
          <w:rFonts w:eastAsia="SimSun"/>
          <w:b/>
          <w:bCs/>
          <w:caps/>
          <w:kern w:val="32"/>
          <w:sz w:val="17"/>
          <w:szCs w:val="17"/>
          <w:lang w:val="fr-CH"/>
        </w:rPr>
      </w:pPr>
      <w:r>
        <w:rPr>
          <w:sz w:val="17"/>
          <w:szCs w:val="17"/>
          <w:lang w:val="fr-CH"/>
        </w:rPr>
        <w:br w:type="page"/>
      </w:r>
    </w:p>
    <w:p w14:paraId="667811F8" w14:textId="6B521E50" w:rsidR="00574BB0" w:rsidRPr="00714729" w:rsidRDefault="00714729" w:rsidP="00395C30">
      <w:pPr>
        <w:pStyle w:val="Heading2"/>
        <w:keepLines/>
      </w:pPr>
      <w:bookmarkStart w:id="11" w:name="_Toc55396110"/>
      <w:bookmarkStart w:id="12" w:name="_GoBack"/>
      <w:bookmarkEnd w:id="12"/>
      <w:r w:rsidRPr="00714729">
        <w:lastRenderedPageBreak/>
        <w:t>Introduction</w:t>
      </w:r>
      <w:bookmarkEnd w:id="11"/>
    </w:p>
    <w:p w14:paraId="319A273F" w14:textId="3C552B2C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780B8E" w:rsidRPr="00803C43">
        <w:rPr>
          <w:szCs w:val="17"/>
          <w:lang w:val="fr-CH"/>
        </w:rPr>
        <w:t xml:space="preserve">La présente norme </w:t>
      </w:r>
      <w:r w:rsidR="00A50CA0">
        <w:rPr>
          <w:szCs w:val="17"/>
          <w:lang w:val="fr-CH"/>
        </w:rPr>
        <w:t>fournit</w:t>
      </w:r>
      <w:r w:rsidR="00780B8E" w:rsidRPr="00803C43">
        <w:rPr>
          <w:szCs w:val="17"/>
          <w:lang w:val="fr-CH"/>
        </w:rPr>
        <w:t xml:space="preserve"> des recommandations concernant </w:t>
      </w:r>
      <w:r w:rsidR="00681C84">
        <w:rPr>
          <w:szCs w:val="17"/>
          <w:lang w:val="fr-CH"/>
        </w:rPr>
        <w:t>le dépôt</w:t>
      </w:r>
      <w:r w:rsidR="00780B8E" w:rsidRPr="00803C43">
        <w:rPr>
          <w:szCs w:val="17"/>
          <w:lang w:val="fr-CH"/>
        </w:rPr>
        <w:t xml:space="preserve"> de demandes de protection de marques </w:t>
      </w:r>
      <w:r w:rsidR="00201AA1" w:rsidRPr="00803C43">
        <w:rPr>
          <w:szCs w:val="17"/>
          <w:lang w:val="fr-CH"/>
        </w:rPr>
        <w:t xml:space="preserve">de mouvement et </w:t>
      </w:r>
      <w:r w:rsidR="004A4196">
        <w:rPr>
          <w:szCs w:val="17"/>
          <w:lang w:val="fr-CH"/>
        </w:rPr>
        <w:t xml:space="preserve">de marques </w:t>
      </w:r>
      <w:r w:rsidR="00201AA1" w:rsidRPr="00803C43">
        <w:rPr>
          <w:szCs w:val="17"/>
          <w:lang w:val="fr-CH"/>
        </w:rPr>
        <w:t xml:space="preserve">multimédias </w:t>
      </w:r>
      <w:r w:rsidR="005030E5" w:rsidRPr="00803C43">
        <w:rPr>
          <w:szCs w:val="17"/>
          <w:lang w:val="fr-CH"/>
        </w:rPr>
        <w:t>par voie électronique ou sur papier, le traitement électronique de ces demandes et leur publication</w:t>
      </w:r>
      <w:r w:rsidR="00201AA1" w:rsidRPr="00803C43">
        <w:rPr>
          <w:szCs w:val="17"/>
          <w:lang w:val="fr-CH"/>
        </w:rPr>
        <w:t>.</w:t>
      </w:r>
    </w:p>
    <w:p w14:paraId="190329E9" w14:textId="154C4CB4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9C7233" w:rsidRPr="00803C43">
        <w:rPr>
          <w:szCs w:val="17"/>
          <w:lang w:val="fr-CH"/>
        </w:rPr>
        <w:t xml:space="preserve">La </w:t>
      </w:r>
      <w:r w:rsidR="00270648" w:rsidRPr="00803C43">
        <w:rPr>
          <w:szCs w:val="17"/>
          <w:lang w:val="fr-CH"/>
        </w:rPr>
        <w:t xml:space="preserve">présente norme </w:t>
      </w:r>
      <w:r w:rsidR="009C7233" w:rsidRPr="00803C43">
        <w:rPr>
          <w:szCs w:val="17"/>
          <w:lang w:val="fr-CH"/>
        </w:rPr>
        <w:t>vise à faciliter le traitement de données et l</w:t>
      </w:r>
      <w:r w:rsidR="00F0551C">
        <w:rPr>
          <w:szCs w:val="17"/>
          <w:lang w:val="fr-CH"/>
        </w:rPr>
        <w:t>’</w:t>
      </w:r>
      <w:r w:rsidR="009C7233" w:rsidRPr="00803C43">
        <w:rPr>
          <w:szCs w:val="17"/>
          <w:lang w:val="fr-CH"/>
        </w:rPr>
        <w:t>échange d</w:t>
      </w:r>
      <w:r w:rsidR="00F0551C">
        <w:rPr>
          <w:szCs w:val="17"/>
          <w:lang w:val="fr-CH"/>
        </w:rPr>
        <w:t>’</w:t>
      </w:r>
      <w:r w:rsidR="009C7233" w:rsidRPr="00803C43">
        <w:rPr>
          <w:szCs w:val="17"/>
          <w:lang w:val="fr-CH"/>
        </w:rPr>
        <w:t xml:space="preserve">informations relatives </w:t>
      </w:r>
      <w:r w:rsidR="001063E3">
        <w:rPr>
          <w:szCs w:val="17"/>
          <w:lang w:val="fr-CH"/>
        </w:rPr>
        <w:t>aux</w:t>
      </w:r>
      <w:r w:rsidR="009C7233" w:rsidRPr="00803C43">
        <w:rPr>
          <w:szCs w:val="17"/>
          <w:lang w:val="fr-CH"/>
        </w:rPr>
        <w:t xml:space="preserve"> marque</w:t>
      </w:r>
      <w:r w:rsidR="001063E3">
        <w:rPr>
          <w:szCs w:val="17"/>
          <w:lang w:val="fr-CH"/>
        </w:rPr>
        <w:t>s</w:t>
      </w:r>
      <w:r w:rsidR="009C7233" w:rsidRPr="00803C43">
        <w:rPr>
          <w:szCs w:val="17"/>
          <w:lang w:val="fr-CH"/>
        </w:rPr>
        <w:t xml:space="preserve"> de mouvement ou multimédia</w:t>
      </w:r>
      <w:r w:rsidR="001063E3">
        <w:rPr>
          <w:szCs w:val="17"/>
          <w:lang w:val="fr-CH"/>
        </w:rPr>
        <w:t>s</w:t>
      </w:r>
      <w:r w:rsidR="009C7233" w:rsidRPr="00803C43">
        <w:rPr>
          <w:szCs w:val="17"/>
          <w:lang w:val="fr-CH"/>
        </w:rPr>
        <w:t xml:space="preserve"> entre les offices de propriété industrielle en </w:t>
      </w:r>
      <w:r w:rsidR="00FD33D9">
        <w:rPr>
          <w:szCs w:val="17"/>
          <w:lang w:val="fr-CH"/>
        </w:rPr>
        <w:t>four</w:t>
      </w:r>
      <w:r w:rsidR="003352DE">
        <w:rPr>
          <w:szCs w:val="17"/>
          <w:lang w:val="fr-CH"/>
        </w:rPr>
        <w:t>n</w:t>
      </w:r>
      <w:r w:rsidR="00FD33D9">
        <w:rPr>
          <w:szCs w:val="17"/>
          <w:lang w:val="fr-CH"/>
        </w:rPr>
        <w:t>issant</w:t>
      </w:r>
      <w:r w:rsidR="009C7233" w:rsidRPr="00803C43">
        <w:rPr>
          <w:szCs w:val="17"/>
          <w:lang w:val="fr-CH"/>
        </w:rPr>
        <w:t xml:space="preserve"> des principes directeurs sur la gestion électronique de l</w:t>
      </w:r>
      <w:r w:rsidR="00F0551C">
        <w:rPr>
          <w:szCs w:val="17"/>
          <w:lang w:val="fr-CH"/>
        </w:rPr>
        <w:t>’</w:t>
      </w:r>
      <w:r w:rsidR="009C7233" w:rsidRPr="00803C43">
        <w:rPr>
          <w:szCs w:val="17"/>
          <w:lang w:val="fr-CH"/>
        </w:rPr>
        <w:t>enregistrement du mouvement ou multimédia constituant la marque, sa représentation graphique et sa description textuelle.</w:t>
      </w:r>
    </w:p>
    <w:p w14:paraId="20499A22" w14:textId="504E021D" w:rsidR="00574BB0" w:rsidRPr="00803C43" w:rsidRDefault="00714729" w:rsidP="00395C30">
      <w:pPr>
        <w:pStyle w:val="Heading2"/>
        <w:keepLines/>
      </w:pPr>
      <w:bookmarkStart w:id="13" w:name="_Toc55396111"/>
      <w:r w:rsidRPr="00803C43">
        <w:t>Définitions</w:t>
      </w:r>
      <w:bookmarkEnd w:id="13"/>
    </w:p>
    <w:p w14:paraId="2C60B2C2" w14:textId="57A09D86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196AAD" w:rsidRPr="00803C43">
        <w:rPr>
          <w:szCs w:val="17"/>
          <w:lang w:val="fr-CH"/>
        </w:rPr>
        <w:t>Aux fins de la présente norme, l</w:t>
      </w:r>
      <w:r w:rsidR="00F0551C">
        <w:rPr>
          <w:szCs w:val="17"/>
          <w:lang w:val="fr-CH"/>
        </w:rPr>
        <w:t>’</w:t>
      </w:r>
      <w:r w:rsidR="00196AAD" w:rsidRPr="00803C43">
        <w:rPr>
          <w:szCs w:val="17"/>
          <w:lang w:val="fr-CH"/>
        </w:rPr>
        <w:t>expression</w:t>
      </w:r>
      <w:r w:rsidR="00F0551C">
        <w:rPr>
          <w:szCs w:val="17"/>
          <w:lang w:val="fr-CH"/>
        </w:rPr>
        <w:t> :</w:t>
      </w:r>
    </w:p>
    <w:p w14:paraId="375BE505" w14:textId="034D094C" w:rsidR="00574BB0" w:rsidRPr="00803C43" w:rsidRDefault="00803C43" w:rsidP="00395C30">
      <w:pPr>
        <w:pStyle w:val="List0R"/>
        <w:keepLines w:val="0"/>
        <w:numPr>
          <w:ilvl w:val="0"/>
          <w:numId w:val="10"/>
        </w:numPr>
        <w:tabs>
          <w:tab w:val="left" w:pos="1134"/>
        </w:tabs>
        <w:spacing w:before="150" w:after="0"/>
        <w:ind w:left="0" w:firstLine="562"/>
        <w:rPr>
          <w:szCs w:val="17"/>
          <w:lang w:val="fr-CH"/>
        </w:rPr>
      </w:pPr>
      <w:r>
        <w:rPr>
          <w:szCs w:val="17"/>
          <w:lang w:val="fr-CH"/>
        </w:rPr>
        <w:t>“</w:t>
      </w:r>
      <w:r w:rsidR="00196AAD" w:rsidRPr="00803C43">
        <w:rPr>
          <w:szCs w:val="17"/>
          <w:lang w:val="fr-CH"/>
        </w:rPr>
        <w:t>marque</w:t>
      </w:r>
      <w:r>
        <w:rPr>
          <w:szCs w:val="17"/>
          <w:lang w:val="fr-CH"/>
        </w:rPr>
        <w:t>”</w:t>
      </w:r>
      <w:r w:rsidR="00196AAD" w:rsidRPr="00803C43">
        <w:rPr>
          <w:szCs w:val="17"/>
          <w:lang w:val="fr-CH"/>
        </w:rPr>
        <w:t xml:space="preserve"> désigne</w:t>
      </w:r>
      <w:r w:rsidR="00940605" w:rsidRPr="00803C43">
        <w:rPr>
          <w:szCs w:val="17"/>
          <w:lang w:val="fr-CH"/>
        </w:rPr>
        <w:t xml:space="preserve"> une</w:t>
      </w:r>
      <w:r w:rsidR="00196AAD" w:rsidRPr="00803C43">
        <w:rPr>
          <w:szCs w:val="17"/>
          <w:lang w:val="fr-CH"/>
        </w:rPr>
        <w:t xml:space="preserve"> </w:t>
      </w:r>
      <w:r w:rsidR="003352DE">
        <w:rPr>
          <w:szCs w:val="17"/>
          <w:lang w:val="fr-CH"/>
        </w:rPr>
        <w:t>marque de produit</w:t>
      </w:r>
      <w:r w:rsidR="00C1327B">
        <w:rPr>
          <w:szCs w:val="17"/>
          <w:lang w:val="fr-CH"/>
        </w:rPr>
        <w:t>s</w:t>
      </w:r>
      <w:r w:rsidR="003352DE">
        <w:rPr>
          <w:szCs w:val="17"/>
          <w:lang w:val="fr-CH"/>
        </w:rPr>
        <w:t xml:space="preserve"> ou de service</w:t>
      </w:r>
      <w:r w:rsidR="00C1327B">
        <w:rPr>
          <w:szCs w:val="17"/>
          <w:lang w:val="fr-CH"/>
        </w:rPr>
        <w:t>s</w:t>
      </w:r>
      <w:r w:rsidR="00196AAD" w:rsidRPr="00803C43">
        <w:rPr>
          <w:szCs w:val="17"/>
          <w:lang w:val="fr-CH"/>
        </w:rPr>
        <w:t xml:space="preserve"> telle que définie dans la législation concernée;</w:t>
      </w:r>
    </w:p>
    <w:p w14:paraId="1ADF84EB" w14:textId="2A89E495" w:rsidR="00574BB0" w:rsidRPr="00803C43" w:rsidRDefault="00803C43" w:rsidP="00395C30">
      <w:pPr>
        <w:pStyle w:val="List0R"/>
        <w:keepLines w:val="0"/>
        <w:numPr>
          <w:ilvl w:val="0"/>
          <w:numId w:val="10"/>
        </w:numPr>
        <w:tabs>
          <w:tab w:val="left" w:pos="1134"/>
        </w:tabs>
        <w:spacing w:before="150" w:after="0"/>
        <w:ind w:left="0" w:firstLine="562"/>
        <w:rPr>
          <w:szCs w:val="17"/>
          <w:lang w:val="fr-CH"/>
        </w:rPr>
      </w:pPr>
      <w:r>
        <w:rPr>
          <w:szCs w:val="17"/>
          <w:lang w:val="fr-CH"/>
        </w:rPr>
        <w:t>“</w:t>
      </w:r>
      <w:r w:rsidR="00927F50" w:rsidRPr="00803C43">
        <w:rPr>
          <w:szCs w:val="17"/>
          <w:lang w:val="fr-CH"/>
        </w:rPr>
        <w:t>marque de mouvement</w:t>
      </w:r>
      <w:r>
        <w:rPr>
          <w:szCs w:val="17"/>
          <w:lang w:val="fr-CH"/>
        </w:rPr>
        <w:t>”</w:t>
      </w:r>
      <w:r w:rsidR="00927F50" w:rsidRPr="00803C43">
        <w:rPr>
          <w:szCs w:val="17"/>
          <w:lang w:val="fr-CH"/>
        </w:rPr>
        <w:t xml:space="preserve"> désigne un type de marque qui consiste en un mouvement;</w:t>
      </w:r>
    </w:p>
    <w:p w14:paraId="32A5B81C" w14:textId="5949BD0F" w:rsidR="00574BB0" w:rsidRPr="00803C43" w:rsidRDefault="00803C43" w:rsidP="00395C30">
      <w:pPr>
        <w:pStyle w:val="List0R"/>
        <w:keepLines w:val="0"/>
        <w:numPr>
          <w:ilvl w:val="0"/>
          <w:numId w:val="10"/>
        </w:numPr>
        <w:tabs>
          <w:tab w:val="left" w:pos="1134"/>
        </w:tabs>
        <w:spacing w:before="150" w:after="0"/>
        <w:ind w:left="0" w:firstLine="562"/>
        <w:rPr>
          <w:szCs w:val="17"/>
          <w:lang w:val="fr-CH"/>
        </w:rPr>
      </w:pPr>
      <w:r>
        <w:rPr>
          <w:szCs w:val="17"/>
          <w:lang w:val="fr-CH"/>
        </w:rPr>
        <w:t>“</w:t>
      </w:r>
      <w:r w:rsidR="00927F50" w:rsidRPr="00803C43">
        <w:rPr>
          <w:szCs w:val="17"/>
          <w:lang w:val="fr-CH"/>
        </w:rPr>
        <w:t>marque multimédia</w:t>
      </w:r>
      <w:r>
        <w:rPr>
          <w:szCs w:val="17"/>
          <w:lang w:val="fr-CH"/>
        </w:rPr>
        <w:t>”</w:t>
      </w:r>
      <w:r w:rsidR="00927F50" w:rsidRPr="00803C43">
        <w:rPr>
          <w:szCs w:val="17"/>
          <w:lang w:val="fr-CH"/>
        </w:rPr>
        <w:t xml:space="preserve"> désigne un type de marque qui </w:t>
      </w:r>
      <w:r w:rsidR="00940605" w:rsidRPr="00803C43">
        <w:rPr>
          <w:szCs w:val="17"/>
          <w:lang w:val="fr-CH"/>
        </w:rPr>
        <w:t>combine</w:t>
      </w:r>
      <w:r w:rsidR="00927F50" w:rsidRPr="00803C43">
        <w:rPr>
          <w:szCs w:val="17"/>
          <w:lang w:val="fr-CH"/>
        </w:rPr>
        <w:t xml:space="preserve"> des éléments de mouvement et de son, cette combinaison étant dénommée ci</w:t>
      </w:r>
      <w:r w:rsidR="00714729">
        <w:rPr>
          <w:szCs w:val="17"/>
          <w:lang w:val="fr-CH"/>
        </w:rPr>
        <w:noBreakHyphen/>
      </w:r>
      <w:r w:rsidR="00927F50" w:rsidRPr="00803C43">
        <w:rPr>
          <w:szCs w:val="17"/>
          <w:lang w:val="fr-CH"/>
        </w:rPr>
        <w:t xml:space="preserve">après </w:t>
      </w:r>
      <w:r>
        <w:rPr>
          <w:szCs w:val="17"/>
          <w:lang w:val="fr-CH"/>
        </w:rPr>
        <w:t>“</w:t>
      </w:r>
      <w:r w:rsidR="00927F50" w:rsidRPr="00803C43">
        <w:rPr>
          <w:szCs w:val="17"/>
          <w:lang w:val="fr-CH"/>
        </w:rPr>
        <w:t>multimédia</w:t>
      </w:r>
      <w:r>
        <w:rPr>
          <w:szCs w:val="17"/>
          <w:lang w:val="fr-CH"/>
        </w:rPr>
        <w:t>”</w:t>
      </w:r>
      <w:r w:rsidR="00927F50" w:rsidRPr="00803C43">
        <w:rPr>
          <w:szCs w:val="17"/>
          <w:lang w:val="fr-CH"/>
        </w:rPr>
        <w:t>;</w:t>
      </w:r>
    </w:p>
    <w:p w14:paraId="592AC4BB" w14:textId="46E1BBA4" w:rsidR="00574BB0" w:rsidRPr="00803C43" w:rsidRDefault="00803C43" w:rsidP="00395C30">
      <w:pPr>
        <w:pStyle w:val="List0R"/>
        <w:keepLines w:val="0"/>
        <w:numPr>
          <w:ilvl w:val="0"/>
          <w:numId w:val="10"/>
        </w:numPr>
        <w:tabs>
          <w:tab w:val="left" w:pos="1134"/>
        </w:tabs>
        <w:spacing w:before="150" w:after="0"/>
        <w:ind w:left="0" w:firstLine="562"/>
        <w:rPr>
          <w:szCs w:val="17"/>
          <w:lang w:val="fr-CH"/>
        </w:rPr>
      </w:pPr>
      <w:r>
        <w:rPr>
          <w:szCs w:val="17"/>
          <w:lang w:val="fr-CH"/>
        </w:rPr>
        <w:t>“</w:t>
      </w:r>
      <w:r w:rsidR="00F92A6A" w:rsidRPr="00803C43">
        <w:rPr>
          <w:szCs w:val="17"/>
          <w:lang w:val="fr-CH"/>
        </w:rPr>
        <w:t>bulletin officiel</w:t>
      </w:r>
      <w:r>
        <w:rPr>
          <w:szCs w:val="17"/>
          <w:lang w:val="fr-CH"/>
        </w:rPr>
        <w:t>”</w:t>
      </w:r>
      <w:r w:rsidR="00F92A6A" w:rsidRPr="00803C43">
        <w:rPr>
          <w:szCs w:val="17"/>
          <w:lang w:val="fr-CH"/>
        </w:rPr>
        <w:t xml:space="preserve"> désigne une </w:t>
      </w:r>
      <w:r w:rsidR="00662C83" w:rsidRPr="00803C43">
        <w:rPr>
          <w:szCs w:val="17"/>
          <w:lang w:val="fr-CH"/>
        </w:rPr>
        <w:t>publication</w:t>
      </w:r>
      <w:r w:rsidR="00F92A6A" w:rsidRPr="00803C43">
        <w:rPr>
          <w:szCs w:val="17"/>
          <w:lang w:val="fr-CH"/>
        </w:rPr>
        <w:t xml:space="preserve"> officielle</w:t>
      </w:r>
      <w:r w:rsidR="00604EF1" w:rsidRPr="00803C43">
        <w:rPr>
          <w:szCs w:val="17"/>
          <w:lang w:val="fr-CH"/>
        </w:rPr>
        <w:t xml:space="preserve"> </w:t>
      </w:r>
      <w:r w:rsidR="00F92A6A" w:rsidRPr="00803C43">
        <w:rPr>
          <w:szCs w:val="17"/>
          <w:lang w:val="fr-CH"/>
        </w:rPr>
        <w:t xml:space="preserve">contenant des annonces relatives aux marques </w:t>
      </w:r>
      <w:r w:rsidR="005719F0">
        <w:rPr>
          <w:szCs w:val="17"/>
          <w:lang w:val="fr-CH"/>
        </w:rPr>
        <w:t xml:space="preserve">publiée </w:t>
      </w:r>
      <w:r w:rsidR="00F92A6A" w:rsidRPr="00803C43">
        <w:rPr>
          <w:szCs w:val="17"/>
          <w:lang w:val="fr-CH"/>
        </w:rPr>
        <w:t>conformément aux dispositions de la législation nationale sur la propriété industrielle ou des conventions ou traités internationaux en la matière;</w:t>
      </w:r>
    </w:p>
    <w:p w14:paraId="5E5682B7" w14:textId="5FE21ECB" w:rsidR="00574BB0" w:rsidRPr="00803C43" w:rsidRDefault="00803C43" w:rsidP="00395C30">
      <w:pPr>
        <w:pStyle w:val="List0R"/>
        <w:keepLines w:val="0"/>
        <w:numPr>
          <w:ilvl w:val="0"/>
          <w:numId w:val="10"/>
        </w:numPr>
        <w:tabs>
          <w:tab w:val="left" w:pos="1134"/>
        </w:tabs>
        <w:spacing w:before="150" w:after="0"/>
        <w:ind w:left="0" w:firstLine="562"/>
        <w:rPr>
          <w:szCs w:val="17"/>
          <w:lang w:val="fr-CH"/>
        </w:rPr>
      </w:pPr>
      <w:r>
        <w:rPr>
          <w:szCs w:val="17"/>
          <w:lang w:val="fr-CH"/>
        </w:rPr>
        <w:t>“</w:t>
      </w:r>
      <w:r w:rsidR="00F92A6A" w:rsidRPr="00803C43">
        <w:rPr>
          <w:szCs w:val="17"/>
          <w:lang w:val="fr-CH"/>
        </w:rPr>
        <w:t>avis dans un bulletin officiel</w:t>
      </w:r>
      <w:r>
        <w:rPr>
          <w:szCs w:val="17"/>
          <w:lang w:val="fr-CH"/>
        </w:rPr>
        <w:t>”</w:t>
      </w:r>
      <w:r w:rsidR="00F92A6A" w:rsidRPr="00803C43">
        <w:rPr>
          <w:szCs w:val="17"/>
          <w:lang w:val="fr-CH"/>
        </w:rPr>
        <w:t xml:space="preserve"> désigne une annonce complète – </w:t>
      </w:r>
      <w:r w:rsidR="00F0551C">
        <w:rPr>
          <w:szCs w:val="17"/>
          <w:lang w:val="fr-CH"/>
        </w:rPr>
        <w:t>y compris</w:t>
      </w:r>
      <w:r w:rsidR="00F92A6A" w:rsidRPr="00803C43">
        <w:rPr>
          <w:szCs w:val="17"/>
          <w:lang w:val="fr-CH"/>
        </w:rPr>
        <w:t xml:space="preserve"> les données bibliographiques –publiée dans un bulletin officiel concern</w:t>
      </w:r>
      <w:r w:rsidR="00604EF1" w:rsidRPr="00803C43">
        <w:rPr>
          <w:szCs w:val="17"/>
          <w:lang w:val="fr-CH"/>
        </w:rPr>
        <w:t>ant</w:t>
      </w:r>
      <w:r w:rsidR="00B36F42" w:rsidRPr="00803C43">
        <w:rPr>
          <w:szCs w:val="17"/>
          <w:lang w:val="fr-CH"/>
        </w:rPr>
        <w:t xml:space="preserve"> u</w:t>
      </w:r>
      <w:r w:rsidR="00F92A6A" w:rsidRPr="00803C43">
        <w:rPr>
          <w:szCs w:val="17"/>
          <w:lang w:val="fr-CH"/>
        </w:rPr>
        <w:t>ne demande d</w:t>
      </w:r>
      <w:r w:rsidR="00F0551C">
        <w:rPr>
          <w:szCs w:val="17"/>
          <w:lang w:val="fr-CH"/>
        </w:rPr>
        <w:t>’</w:t>
      </w:r>
      <w:r w:rsidR="00F92A6A" w:rsidRPr="00803C43">
        <w:rPr>
          <w:szCs w:val="17"/>
          <w:lang w:val="fr-CH"/>
        </w:rPr>
        <w:t>enregistrement</w:t>
      </w:r>
      <w:r w:rsidR="00316E37" w:rsidRPr="00803C43">
        <w:rPr>
          <w:szCs w:val="17"/>
          <w:lang w:val="fr-CH"/>
        </w:rPr>
        <w:t xml:space="preserve"> de marque</w:t>
      </w:r>
      <w:r w:rsidR="00F92A6A" w:rsidRPr="00803C43">
        <w:rPr>
          <w:szCs w:val="17"/>
          <w:lang w:val="fr-CH"/>
        </w:rPr>
        <w:t xml:space="preserve"> ou </w:t>
      </w:r>
      <w:r w:rsidR="002D5A85" w:rsidRPr="00803C43">
        <w:rPr>
          <w:szCs w:val="17"/>
          <w:lang w:val="fr-CH"/>
        </w:rPr>
        <w:t xml:space="preserve">un </w:t>
      </w:r>
      <w:r w:rsidR="00F92A6A" w:rsidRPr="00803C43">
        <w:rPr>
          <w:szCs w:val="17"/>
          <w:lang w:val="fr-CH"/>
        </w:rPr>
        <w:t xml:space="preserve">enregistrement </w:t>
      </w:r>
      <w:r w:rsidR="002D5A85" w:rsidRPr="00803C43">
        <w:rPr>
          <w:szCs w:val="17"/>
          <w:lang w:val="fr-CH"/>
        </w:rPr>
        <w:t xml:space="preserve">de </w:t>
      </w:r>
      <w:r w:rsidR="00F92A6A" w:rsidRPr="00803C43">
        <w:rPr>
          <w:szCs w:val="17"/>
          <w:lang w:val="fr-CH"/>
        </w:rPr>
        <w:t>marque;</w:t>
      </w:r>
    </w:p>
    <w:p w14:paraId="120F72CF" w14:textId="77DB7BFE" w:rsidR="00F0551C" w:rsidRDefault="00803C43" w:rsidP="00395C30">
      <w:pPr>
        <w:pStyle w:val="List0R"/>
        <w:keepLines w:val="0"/>
        <w:numPr>
          <w:ilvl w:val="0"/>
          <w:numId w:val="10"/>
        </w:numPr>
        <w:tabs>
          <w:tab w:val="left" w:pos="1134"/>
        </w:tabs>
        <w:spacing w:before="150" w:after="0"/>
        <w:ind w:left="0" w:firstLine="562"/>
        <w:rPr>
          <w:szCs w:val="17"/>
          <w:lang w:val="fr-CH"/>
        </w:rPr>
      </w:pPr>
      <w:r>
        <w:rPr>
          <w:szCs w:val="17"/>
          <w:lang w:val="fr-CH"/>
        </w:rPr>
        <w:t>“</w:t>
      </w:r>
      <w:r w:rsidR="00927F50" w:rsidRPr="00803C43">
        <w:rPr>
          <w:szCs w:val="17"/>
          <w:lang w:val="fr-CH"/>
        </w:rPr>
        <w:t>Moving Picture Experts Group (MPEG)</w:t>
      </w:r>
      <w:r>
        <w:rPr>
          <w:szCs w:val="17"/>
          <w:lang w:val="fr-CH"/>
        </w:rPr>
        <w:t>”</w:t>
      </w:r>
      <w:r w:rsidR="00927F50" w:rsidRPr="00803C43">
        <w:rPr>
          <w:szCs w:val="17"/>
          <w:lang w:val="fr-CH"/>
        </w:rPr>
        <w:t xml:space="preserve"> désigne un ensemble de normes relatives à la compression et à la transmission de données audio et vidéo établies par </w:t>
      </w:r>
      <w:r w:rsidR="008C4CA1">
        <w:t>l’Organisation internationale de normalisation (ISO) et la Commission électrotechnique internationale (CEI)</w:t>
      </w:r>
      <w:r w:rsidR="00927F50" w:rsidRPr="00803C43">
        <w:rPr>
          <w:szCs w:val="17"/>
          <w:lang w:val="fr-CH"/>
        </w:rPr>
        <w:t>;</w:t>
      </w:r>
    </w:p>
    <w:p w14:paraId="463224CC" w14:textId="1F39C4E9" w:rsidR="00574BB0" w:rsidRDefault="00803C43" w:rsidP="00395C30">
      <w:pPr>
        <w:pStyle w:val="List0R"/>
        <w:keepLines w:val="0"/>
        <w:numPr>
          <w:ilvl w:val="0"/>
          <w:numId w:val="10"/>
        </w:numPr>
        <w:tabs>
          <w:tab w:val="left" w:pos="1134"/>
        </w:tabs>
        <w:spacing w:before="150" w:after="0"/>
        <w:ind w:left="0" w:firstLine="562"/>
        <w:rPr>
          <w:szCs w:val="17"/>
          <w:lang w:val="fr-CH"/>
        </w:rPr>
      </w:pPr>
      <w:r>
        <w:rPr>
          <w:szCs w:val="17"/>
          <w:lang w:val="fr-CH"/>
        </w:rPr>
        <w:t>“</w:t>
      </w:r>
      <w:r w:rsidR="004D072F" w:rsidRPr="00803C43">
        <w:rPr>
          <w:szCs w:val="17"/>
          <w:lang w:val="fr-CH"/>
        </w:rPr>
        <w:t>codec</w:t>
      </w:r>
      <w:r>
        <w:rPr>
          <w:szCs w:val="17"/>
          <w:lang w:val="fr-CH"/>
        </w:rPr>
        <w:t>”</w:t>
      </w:r>
      <w:r w:rsidR="004D072F" w:rsidRPr="00803C43">
        <w:rPr>
          <w:szCs w:val="17"/>
          <w:lang w:val="fr-CH"/>
        </w:rPr>
        <w:t xml:space="preserve"> désigne une méthode logicielle de codage et de décodage de données vidéo ou audio, </w:t>
      </w:r>
      <w:r w:rsidR="004233B1" w:rsidRPr="00803C43">
        <w:rPr>
          <w:szCs w:val="17"/>
          <w:lang w:val="fr-CH"/>
        </w:rPr>
        <w:t>entre autres</w:t>
      </w:r>
      <w:r w:rsidR="004D072F" w:rsidRPr="00803C43">
        <w:rPr>
          <w:szCs w:val="17"/>
          <w:lang w:val="fr-CH"/>
        </w:rPr>
        <w:t>, utilisée pour comprimer ces données en vue de leur stockage.</w:t>
      </w:r>
      <w:r w:rsidR="00BC2DE4" w:rsidRPr="00803C43">
        <w:rPr>
          <w:szCs w:val="17"/>
          <w:lang w:val="fr-CH"/>
        </w:rPr>
        <w:t xml:space="preserve">  </w:t>
      </w:r>
      <w:r w:rsidR="004D072F" w:rsidRPr="00803C43">
        <w:rPr>
          <w:szCs w:val="17"/>
          <w:lang w:val="fr-CH"/>
        </w:rPr>
        <w:t>Les codecs vidéo couverts par la présente norme sont les suivants</w:t>
      </w:r>
      <w:r w:rsidR="00256E68">
        <w:rPr>
          <w:szCs w:val="17"/>
          <w:lang w:val="fr-CH"/>
        </w:rPr>
        <w:t> </w:t>
      </w:r>
      <w:r w:rsidR="004D072F" w:rsidRPr="00803C43">
        <w:rPr>
          <w:szCs w:val="17"/>
          <w:lang w:val="fr-CH"/>
        </w:rPr>
        <w:t>:</w:t>
      </w:r>
    </w:p>
    <w:p w14:paraId="0643F44B" w14:textId="77777777" w:rsidR="008C4CA1" w:rsidRPr="00803C43" w:rsidRDefault="008C4CA1" w:rsidP="00395C30">
      <w:pPr>
        <w:pStyle w:val="List0R"/>
        <w:keepLines w:val="0"/>
        <w:tabs>
          <w:tab w:val="left" w:pos="1134"/>
        </w:tabs>
        <w:spacing w:after="0"/>
        <w:ind w:firstLine="0"/>
        <w:rPr>
          <w:szCs w:val="17"/>
          <w:lang w:val="fr-CH"/>
        </w:rPr>
      </w:pPr>
    </w:p>
    <w:p w14:paraId="19B76320" w14:textId="416A0027" w:rsidR="00F0551C" w:rsidRDefault="004D072F" w:rsidP="00395C30">
      <w:pPr>
        <w:pStyle w:val="List0"/>
        <w:keepLines w:val="0"/>
        <w:numPr>
          <w:ilvl w:val="0"/>
          <w:numId w:val="17"/>
        </w:numPr>
        <w:tabs>
          <w:tab w:val="left" w:pos="567"/>
        </w:tabs>
        <w:ind w:left="1701" w:hanging="567"/>
        <w:rPr>
          <w:szCs w:val="17"/>
          <w:lang w:val="fr-CH"/>
        </w:rPr>
      </w:pPr>
      <w:r w:rsidRPr="00803C43">
        <w:rPr>
          <w:szCs w:val="17"/>
          <w:lang w:val="fr-CH"/>
        </w:rPr>
        <w:t xml:space="preserve">MPEG </w:t>
      </w:r>
      <w:r w:rsidR="00714729">
        <w:rPr>
          <w:szCs w:val="17"/>
          <w:lang w:val="fr-CH"/>
        </w:rPr>
        <w:noBreakHyphen/>
      </w:r>
      <w:r w:rsidRPr="00803C43">
        <w:rPr>
          <w:szCs w:val="17"/>
          <w:lang w:val="fr-CH"/>
        </w:rPr>
        <w:t xml:space="preserve">1, </w:t>
      </w:r>
      <w:r w:rsidR="00C909F9" w:rsidRPr="00803C43">
        <w:rPr>
          <w:szCs w:val="17"/>
          <w:lang w:val="fr-CH"/>
        </w:rPr>
        <w:t>décrit dans</w:t>
      </w:r>
      <w:r w:rsidRPr="00803C43">
        <w:rPr>
          <w:szCs w:val="17"/>
          <w:lang w:val="fr-CH"/>
        </w:rPr>
        <w:t xml:space="preserve"> la norme</w:t>
      </w:r>
      <w:r w:rsidR="00256E68">
        <w:rPr>
          <w:szCs w:val="17"/>
          <w:lang w:val="fr-CH"/>
        </w:rPr>
        <w:t> </w:t>
      </w:r>
      <w:r w:rsidRPr="00803C43">
        <w:rPr>
          <w:szCs w:val="17"/>
          <w:lang w:val="fr-CH"/>
        </w:rPr>
        <w:t>ISO/CEI</w:t>
      </w:r>
      <w:r w:rsidR="00714729">
        <w:rPr>
          <w:szCs w:val="17"/>
          <w:lang w:val="fr-CH"/>
        </w:rPr>
        <w:noBreakHyphen/>
      </w:r>
      <w:r w:rsidRPr="00803C43">
        <w:rPr>
          <w:szCs w:val="17"/>
          <w:lang w:val="fr-CH"/>
        </w:rPr>
        <w:t>11172</w:t>
      </w:r>
      <w:r w:rsidR="00714729">
        <w:rPr>
          <w:szCs w:val="17"/>
          <w:lang w:val="fr-CH"/>
        </w:rPr>
        <w:noBreakHyphen/>
      </w:r>
      <w:r w:rsidRPr="00803C43">
        <w:rPr>
          <w:szCs w:val="17"/>
          <w:lang w:val="fr-CH"/>
        </w:rPr>
        <w:t>2;</w:t>
      </w:r>
    </w:p>
    <w:p w14:paraId="7FEE6059" w14:textId="59A7FF6D" w:rsidR="00F0551C" w:rsidRDefault="001D475A" w:rsidP="00395C30">
      <w:pPr>
        <w:pStyle w:val="List0"/>
        <w:keepLines w:val="0"/>
        <w:numPr>
          <w:ilvl w:val="0"/>
          <w:numId w:val="17"/>
        </w:numPr>
        <w:tabs>
          <w:tab w:val="left" w:pos="567"/>
        </w:tabs>
        <w:spacing w:before="150" w:after="0"/>
        <w:ind w:left="1701" w:hanging="567"/>
        <w:rPr>
          <w:szCs w:val="17"/>
          <w:lang w:val="fr-CH"/>
        </w:rPr>
      </w:pPr>
      <w:r w:rsidRPr="00803C43">
        <w:rPr>
          <w:szCs w:val="17"/>
          <w:lang w:val="fr-CH"/>
        </w:rPr>
        <w:t>MPEG</w:t>
      </w:r>
      <w:r w:rsidR="00714729">
        <w:rPr>
          <w:szCs w:val="17"/>
          <w:lang w:val="fr-CH"/>
        </w:rPr>
        <w:noBreakHyphen/>
      </w:r>
      <w:r w:rsidRPr="00803C43">
        <w:rPr>
          <w:szCs w:val="17"/>
          <w:lang w:val="fr-CH"/>
        </w:rPr>
        <w:t xml:space="preserve">2 partie 2, </w:t>
      </w:r>
      <w:r w:rsidR="00C909F9" w:rsidRPr="00803C43">
        <w:rPr>
          <w:szCs w:val="17"/>
          <w:lang w:val="fr-CH"/>
        </w:rPr>
        <w:t xml:space="preserve">décrit dans </w:t>
      </w:r>
      <w:r w:rsidRPr="00803C43">
        <w:rPr>
          <w:szCs w:val="17"/>
          <w:lang w:val="fr-CH"/>
        </w:rPr>
        <w:t>la norme</w:t>
      </w:r>
      <w:r w:rsidR="00256E68">
        <w:rPr>
          <w:szCs w:val="17"/>
          <w:lang w:val="fr-CH"/>
        </w:rPr>
        <w:t> </w:t>
      </w:r>
      <w:r w:rsidRPr="00803C43">
        <w:rPr>
          <w:szCs w:val="17"/>
          <w:lang w:val="fr-CH"/>
        </w:rPr>
        <w:t>ISO/CEI 13818</w:t>
      </w:r>
      <w:r w:rsidR="00714729">
        <w:rPr>
          <w:szCs w:val="17"/>
          <w:lang w:val="fr-CH"/>
        </w:rPr>
        <w:noBreakHyphen/>
      </w:r>
      <w:r w:rsidRPr="00803C43">
        <w:rPr>
          <w:szCs w:val="17"/>
          <w:lang w:val="fr-CH"/>
        </w:rPr>
        <w:t>2 et la recommandation H.262 de l</w:t>
      </w:r>
      <w:r w:rsidR="00F0551C">
        <w:rPr>
          <w:szCs w:val="17"/>
          <w:lang w:val="fr-CH"/>
        </w:rPr>
        <w:t>’</w:t>
      </w:r>
      <w:r w:rsidRPr="00803C43">
        <w:rPr>
          <w:szCs w:val="17"/>
          <w:lang w:val="fr-CH"/>
        </w:rPr>
        <w:t>UIT</w:t>
      </w:r>
      <w:r w:rsidR="00714729">
        <w:rPr>
          <w:szCs w:val="17"/>
          <w:lang w:val="fr-CH"/>
        </w:rPr>
        <w:noBreakHyphen/>
      </w:r>
      <w:r w:rsidRPr="00803C43">
        <w:rPr>
          <w:szCs w:val="17"/>
          <w:lang w:val="fr-CH"/>
        </w:rPr>
        <w:t>T;</w:t>
      </w:r>
    </w:p>
    <w:p w14:paraId="6159BA2A" w14:textId="0EEBC76E" w:rsidR="00574BB0" w:rsidRPr="00803C43" w:rsidRDefault="003D07A0" w:rsidP="00395C30">
      <w:pPr>
        <w:pStyle w:val="List0"/>
        <w:keepLines w:val="0"/>
        <w:numPr>
          <w:ilvl w:val="0"/>
          <w:numId w:val="17"/>
        </w:numPr>
        <w:tabs>
          <w:tab w:val="left" w:pos="567"/>
        </w:tabs>
        <w:spacing w:before="150" w:after="0"/>
        <w:ind w:left="1701" w:hanging="567"/>
        <w:rPr>
          <w:szCs w:val="17"/>
          <w:lang w:val="fr-CH"/>
        </w:rPr>
      </w:pPr>
      <w:r w:rsidRPr="00803C43">
        <w:rPr>
          <w:szCs w:val="17"/>
          <w:lang w:val="fr-CH"/>
        </w:rPr>
        <w:t xml:space="preserve">Codage vidéo </w:t>
      </w:r>
      <w:r w:rsidR="006B5FAA" w:rsidRPr="00803C43">
        <w:rPr>
          <w:szCs w:val="17"/>
          <w:lang w:val="fr-CH"/>
        </w:rPr>
        <w:t>évolué</w:t>
      </w:r>
      <w:r w:rsidR="001D475A" w:rsidRPr="00803C43">
        <w:rPr>
          <w:szCs w:val="17"/>
          <w:lang w:val="fr-CH"/>
        </w:rPr>
        <w:t xml:space="preserve"> (AVC), </w:t>
      </w:r>
      <w:r w:rsidR="00BF3486" w:rsidRPr="00803C43">
        <w:rPr>
          <w:szCs w:val="17"/>
          <w:lang w:val="fr-CH"/>
        </w:rPr>
        <w:t xml:space="preserve">également dénommé </w:t>
      </w:r>
      <w:r w:rsidR="001D475A" w:rsidRPr="00803C43">
        <w:rPr>
          <w:szCs w:val="17"/>
          <w:lang w:val="fr-CH"/>
        </w:rPr>
        <w:t>H.264</w:t>
      </w:r>
      <w:r w:rsidR="00BF3486" w:rsidRPr="00803C43">
        <w:rPr>
          <w:szCs w:val="17"/>
          <w:lang w:val="fr-CH"/>
        </w:rPr>
        <w:t xml:space="preserve"> ou</w:t>
      </w:r>
      <w:r w:rsidR="001D475A" w:rsidRPr="00803C43">
        <w:rPr>
          <w:szCs w:val="17"/>
          <w:lang w:val="fr-CH"/>
        </w:rPr>
        <w:t xml:space="preserve"> </w:t>
      </w:r>
      <w:r w:rsidR="00F0551C">
        <w:rPr>
          <w:szCs w:val="17"/>
          <w:lang w:val="fr-CH"/>
        </w:rPr>
        <w:t>“</w:t>
      </w:r>
      <w:r w:rsidR="001D475A" w:rsidRPr="00803C43">
        <w:rPr>
          <w:szCs w:val="17"/>
          <w:lang w:val="fr-CH"/>
        </w:rPr>
        <w:t>MPEG</w:t>
      </w:r>
      <w:r w:rsidR="00714729">
        <w:rPr>
          <w:szCs w:val="17"/>
          <w:lang w:val="fr-CH"/>
        </w:rPr>
        <w:noBreakHyphen/>
      </w:r>
      <w:r w:rsidR="001D475A" w:rsidRPr="00803C43">
        <w:rPr>
          <w:szCs w:val="17"/>
          <w:lang w:val="fr-CH"/>
        </w:rPr>
        <w:t>4 partie 10</w:t>
      </w:r>
      <w:r w:rsidR="00F0551C">
        <w:rPr>
          <w:szCs w:val="17"/>
          <w:lang w:val="fr-CH"/>
        </w:rPr>
        <w:t>”</w:t>
      </w:r>
      <w:r w:rsidR="00BF3486" w:rsidRPr="00803C43">
        <w:rPr>
          <w:szCs w:val="17"/>
          <w:lang w:val="fr-CH"/>
        </w:rPr>
        <w:t>, décrit</w:t>
      </w:r>
      <w:r w:rsidR="001D475A" w:rsidRPr="00803C43">
        <w:rPr>
          <w:szCs w:val="17"/>
          <w:lang w:val="fr-CH"/>
        </w:rPr>
        <w:t xml:space="preserve"> dans la norme</w:t>
      </w:r>
      <w:r w:rsidR="00256E68">
        <w:rPr>
          <w:szCs w:val="17"/>
          <w:lang w:val="fr-CH"/>
        </w:rPr>
        <w:t> </w:t>
      </w:r>
      <w:r w:rsidR="001D475A" w:rsidRPr="00803C43">
        <w:rPr>
          <w:szCs w:val="17"/>
          <w:lang w:val="fr-CH"/>
        </w:rPr>
        <w:t>ISO/CEI 14496</w:t>
      </w:r>
      <w:r w:rsidR="00714729">
        <w:rPr>
          <w:szCs w:val="17"/>
          <w:lang w:val="fr-CH"/>
        </w:rPr>
        <w:noBreakHyphen/>
      </w:r>
      <w:r w:rsidR="001D475A" w:rsidRPr="00803C43">
        <w:rPr>
          <w:szCs w:val="17"/>
          <w:lang w:val="fr-CH"/>
        </w:rPr>
        <w:t>10 et la recommandation H.264 de l</w:t>
      </w:r>
      <w:r w:rsidR="00F0551C">
        <w:rPr>
          <w:szCs w:val="17"/>
          <w:lang w:val="fr-CH"/>
        </w:rPr>
        <w:t>’</w:t>
      </w:r>
      <w:r w:rsidR="001D475A" w:rsidRPr="00803C43">
        <w:rPr>
          <w:szCs w:val="17"/>
          <w:lang w:val="fr-CH"/>
        </w:rPr>
        <w:t>UIT</w:t>
      </w:r>
      <w:r w:rsidR="00714729">
        <w:rPr>
          <w:szCs w:val="17"/>
          <w:lang w:val="fr-CH"/>
        </w:rPr>
        <w:noBreakHyphen/>
      </w:r>
      <w:r w:rsidR="001D475A" w:rsidRPr="00803C43">
        <w:rPr>
          <w:szCs w:val="17"/>
          <w:lang w:val="fr-CH"/>
        </w:rPr>
        <w:t>T;</w:t>
      </w:r>
    </w:p>
    <w:p w14:paraId="40C5D806" w14:textId="7B3968BB" w:rsidR="00574BB0" w:rsidRPr="00803C43" w:rsidRDefault="00E1320D" w:rsidP="00395C30">
      <w:pPr>
        <w:pStyle w:val="List0"/>
        <w:keepLines w:val="0"/>
        <w:numPr>
          <w:ilvl w:val="0"/>
          <w:numId w:val="17"/>
        </w:numPr>
        <w:tabs>
          <w:tab w:val="left" w:pos="567"/>
        </w:tabs>
        <w:spacing w:before="150" w:after="0"/>
        <w:ind w:left="1701" w:hanging="567"/>
        <w:rPr>
          <w:szCs w:val="17"/>
          <w:lang w:val="fr-CH"/>
        </w:rPr>
      </w:pPr>
      <w:r w:rsidRPr="00803C43">
        <w:rPr>
          <w:szCs w:val="17"/>
          <w:lang w:val="fr-CH"/>
        </w:rPr>
        <w:t xml:space="preserve">Codage vidéo à haute efficacité </w:t>
      </w:r>
      <w:r w:rsidR="009F17CF" w:rsidRPr="00803C43">
        <w:rPr>
          <w:szCs w:val="17"/>
          <w:lang w:val="fr-CH"/>
        </w:rPr>
        <w:t xml:space="preserve">(HEVC), </w:t>
      </w:r>
      <w:r w:rsidR="00BF3486" w:rsidRPr="00803C43">
        <w:rPr>
          <w:szCs w:val="17"/>
          <w:lang w:val="fr-CH"/>
        </w:rPr>
        <w:t xml:space="preserve">également dénommé </w:t>
      </w:r>
      <w:r w:rsidR="009F17CF" w:rsidRPr="00803C43">
        <w:rPr>
          <w:szCs w:val="17"/>
          <w:lang w:val="fr-CH"/>
        </w:rPr>
        <w:t>H.265</w:t>
      </w:r>
      <w:r w:rsidR="00BF3486" w:rsidRPr="00803C43">
        <w:rPr>
          <w:szCs w:val="17"/>
          <w:lang w:val="fr-CH"/>
        </w:rPr>
        <w:t xml:space="preserve"> ou</w:t>
      </w:r>
      <w:r w:rsidR="009F17CF" w:rsidRPr="00803C43">
        <w:rPr>
          <w:szCs w:val="17"/>
          <w:lang w:val="fr-CH"/>
        </w:rPr>
        <w:t xml:space="preserve"> </w:t>
      </w:r>
      <w:r w:rsidR="00F0551C">
        <w:rPr>
          <w:szCs w:val="17"/>
          <w:lang w:val="fr-CH"/>
        </w:rPr>
        <w:t>“</w:t>
      </w:r>
      <w:r w:rsidR="009F17CF" w:rsidRPr="00803C43">
        <w:rPr>
          <w:szCs w:val="17"/>
          <w:lang w:val="fr-CH"/>
        </w:rPr>
        <w:t>MPEG</w:t>
      </w:r>
      <w:r w:rsidR="00714729">
        <w:rPr>
          <w:szCs w:val="17"/>
          <w:lang w:val="fr-CH"/>
        </w:rPr>
        <w:noBreakHyphen/>
      </w:r>
      <w:r w:rsidR="009F17CF" w:rsidRPr="00803C43">
        <w:rPr>
          <w:szCs w:val="17"/>
          <w:lang w:val="fr-CH"/>
        </w:rPr>
        <w:t>H partie 2</w:t>
      </w:r>
      <w:r w:rsidR="00F0551C">
        <w:rPr>
          <w:szCs w:val="17"/>
          <w:lang w:val="fr-CH"/>
        </w:rPr>
        <w:t>”</w:t>
      </w:r>
      <w:r w:rsidR="00BF3486" w:rsidRPr="00803C43">
        <w:rPr>
          <w:szCs w:val="17"/>
          <w:lang w:val="fr-CH"/>
        </w:rPr>
        <w:t>, décrit</w:t>
      </w:r>
      <w:r w:rsidR="009F17CF" w:rsidRPr="00803C43">
        <w:rPr>
          <w:szCs w:val="17"/>
          <w:lang w:val="fr-CH"/>
        </w:rPr>
        <w:t xml:space="preserve"> dans la norme</w:t>
      </w:r>
      <w:r w:rsidR="00256E68">
        <w:rPr>
          <w:szCs w:val="17"/>
          <w:lang w:val="fr-CH"/>
        </w:rPr>
        <w:t> </w:t>
      </w:r>
      <w:r w:rsidR="009F17CF" w:rsidRPr="00803C43">
        <w:rPr>
          <w:szCs w:val="17"/>
          <w:lang w:val="fr-CH"/>
        </w:rPr>
        <w:t>ISO/CEI 23008</w:t>
      </w:r>
      <w:r w:rsidR="00714729">
        <w:rPr>
          <w:szCs w:val="17"/>
          <w:lang w:val="fr-CH"/>
        </w:rPr>
        <w:noBreakHyphen/>
      </w:r>
      <w:r w:rsidR="009F17CF" w:rsidRPr="00803C43">
        <w:rPr>
          <w:szCs w:val="17"/>
          <w:lang w:val="fr-CH"/>
        </w:rPr>
        <w:t>2 et la recommandation H.265 de l</w:t>
      </w:r>
      <w:r w:rsidR="00F0551C">
        <w:rPr>
          <w:szCs w:val="17"/>
          <w:lang w:val="fr-CH"/>
        </w:rPr>
        <w:t>’</w:t>
      </w:r>
      <w:r w:rsidR="009F17CF" w:rsidRPr="00803C43">
        <w:rPr>
          <w:szCs w:val="17"/>
          <w:lang w:val="fr-CH"/>
        </w:rPr>
        <w:t>UIT</w:t>
      </w:r>
      <w:r w:rsidR="00714729">
        <w:rPr>
          <w:szCs w:val="17"/>
          <w:lang w:val="fr-CH"/>
        </w:rPr>
        <w:noBreakHyphen/>
      </w:r>
      <w:r w:rsidR="009F17CF" w:rsidRPr="00803C43">
        <w:rPr>
          <w:szCs w:val="17"/>
          <w:lang w:val="fr-CH"/>
        </w:rPr>
        <w:t>T;</w:t>
      </w:r>
    </w:p>
    <w:p w14:paraId="0D77A833" w14:textId="40CB7751" w:rsidR="00574BB0" w:rsidRPr="00803C43" w:rsidRDefault="00460B34" w:rsidP="00395C30">
      <w:pPr>
        <w:pStyle w:val="List0"/>
        <w:keepLines w:val="0"/>
        <w:numPr>
          <w:ilvl w:val="0"/>
          <w:numId w:val="17"/>
        </w:numPr>
        <w:tabs>
          <w:tab w:val="left" w:pos="567"/>
        </w:tabs>
        <w:spacing w:before="150" w:after="0"/>
        <w:ind w:left="1701" w:hanging="567"/>
        <w:rPr>
          <w:szCs w:val="17"/>
          <w:lang w:val="fr-CH"/>
        </w:rPr>
      </w:pPr>
      <w:r w:rsidRPr="00803C43">
        <w:rPr>
          <w:szCs w:val="17"/>
          <w:lang w:val="fr-CH"/>
        </w:rPr>
        <w:t xml:space="preserve">VP8, spécification </w:t>
      </w:r>
      <w:r w:rsidR="0002456F" w:rsidRPr="00803C43">
        <w:rPr>
          <w:szCs w:val="17"/>
          <w:lang w:val="fr-CH"/>
        </w:rPr>
        <w:t xml:space="preserve">ouverte </w:t>
      </w:r>
      <w:r w:rsidRPr="00803C43">
        <w:rPr>
          <w:szCs w:val="17"/>
          <w:lang w:val="fr-CH"/>
        </w:rPr>
        <w:t xml:space="preserve">et implémentation de référence </w:t>
      </w:r>
      <w:r w:rsidR="0002456F" w:rsidRPr="00803C43">
        <w:rPr>
          <w:szCs w:val="17"/>
          <w:lang w:val="fr-CH"/>
        </w:rPr>
        <w:t>publiée</w:t>
      </w:r>
      <w:r w:rsidRPr="00803C43">
        <w:rPr>
          <w:szCs w:val="17"/>
          <w:lang w:val="fr-CH"/>
        </w:rPr>
        <w:t xml:space="preserve"> par Google;</w:t>
      </w:r>
    </w:p>
    <w:p w14:paraId="37FD693A" w14:textId="608138E7" w:rsidR="00574BB0" w:rsidRPr="00803C43" w:rsidRDefault="00C1327B" w:rsidP="00395C30">
      <w:pPr>
        <w:pStyle w:val="List0"/>
        <w:keepLines w:val="0"/>
        <w:numPr>
          <w:ilvl w:val="0"/>
          <w:numId w:val="17"/>
        </w:numPr>
        <w:tabs>
          <w:tab w:val="left" w:pos="567"/>
        </w:tabs>
        <w:spacing w:before="150" w:after="0"/>
        <w:ind w:left="1701" w:hanging="567"/>
        <w:rPr>
          <w:szCs w:val="17"/>
          <w:lang w:val="fr-CH"/>
        </w:rPr>
      </w:pPr>
      <w:r>
        <w:rPr>
          <w:szCs w:val="17"/>
          <w:lang w:val="fr-CH"/>
        </w:rPr>
        <w:t>VP9</w:t>
      </w:r>
      <w:r w:rsidR="00460B34" w:rsidRPr="00803C43">
        <w:rPr>
          <w:szCs w:val="17"/>
          <w:lang w:val="fr-CH"/>
        </w:rPr>
        <w:t xml:space="preserve">, spécification </w:t>
      </w:r>
      <w:r w:rsidR="0002456F" w:rsidRPr="00803C43">
        <w:rPr>
          <w:szCs w:val="17"/>
          <w:lang w:val="fr-CH"/>
        </w:rPr>
        <w:t xml:space="preserve">ouverte </w:t>
      </w:r>
      <w:r w:rsidR="00460B34" w:rsidRPr="00803C43">
        <w:rPr>
          <w:szCs w:val="17"/>
          <w:lang w:val="fr-CH"/>
        </w:rPr>
        <w:t xml:space="preserve">et implémentation de référence </w:t>
      </w:r>
      <w:r w:rsidR="0002456F" w:rsidRPr="00803C43">
        <w:rPr>
          <w:szCs w:val="17"/>
          <w:lang w:val="fr-CH"/>
        </w:rPr>
        <w:t xml:space="preserve">publiée </w:t>
      </w:r>
      <w:r w:rsidR="00460B34" w:rsidRPr="00803C43">
        <w:rPr>
          <w:szCs w:val="17"/>
          <w:lang w:val="fr-CH"/>
        </w:rPr>
        <w:t>par Google et utilisée par Netflix et YouTube; et</w:t>
      </w:r>
    </w:p>
    <w:p w14:paraId="088828FC" w14:textId="486795AB" w:rsidR="00574BB0" w:rsidRDefault="007616D5" w:rsidP="00395C30">
      <w:pPr>
        <w:pStyle w:val="List0"/>
        <w:keepLines w:val="0"/>
        <w:numPr>
          <w:ilvl w:val="0"/>
          <w:numId w:val="17"/>
        </w:numPr>
        <w:tabs>
          <w:tab w:val="left" w:pos="567"/>
        </w:tabs>
        <w:spacing w:before="150" w:after="0"/>
        <w:ind w:left="1701" w:hanging="567"/>
        <w:rPr>
          <w:szCs w:val="17"/>
          <w:lang w:val="fr-CH"/>
        </w:rPr>
      </w:pPr>
      <w:r>
        <w:rPr>
          <w:szCs w:val="17"/>
          <w:lang w:val="fr-CH"/>
        </w:rPr>
        <w:t xml:space="preserve">AOM Vidéo 1 (AV1), </w:t>
      </w:r>
      <w:r w:rsidR="00460B34" w:rsidRPr="00803C43">
        <w:rPr>
          <w:szCs w:val="17"/>
          <w:lang w:val="fr-CH"/>
        </w:rPr>
        <w:t xml:space="preserve">spécification ouverte </w:t>
      </w:r>
      <w:r w:rsidR="00E07AA6" w:rsidRPr="00803C43">
        <w:rPr>
          <w:szCs w:val="17"/>
          <w:lang w:val="fr-CH"/>
        </w:rPr>
        <w:t>p</w:t>
      </w:r>
      <w:r w:rsidR="00E959CA" w:rsidRPr="00803C43">
        <w:rPr>
          <w:szCs w:val="17"/>
          <w:lang w:val="fr-CH"/>
        </w:rPr>
        <w:t>ubliée</w:t>
      </w:r>
      <w:r w:rsidR="00460B34" w:rsidRPr="00803C43">
        <w:rPr>
          <w:szCs w:val="17"/>
          <w:lang w:val="fr-CH"/>
        </w:rPr>
        <w:t xml:space="preserve"> par le consortium industriel Alliance for Open Media.</w:t>
      </w:r>
      <w:r w:rsidR="00C02136" w:rsidRPr="00803C43">
        <w:rPr>
          <w:szCs w:val="17"/>
          <w:lang w:val="fr-CH"/>
        </w:rPr>
        <w:t xml:space="preserve">  </w:t>
      </w:r>
      <w:r w:rsidR="00460B34" w:rsidRPr="00803C43">
        <w:rPr>
          <w:szCs w:val="17"/>
          <w:lang w:val="fr-CH"/>
        </w:rPr>
        <w:t>À ne pas confondre avec AVI (entrelacement audio</w:t>
      </w:r>
      <w:r w:rsidR="00714729">
        <w:rPr>
          <w:szCs w:val="17"/>
          <w:lang w:val="fr-CH"/>
        </w:rPr>
        <w:noBreakHyphen/>
      </w:r>
      <w:r w:rsidR="00460B34" w:rsidRPr="00803C43">
        <w:rPr>
          <w:szCs w:val="17"/>
          <w:lang w:val="fr-CH"/>
        </w:rPr>
        <w:t xml:space="preserve">vidéo), format </w:t>
      </w:r>
      <w:r w:rsidR="0076378D" w:rsidRPr="00803C43">
        <w:rPr>
          <w:szCs w:val="17"/>
          <w:lang w:val="fr-CH"/>
        </w:rPr>
        <w:t>propriétaire protégé par</w:t>
      </w:r>
      <w:r w:rsidR="00460B34" w:rsidRPr="00803C43">
        <w:rPr>
          <w:szCs w:val="17"/>
          <w:lang w:val="fr-CH"/>
        </w:rPr>
        <w:t xml:space="preserve"> Microsoft.</w:t>
      </w:r>
    </w:p>
    <w:p w14:paraId="3C1A45B3" w14:textId="77777777" w:rsidR="008C4CA1" w:rsidRPr="00803C43" w:rsidRDefault="008C4CA1" w:rsidP="00395C30">
      <w:pPr>
        <w:pStyle w:val="List0"/>
        <w:keepLines w:val="0"/>
        <w:numPr>
          <w:ilvl w:val="0"/>
          <w:numId w:val="17"/>
        </w:numPr>
        <w:tabs>
          <w:tab w:val="left" w:pos="567"/>
        </w:tabs>
        <w:spacing w:before="150" w:after="0"/>
        <w:ind w:left="1701" w:hanging="567"/>
        <w:rPr>
          <w:szCs w:val="17"/>
          <w:lang w:val="fr-CH"/>
        </w:rPr>
      </w:pPr>
      <w:r>
        <w:rPr>
          <w:szCs w:val="17"/>
          <w:lang w:val="fr-CH"/>
        </w:rPr>
        <w:t>“</w:t>
      </w:r>
      <w:r w:rsidRPr="00803C43">
        <w:rPr>
          <w:szCs w:val="17"/>
          <w:lang w:val="fr-CH"/>
        </w:rPr>
        <w:t>conteneur</w:t>
      </w:r>
      <w:r>
        <w:rPr>
          <w:szCs w:val="17"/>
          <w:lang w:val="fr-CH"/>
        </w:rPr>
        <w:t>”</w:t>
      </w:r>
      <w:r w:rsidRPr="00803C43">
        <w:rPr>
          <w:szCs w:val="17"/>
          <w:lang w:val="fr-CH"/>
        </w:rPr>
        <w:t xml:space="preserve"> désigne un format utilisé pour le stockage de différents éléments de données et de métadonnées.  Pour les fichiers multimédias, un conteneur contient généralement des données vidéo formatées au moyen d</w:t>
      </w:r>
      <w:r>
        <w:rPr>
          <w:szCs w:val="17"/>
          <w:lang w:val="fr-CH"/>
        </w:rPr>
        <w:t>’</w:t>
      </w:r>
      <w:r w:rsidRPr="00803C43">
        <w:rPr>
          <w:szCs w:val="17"/>
          <w:lang w:val="fr-CH"/>
        </w:rPr>
        <w:t>un codec vidéo, des données audio formatées au moyen d</w:t>
      </w:r>
      <w:r>
        <w:rPr>
          <w:szCs w:val="17"/>
          <w:lang w:val="fr-CH"/>
        </w:rPr>
        <w:t>’</w:t>
      </w:r>
      <w:r w:rsidRPr="00803C43">
        <w:rPr>
          <w:szCs w:val="17"/>
          <w:lang w:val="fr-CH"/>
        </w:rPr>
        <w:t>un codec audio et un ou plusieurs éléments de métadonnées.  Les formats de conteneurs visés par la présente norme sont les suivants</w:t>
      </w:r>
      <w:r>
        <w:rPr>
          <w:szCs w:val="17"/>
          <w:lang w:val="fr-CH"/>
        </w:rPr>
        <w:t> :</w:t>
      </w:r>
    </w:p>
    <w:p w14:paraId="1B50BA21" w14:textId="5D429A17" w:rsidR="00574BB0" w:rsidRPr="00803C43" w:rsidRDefault="00B1760D" w:rsidP="00395C30">
      <w:pPr>
        <w:pStyle w:val="List0R"/>
        <w:keepLines w:val="0"/>
        <w:numPr>
          <w:ilvl w:val="0"/>
          <w:numId w:val="18"/>
        </w:numPr>
        <w:spacing w:before="150" w:after="0"/>
        <w:ind w:left="1701" w:hanging="567"/>
        <w:rPr>
          <w:szCs w:val="17"/>
          <w:lang w:val="fr-CH"/>
        </w:rPr>
      </w:pPr>
      <w:r w:rsidRPr="00803C43">
        <w:rPr>
          <w:szCs w:val="17"/>
          <w:lang w:val="fr-CH"/>
        </w:rPr>
        <w:t>conteneurs MP4 (.mp4)</w:t>
      </w:r>
      <w:r w:rsidR="00AB36F0" w:rsidRPr="00803C43">
        <w:rPr>
          <w:szCs w:val="17"/>
          <w:lang w:val="fr-CH"/>
        </w:rPr>
        <w:t>,</w:t>
      </w:r>
      <w:r w:rsidRPr="00803C43">
        <w:rPr>
          <w:szCs w:val="17"/>
          <w:lang w:val="fr-CH"/>
        </w:rPr>
        <w:t xml:space="preserve"> </w:t>
      </w:r>
      <w:r w:rsidR="00AB36F0" w:rsidRPr="00803C43">
        <w:rPr>
          <w:szCs w:val="17"/>
          <w:lang w:val="fr-CH"/>
        </w:rPr>
        <w:t>dénommés</w:t>
      </w:r>
      <w:r w:rsidRPr="00803C43">
        <w:rPr>
          <w:szCs w:val="17"/>
          <w:lang w:val="fr-CH"/>
        </w:rPr>
        <w:t xml:space="preserve"> </w:t>
      </w:r>
      <w:r w:rsidR="00F0551C">
        <w:rPr>
          <w:szCs w:val="17"/>
          <w:lang w:val="fr-CH"/>
        </w:rPr>
        <w:t>“</w:t>
      </w:r>
      <w:r w:rsidRPr="00803C43">
        <w:rPr>
          <w:szCs w:val="17"/>
          <w:lang w:val="fr-CH"/>
        </w:rPr>
        <w:t>MPEG</w:t>
      </w:r>
      <w:r w:rsidR="00714729">
        <w:rPr>
          <w:szCs w:val="17"/>
          <w:lang w:val="fr-CH"/>
        </w:rPr>
        <w:noBreakHyphen/>
      </w:r>
      <w:r w:rsidRPr="00803C43">
        <w:rPr>
          <w:szCs w:val="17"/>
          <w:lang w:val="fr-CH"/>
        </w:rPr>
        <w:t>4 Partie 14</w:t>
      </w:r>
      <w:r w:rsidR="00F0551C">
        <w:rPr>
          <w:szCs w:val="17"/>
          <w:lang w:val="fr-CH"/>
        </w:rPr>
        <w:t>”</w:t>
      </w:r>
      <w:r w:rsidR="00AB36F0" w:rsidRPr="00803C43">
        <w:rPr>
          <w:szCs w:val="17"/>
          <w:lang w:val="fr-CH"/>
        </w:rPr>
        <w:t>, décrits</w:t>
      </w:r>
      <w:r w:rsidRPr="00803C43">
        <w:rPr>
          <w:szCs w:val="17"/>
          <w:lang w:val="fr-CH"/>
        </w:rPr>
        <w:t xml:space="preserve"> dans la norme</w:t>
      </w:r>
      <w:r w:rsidR="00256E68">
        <w:rPr>
          <w:szCs w:val="17"/>
          <w:lang w:val="fr-CH"/>
        </w:rPr>
        <w:t> </w:t>
      </w:r>
      <w:r w:rsidRPr="00803C43">
        <w:rPr>
          <w:szCs w:val="17"/>
          <w:lang w:val="fr-CH"/>
        </w:rPr>
        <w:t>ISO/CEI 14496</w:t>
      </w:r>
      <w:r w:rsidR="00714729">
        <w:rPr>
          <w:szCs w:val="17"/>
          <w:lang w:val="fr-CH"/>
        </w:rPr>
        <w:noBreakHyphen/>
      </w:r>
      <w:r w:rsidRPr="00803C43">
        <w:rPr>
          <w:szCs w:val="17"/>
          <w:lang w:val="fr-CH"/>
        </w:rPr>
        <w:t>14</w:t>
      </w:r>
      <w:r w:rsidR="00256E68">
        <w:rPr>
          <w:szCs w:val="17"/>
          <w:lang w:val="fr-CH"/>
        </w:rPr>
        <w:t xml:space="preserve">; </w:t>
      </w:r>
      <w:r w:rsidRPr="00803C43">
        <w:rPr>
          <w:szCs w:val="17"/>
          <w:lang w:val="fr-CH"/>
        </w:rPr>
        <w:t xml:space="preserve"> et</w:t>
      </w:r>
    </w:p>
    <w:p w14:paraId="64099BC0" w14:textId="5B25AC64" w:rsidR="00574BB0" w:rsidRPr="00803C43" w:rsidRDefault="00B1760D" w:rsidP="00395C30">
      <w:pPr>
        <w:pStyle w:val="List0R"/>
        <w:keepLines w:val="0"/>
        <w:numPr>
          <w:ilvl w:val="0"/>
          <w:numId w:val="18"/>
        </w:numPr>
        <w:spacing w:before="150" w:after="200"/>
        <w:ind w:left="1701" w:hanging="567"/>
        <w:rPr>
          <w:szCs w:val="17"/>
          <w:lang w:val="fr-CH"/>
        </w:rPr>
      </w:pPr>
      <w:r w:rsidRPr="00803C43">
        <w:rPr>
          <w:szCs w:val="17"/>
          <w:lang w:val="fr-CH"/>
        </w:rPr>
        <w:t>WebM, spécification ouverte destiné</w:t>
      </w:r>
      <w:r w:rsidR="00725115" w:rsidRPr="00803C43">
        <w:rPr>
          <w:szCs w:val="17"/>
          <w:lang w:val="fr-CH"/>
        </w:rPr>
        <w:t>e</w:t>
      </w:r>
      <w:r w:rsidRPr="00803C43">
        <w:rPr>
          <w:szCs w:val="17"/>
          <w:lang w:val="fr-CH"/>
        </w:rPr>
        <w:t xml:space="preserve"> à une </w:t>
      </w:r>
      <w:r w:rsidR="00AB36F0" w:rsidRPr="00803C43">
        <w:rPr>
          <w:szCs w:val="17"/>
          <w:lang w:val="fr-CH"/>
        </w:rPr>
        <w:t>utilisation libre de droits</w:t>
      </w:r>
      <w:r w:rsidRPr="00803C43">
        <w:rPr>
          <w:szCs w:val="17"/>
          <w:lang w:val="fr-CH"/>
        </w:rPr>
        <w:t>, en particulier sur le Web.</w:t>
      </w:r>
    </w:p>
    <w:p w14:paraId="708DCBBE" w14:textId="24C500C8" w:rsidR="00574BB0" w:rsidRPr="00803C43" w:rsidRDefault="00714729" w:rsidP="00395C30">
      <w:pPr>
        <w:pStyle w:val="Heading2"/>
      </w:pPr>
      <w:bookmarkStart w:id="14" w:name="_Toc55396112"/>
      <w:r w:rsidRPr="00803C43">
        <w:t>Références</w:t>
      </w:r>
      <w:bookmarkEnd w:id="14"/>
    </w:p>
    <w:p w14:paraId="2061C815" w14:textId="288C5B96" w:rsidR="00574BB0" w:rsidRDefault="004F3C49" w:rsidP="00395C30">
      <w:pPr>
        <w:pStyle w:val="List0"/>
        <w:keepLines w:val="0"/>
        <w:tabs>
          <w:tab w:val="left" w:pos="567"/>
        </w:tabs>
        <w:spacing w:after="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F92A6A" w:rsidRPr="00803C43">
        <w:rPr>
          <w:szCs w:val="17"/>
          <w:lang w:val="fr-CH"/>
        </w:rPr>
        <w:t>Les normes et documents ci</w:t>
      </w:r>
      <w:r w:rsidR="00714729">
        <w:rPr>
          <w:szCs w:val="17"/>
          <w:lang w:val="fr-CH"/>
        </w:rPr>
        <w:noBreakHyphen/>
      </w:r>
      <w:r w:rsidR="00F92A6A" w:rsidRPr="00803C43">
        <w:rPr>
          <w:szCs w:val="17"/>
          <w:lang w:val="fr-CH"/>
        </w:rPr>
        <w:t>après présentent un intérêt aux fins de la présente norme</w:t>
      </w:r>
      <w:r w:rsidR="00F0551C">
        <w:rPr>
          <w:szCs w:val="17"/>
          <w:lang w:val="fr-CH"/>
        </w:rPr>
        <w:t> :</w:t>
      </w:r>
    </w:p>
    <w:p w14:paraId="7D69BCB9" w14:textId="77777777" w:rsidR="00F02AE5" w:rsidRPr="00803C43" w:rsidRDefault="00F02AE5" w:rsidP="00395C30">
      <w:pPr>
        <w:pStyle w:val="List0"/>
        <w:keepLines w:val="0"/>
        <w:tabs>
          <w:tab w:val="left" w:pos="567"/>
        </w:tabs>
        <w:spacing w:after="0"/>
        <w:rPr>
          <w:szCs w:val="17"/>
          <w:lang w:val="fr-CH"/>
        </w:rPr>
      </w:pPr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8C4CA1" w:rsidRPr="008C4CA1" w14:paraId="00DEF168" w14:textId="77777777" w:rsidTr="00F02AE5">
        <w:trPr>
          <w:trHeight w:val="340"/>
        </w:trPr>
        <w:tc>
          <w:tcPr>
            <w:tcW w:w="3544" w:type="dxa"/>
          </w:tcPr>
          <w:p w14:paraId="39F5D9BD" w14:textId="29FD1A04" w:rsidR="008C4CA1" w:rsidRPr="00F02AE5" w:rsidRDefault="008C4CA1" w:rsidP="00395C30">
            <w:pPr>
              <w:pStyle w:val="List0R"/>
              <w:keepLines w:val="0"/>
              <w:spacing w:after="0"/>
              <w:ind w:left="1134" w:firstLine="0"/>
              <w:rPr>
                <w:szCs w:val="17"/>
                <w:lang w:val="fr-CH"/>
              </w:rPr>
            </w:pPr>
            <w:r w:rsidRPr="00F02AE5">
              <w:rPr>
                <w:szCs w:val="17"/>
                <w:lang w:val="fr-CH"/>
              </w:rPr>
              <w:t>Norme ST.60 de l’OMPI</w:t>
            </w:r>
          </w:p>
        </w:tc>
        <w:tc>
          <w:tcPr>
            <w:tcW w:w="5670" w:type="dxa"/>
          </w:tcPr>
          <w:p w14:paraId="27AF0852" w14:textId="77777777" w:rsidR="008C4CA1" w:rsidRPr="008C4CA1" w:rsidRDefault="008C4CA1" w:rsidP="00395C30">
            <w:pPr>
              <w:pStyle w:val="List0R"/>
              <w:keepLines w:val="0"/>
              <w:spacing w:after="0"/>
              <w:ind w:firstLine="0"/>
              <w:rPr>
                <w:szCs w:val="17"/>
                <w:lang w:val="fr-CH"/>
              </w:rPr>
            </w:pPr>
            <w:r w:rsidRPr="008C4CA1">
              <w:rPr>
                <w:szCs w:val="17"/>
                <w:lang w:val="fr-CH"/>
              </w:rPr>
              <w:t>Données bibliographiques concernant les marques</w:t>
            </w:r>
          </w:p>
        </w:tc>
      </w:tr>
      <w:tr w:rsidR="008C4CA1" w:rsidRPr="008C4CA1" w14:paraId="3AFBA246" w14:textId="77777777" w:rsidTr="00F02AE5">
        <w:trPr>
          <w:trHeight w:val="340"/>
        </w:trPr>
        <w:tc>
          <w:tcPr>
            <w:tcW w:w="3544" w:type="dxa"/>
          </w:tcPr>
          <w:p w14:paraId="03DFDE6E" w14:textId="77777777" w:rsidR="008C4CA1" w:rsidRPr="00F02AE5" w:rsidRDefault="008C4CA1" w:rsidP="00395C30">
            <w:pPr>
              <w:pStyle w:val="List0R"/>
              <w:keepLines w:val="0"/>
              <w:spacing w:after="0"/>
              <w:ind w:left="1134" w:firstLine="0"/>
              <w:rPr>
                <w:szCs w:val="17"/>
                <w:lang w:val="fr-CH"/>
              </w:rPr>
            </w:pPr>
            <w:r w:rsidRPr="00F02AE5">
              <w:rPr>
                <w:szCs w:val="17"/>
                <w:lang w:val="fr-CH"/>
              </w:rPr>
              <w:t>Norme ST.63 de l’OMPI</w:t>
            </w:r>
          </w:p>
        </w:tc>
        <w:tc>
          <w:tcPr>
            <w:tcW w:w="5670" w:type="dxa"/>
          </w:tcPr>
          <w:p w14:paraId="3E64C58E" w14:textId="77777777" w:rsidR="008C4CA1" w:rsidRPr="008C4CA1" w:rsidRDefault="008C4CA1" w:rsidP="00395C30">
            <w:pPr>
              <w:pStyle w:val="List0R"/>
              <w:keepLines w:val="0"/>
              <w:spacing w:after="0"/>
              <w:ind w:firstLine="0"/>
              <w:rPr>
                <w:szCs w:val="17"/>
                <w:lang w:val="fr-CH"/>
              </w:rPr>
            </w:pPr>
            <w:r w:rsidRPr="008C4CA1">
              <w:rPr>
                <w:szCs w:val="17"/>
                <w:lang w:val="fr-CH"/>
              </w:rPr>
              <w:t>Contenu et présentation des bulletins de marques</w:t>
            </w:r>
          </w:p>
        </w:tc>
      </w:tr>
      <w:tr w:rsidR="008C4CA1" w:rsidRPr="008C4CA1" w14:paraId="7FD7981C" w14:textId="77777777" w:rsidTr="00F02AE5">
        <w:trPr>
          <w:trHeight w:val="340"/>
        </w:trPr>
        <w:tc>
          <w:tcPr>
            <w:tcW w:w="3544" w:type="dxa"/>
          </w:tcPr>
          <w:p w14:paraId="628D2F2B" w14:textId="77777777" w:rsidR="008C4CA1" w:rsidRPr="00F02AE5" w:rsidRDefault="008C4CA1" w:rsidP="00395C30">
            <w:pPr>
              <w:pStyle w:val="List0R"/>
              <w:keepLines w:val="0"/>
              <w:spacing w:after="0"/>
              <w:ind w:left="1134" w:firstLine="0"/>
              <w:rPr>
                <w:szCs w:val="17"/>
                <w:lang w:val="fr-CH"/>
              </w:rPr>
            </w:pPr>
            <w:r w:rsidRPr="00F02AE5">
              <w:rPr>
                <w:szCs w:val="17"/>
                <w:lang w:val="fr-CH"/>
              </w:rPr>
              <w:lastRenderedPageBreak/>
              <w:t>Norme ST.64 de l’OMPI</w:t>
            </w:r>
          </w:p>
        </w:tc>
        <w:tc>
          <w:tcPr>
            <w:tcW w:w="5670" w:type="dxa"/>
          </w:tcPr>
          <w:p w14:paraId="5D57795C" w14:textId="77777777" w:rsidR="008C4CA1" w:rsidRPr="008C4CA1" w:rsidRDefault="008C4CA1" w:rsidP="00395C30">
            <w:pPr>
              <w:pStyle w:val="List0R"/>
              <w:keepLines w:val="0"/>
              <w:spacing w:after="0"/>
              <w:ind w:firstLine="0"/>
              <w:rPr>
                <w:szCs w:val="17"/>
                <w:lang w:val="fr-CH"/>
              </w:rPr>
            </w:pPr>
            <w:r w:rsidRPr="008C4CA1">
              <w:rPr>
                <w:szCs w:val="17"/>
                <w:lang w:val="fr-CH"/>
              </w:rPr>
              <w:t>Dossiers de recherche pour la recherche en matière de marques</w:t>
            </w:r>
          </w:p>
        </w:tc>
      </w:tr>
      <w:tr w:rsidR="008C4CA1" w:rsidRPr="008C4CA1" w14:paraId="60F7EC80" w14:textId="77777777" w:rsidTr="00F02AE5">
        <w:trPr>
          <w:trHeight w:val="567"/>
        </w:trPr>
        <w:tc>
          <w:tcPr>
            <w:tcW w:w="3544" w:type="dxa"/>
          </w:tcPr>
          <w:p w14:paraId="0CF35446" w14:textId="77777777" w:rsidR="008C4CA1" w:rsidRPr="00F02AE5" w:rsidRDefault="008C4CA1" w:rsidP="00395C30">
            <w:pPr>
              <w:pStyle w:val="List0R"/>
              <w:keepLines w:val="0"/>
              <w:spacing w:after="0"/>
              <w:ind w:left="1134" w:firstLine="0"/>
              <w:rPr>
                <w:szCs w:val="17"/>
                <w:lang w:val="fr-CH"/>
              </w:rPr>
            </w:pPr>
            <w:r w:rsidRPr="00F02AE5">
              <w:rPr>
                <w:szCs w:val="17"/>
                <w:lang w:val="fr-CH"/>
              </w:rPr>
              <w:t>Norme ST.66 de l’OMPI</w:t>
            </w:r>
          </w:p>
        </w:tc>
        <w:tc>
          <w:tcPr>
            <w:tcW w:w="5670" w:type="dxa"/>
          </w:tcPr>
          <w:p w14:paraId="6DF4BCB2" w14:textId="77777777" w:rsidR="008C4CA1" w:rsidRPr="008C4CA1" w:rsidRDefault="008C4CA1" w:rsidP="00395C30">
            <w:pPr>
              <w:pStyle w:val="List0R"/>
              <w:keepLines w:val="0"/>
              <w:spacing w:after="0"/>
              <w:ind w:firstLine="0"/>
              <w:rPr>
                <w:szCs w:val="17"/>
                <w:lang w:val="fr-CH"/>
              </w:rPr>
            </w:pPr>
            <w:r w:rsidRPr="008C4CA1">
              <w:rPr>
                <w:szCs w:val="17"/>
                <w:lang w:val="fr-CH"/>
              </w:rPr>
              <w:t>Recommandation relative à l’utilisation du XML dans le traitement de l’information en matière de marques</w:t>
            </w:r>
          </w:p>
        </w:tc>
      </w:tr>
      <w:tr w:rsidR="008C4CA1" w:rsidRPr="008C4CA1" w14:paraId="38C9AA43" w14:textId="77777777" w:rsidTr="00F02AE5">
        <w:trPr>
          <w:trHeight w:val="567"/>
        </w:trPr>
        <w:tc>
          <w:tcPr>
            <w:tcW w:w="3544" w:type="dxa"/>
          </w:tcPr>
          <w:p w14:paraId="2238E3D0" w14:textId="6DDBC299" w:rsidR="008C4CA1" w:rsidRPr="00F02AE5" w:rsidRDefault="008C4CA1" w:rsidP="00395C30">
            <w:pPr>
              <w:pStyle w:val="List0R"/>
              <w:keepLines w:val="0"/>
              <w:spacing w:after="0"/>
              <w:ind w:left="1134" w:firstLine="0"/>
              <w:rPr>
                <w:szCs w:val="17"/>
                <w:lang w:val="fr-CH"/>
              </w:rPr>
            </w:pPr>
            <w:r w:rsidRPr="00F02AE5">
              <w:rPr>
                <w:szCs w:val="17"/>
                <w:lang w:val="fr-CH"/>
              </w:rPr>
              <w:t>Norme ST.67 de l’OMPI</w:t>
            </w:r>
          </w:p>
        </w:tc>
        <w:tc>
          <w:tcPr>
            <w:tcW w:w="5670" w:type="dxa"/>
          </w:tcPr>
          <w:p w14:paraId="7B8858F5" w14:textId="77777777" w:rsidR="008C4CA1" w:rsidRPr="008C4CA1" w:rsidRDefault="008C4CA1" w:rsidP="00395C30">
            <w:pPr>
              <w:pStyle w:val="List0R"/>
              <w:keepLines w:val="0"/>
              <w:spacing w:after="0"/>
              <w:ind w:firstLine="0"/>
              <w:rPr>
                <w:szCs w:val="17"/>
                <w:lang w:val="fr-CH"/>
              </w:rPr>
            </w:pPr>
            <w:r w:rsidRPr="008C4CA1">
              <w:rPr>
                <w:szCs w:val="17"/>
                <w:lang w:val="fr-CH"/>
              </w:rPr>
              <w:t>Recommandations concernant la gestion électronique des éléments figuratifs des marques</w:t>
            </w:r>
          </w:p>
        </w:tc>
      </w:tr>
      <w:tr w:rsidR="008C4CA1" w:rsidRPr="008C4CA1" w14:paraId="7C47CC24" w14:textId="77777777" w:rsidTr="00F02AE5">
        <w:trPr>
          <w:trHeight w:val="567"/>
        </w:trPr>
        <w:tc>
          <w:tcPr>
            <w:tcW w:w="3544" w:type="dxa"/>
          </w:tcPr>
          <w:p w14:paraId="2B959E8A" w14:textId="77777777" w:rsidR="008C4CA1" w:rsidRPr="00F02AE5" w:rsidRDefault="008C4CA1" w:rsidP="00395C30">
            <w:pPr>
              <w:pStyle w:val="List0R"/>
              <w:keepLines w:val="0"/>
              <w:spacing w:after="0"/>
              <w:ind w:left="1134" w:firstLine="0"/>
              <w:rPr>
                <w:szCs w:val="17"/>
                <w:lang w:val="fr-CH"/>
              </w:rPr>
            </w:pPr>
            <w:r w:rsidRPr="00F02AE5">
              <w:rPr>
                <w:szCs w:val="17"/>
                <w:lang w:val="fr-CH"/>
              </w:rPr>
              <w:t>Norme ST.68 de l’OMPI</w:t>
            </w:r>
          </w:p>
        </w:tc>
        <w:tc>
          <w:tcPr>
            <w:tcW w:w="5670" w:type="dxa"/>
          </w:tcPr>
          <w:p w14:paraId="25EFD193" w14:textId="77777777" w:rsidR="008C4CA1" w:rsidRPr="008C4CA1" w:rsidRDefault="008C4CA1" w:rsidP="00395C30">
            <w:pPr>
              <w:pStyle w:val="List0R"/>
              <w:keepLines w:val="0"/>
              <w:spacing w:after="0"/>
              <w:ind w:firstLine="0"/>
              <w:rPr>
                <w:szCs w:val="17"/>
                <w:lang w:val="fr-CH"/>
              </w:rPr>
            </w:pPr>
            <w:r w:rsidRPr="008C4CA1">
              <w:rPr>
                <w:szCs w:val="17"/>
                <w:lang w:val="fr-CH"/>
              </w:rPr>
              <w:t>Recommandations concernant la gestion électronique des marques sonores</w:t>
            </w:r>
          </w:p>
        </w:tc>
      </w:tr>
      <w:tr w:rsidR="008C4CA1" w:rsidRPr="008C4CA1" w14:paraId="657BACDF" w14:textId="77777777" w:rsidTr="00F02AE5">
        <w:trPr>
          <w:trHeight w:val="567"/>
        </w:trPr>
        <w:tc>
          <w:tcPr>
            <w:tcW w:w="3544" w:type="dxa"/>
          </w:tcPr>
          <w:p w14:paraId="696F75D0" w14:textId="77777777" w:rsidR="008C4CA1" w:rsidRPr="00F02AE5" w:rsidRDefault="008C4CA1" w:rsidP="00395C30">
            <w:pPr>
              <w:pStyle w:val="List0R"/>
              <w:keepLines w:val="0"/>
              <w:spacing w:after="0"/>
              <w:ind w:left="1134" w:firstLine="0"/>
              <w:rPr>
                <w:szCs w:val="17"/>
                <w:lang w:val="fr-CH"/>
              </w:rPr>
            </w:pPr>
            <w:r w:rsidRPr="00F02AE5">
              <w:rPr>
                <w:szCs w:val="17"/>
                <w:lang w:val="fr-CH"/>
              </w:rPr>
              <w:t>Norme ST.96 de l’OMPI</w:t>
            </w:r>
          </w:p>
        </w:tc>
        <w:tc>
          <w:tcPr>
            <w:tcW w:w="5670" w:type="dxa"/>
          </w:tcPr>
          <w:p w14:paraId="7407ACC3" w14:textId="77777777" w:rsidR="008C4CA1" w:rsidRPr="008C4CA1" w:rsidRDefault="008C4CA1" w:rsidP="00395C30">
            <w:pPr>
              <w:pStyle w:val="List0R"/>
              <w:keepLines w:val="0"/>
              <w:spacing w:after="0"/>
              <w:ind w:firstLine="0"/>
              <w:rPr>
                <w:szCs w:val="17"/>
                <w:lang w:val="fr-CH"/>
              </w:rPr>
            </w:pPr>
            <w:r w:rsidRPr="008C4CA1">
              <w:rPr>
                <w:szCs w:val="17"/>
                <w:lang w:val="fr-CH"/>
              </w:rPr>
              <w:t>Recommandation relative à l’utilisation du XML dans le traitement de l’information en matière de propriété intellectuelle</w:t>
            </w:r>
          </w:p>
        </w:tc>
      </w:tr>
    </w:tbl>
    <w:p w14:paraId="7C63A409" w14:textId="70172D43" w:rsidR="00574BB0" w:rsidRPr="00803C43" w:rsidRDefault="00714729" w:rsidP="00395C30">
      <w:pPr>
        <w:pStyle w:val="Heading2"/>
        <w:keepLines/>
      </w:pPr>
      <w:bookmarkStart w:id="15" w:name="_Toc55396113"/>
      <w:r>
        <w:t>R</w:t>
      </w:r>
      <w:r w:rsidRPr="00803C43">
        <w:t>ecommandations générales</w:t>
      </w:r>
      <w:bookmarkEnd w:id="15"/>
    </w:p>
    <w:p w14:paraId="23E42ED9" w14:textId="57DA5E21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883562" w:rsidRPr="00803C43">
        <w:rPr>
          <w:szCs w:val="17"/>
          <w:lang w:val="fr-CH"/>
        </w:rPr>
        <w:t>Il est recommandé qu</w:t>
      </w:r>
      <w:r w:rsidR="00F0551C">
        <w:rPr>
          <w:szCs w:val="17"/>
          <w:lang w:val="fr-CH"/>
        </w:rPr>
        <w:t>’</w:t>
      </w:r>
      <w:r w:rsidR="00883562" w:rsidRPr="00803C43">
        <w:rPr>
          <w:szCs w:val="17"/>
          <w:lang w:val="fr-CH"/>
        </w:rPr>
        <w:t>une demande d</w:t>
      </w:r>
      <w:r w:rsidR="00F0551C">
        <w:rPr>
          <w:szCs w:val="17"/>
          <w:lang w:val="fr-CH"/>
        </w:rPr>
        <w:t>’</w:t>
      </w:r>
      <w:r w:rsidR="00883562" w:rsidRPr="00803C43">
        <w:rPr>
          <w:szCs w:val="17"/>
          <w:lang w:val="fr-CH"/>
        </w:rPr>
        <w:t xml:space="preserve">enregistrement de marque de mouvement ou multimédia comprenne une représentation graphique du mouvement ou multimédia constituant la marque, éventuellement </w:t>
      </w:r>
      <w:r w:rsidR="00506397" w:rsidRPr="00803C43">
        <w:rPr>
          <w:szCs w:val="17"/>
          <w:lang w:val="fr-CH"/>
        </w:rPr>
        <w:t>accompagnée</w:t>
      </w:r>
      <w:r w:rsidR="00883562" w:rsidRPr="00803C43">
        <w:rPr>
          <w:szCs w:val="17"/>
          <w:lang w:val="fr-CH"/>
        </w:rPr>
        <w:t xml:space="preserve"> d</w:t>
      </w:r>
      <w:r w:rsidR="00F0551C">
        <w:rPr>
          <w:szCs w:val="17"/>
          <w:lang w:val="fr-CH"/>
        </w:rPr>
        <w:t>’</w:t>
      </w:r>
      <w:r w:rsidR="00883562" w:rsidRPr="00803C43">
        <w:rPr>
          <w:szCs w:val="17"/>
          <w:lang w:val="fr-CH"/>
        </w:rPr>
        <w:t>une description textuelle ou d</w:t>
      </w:r>
      <w:r w:rsidR="00F0551C">
        <w:rPr>
          <w:szCs w:val="17"/>
          <w:lang w:val="fr-CH"/>
        </w:rPr>
        <w:t>’</w:t>
      </w:r>
      <w:r w:rsidR="00883562" w:rsidRPr="00803C43">
        <w:rPr>
          <w:szCs w:val="17"/>
          <w:lang w:val="fr-CH"/>
        </w:rPr>
        <w:t xml:space="preserve">un enregistrement dudit mouvement ou multimédia, conformément aux exigences </w:t>
      </w:r>
      <w:r w:rsidR="00894258">
        <w:rPr>
          <w:szCs w:val="17"/>
          <w:lang w:val="fr-CH"/>
        </w:rPr>
        <w:t>établie</w:t>
      </w:r>
      <w:r w:rsidR="0029133B">
        <w:rPr>
          <w:szCs w:val="17"/>
          <w:lang w:val="fr-CH"/>
        </w:rPr>
        <w:t>s</w:t>
      </w:r>
      <w:r w:rsidR="00883562" w:rsidRPr="00803C43">
        <w:rPr>
          <w:szCs w:val="17"/>
          <w:lang w:val="fr-CH"/>
        </w:rPr>
        <w:t xml:space="preserve"> par l</w:t>
      </w:r>
      <w:r w:rsidR="00F0551C">
        <w:rPr>
          <w:szCs w:val="17"/>
          <w:lang w:val="fr-CH"/>
        </w:rPr>
        <w:t>’</w:t>
      </w:r>
      <w:r w:rsidR="00883562" w:rsidRPr="00803C43">
        <w:rPr>
          <w:szCs w:val="17"/>
          <w:lang w:val="fr-CH"/>
        </w:rPr>
        <w:t>office de propriété industrielle recevant la demande.</w:t>
      </w:r>
    </w:p>
    <w:p w14:paraId="341BB31F" w14:textId="71E57210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2C629B" w:rsidRPr="00803C43">
        <w:rPr>
          <w:szCs w:val="17"/>
          <w:lang w:val="fr-CH"/>
        </w:rPr>
        <w:t xml:space="preserve">Les déposants ne </w:t>
      </w:r>
      <w:r w:rsidR="007616D5">
        <w:rPr>
          <w:szCs w:val="17"/>
          <w:lang w:val="fr-CH"/>
        </w:rPr>
        <w:t>devraient</w:t>
      </w:r>
      <w:r w:rsidR="002C629B" w:rsidRPr="00803C43">
        <w:rPr>
          <w:szCs w:val="17"/>
          <w:lang w:val="fr-CH"/>
        </w:rPr>
        <w:t xml:space="preserve"> pas </w:t>
      </w:r>
      <w:r w:rsidR="0039418D">
        <w:rPr>
          <w:szCs w:val="17"/>
          <w:lang w:val="fr-CH"/>
        </w:rPr>
        <w:t>inclure</w:t>
      </w:r>
      <w:r w:rsidR="002C629B" w:rsidRPr="00803C43">
        <w:rPr>
          <w:szCs w:val="17"/>
          <w:lang w:val="fr-CH"/>
        </w:rPr>
        <w:t xml:space="preserve"> d</w:t>
      </w:r>
      <w:r w:rsidR="00F0551C">
        <w:rPr>
          <w:szCs w:val="17"/>
          <w:lang w:val="fr-CH"/>
        </w:rPr>
        <w:t>’</w:t>
      </w:r>
      <w:r w:rsidR="002C629B" w:rsidRPr="00803C43">
        <w:rPr>
          <w:szCs w:val="17"/>
          <w:lang w:val="fr-CH"/>
        </w:rPr>
        <w:t xml:space="preserve">élément sonore </w:t>
      </w:r>
      <w:r w:rsidR="0039418D">
        <w:rPr>
          <w:szCs w:val="17"/>
          <w:lang w:val="fr-CH"/>
        </w:rPr>
        <w:t>dans une demande de</w:t>
      </w:r>
      <w:r w:rsidR="00481D50">
        <w:rPr>
          <w:szCs w:val="17"/>
          <w:lang w:val="fr-CH"/>
        </w:rPr>
        <w:t xml:space="preserve"> </w:t>
      </w:r>
      <w:r w:rsidR="002C629B" w:rsidRPr="00803C43">
        <w:rPr>
          <w:szCs w:val="17"/>
          <w:lang w:val="fr-CH"/>
        </w:rPr>
        <w:t>marque de mouvement, à moins que la protection ne soit demandée pour une combinaison de mouvement et de son, auquel cas il convient de déposer une demande de marque multimédia.</w:t>
      </w:r>
      <w:r w:rsidR="00FD43FC" w:rsidRPr="00803C43">
        <w:rPr>
          <w:szCs w:val="17"/>
          <w:lang w:val="fr-CH"/>
        </w:rPr>
        <w:t xml:space="preserve"> </w:t>
      </w:r>
      <w:r w:rsidR="00256E68">
        <w:rPr>
          <w:szCs w:val="17"/>
          <w:lang w:val="fr-CH"/>
        </w:rPr>
        <w:t xml:space="preserve"> </w:t>
      </w:r>
      <w:r w:rsidR="003373E2" w:rsidRPr="00803C43">
        <w:rPr>
          <w:szCs w:val="17"/>
          <w:lang w:val="fr-CH"/>
        </w:rPr>
        <w:t xml:space="preserve">Dans le cas contraire, si la protection est demandée pour des éléments de mouvement et de son indépendamment, le déposant </w:t>
      </w:r>
      <w:r w:rsidR="007616D5">
        <w:rPr>
          <w:szCs w:val="17"/>
          <w:lang w:val="fr-CH"/>
        </w:rPr>
        <w:t>devrait</w:t>
      </w:r>
      <w:r w:rsidR="003373E2" w:rsidRPr="00803C43">
        <w:rPr>
          <w:szCs w:val="17"/>
          <w:lang w:val="fr-CH"/>
        </w:rPr>
        <w:t xml:space="preserve"> déposer des demandes </w:t>
      </w:r>
      <w:r w:rsidR="00231327">
        <w:rPr>
          <w:szCs w:val="17"/>
          <w:lang w:val="fr-CH"/>
        </w:rPr>
        <w:t>de</w:t>
      </w:r>
      <w:r w:rsidR="003373E2" w:rsidRPr="00803C43">
        <w:rPr>
          <w:szCs w:val="17"/>
          <w:lang w:val="fr-CH"/>
        </w:rPr>
        <w:t xml:space="preserve"> marque de mouvement et </w:t>
      </w:r>
      <w:r w:rsidR="00231327">
        <w:rPr>
          <w:szCs w:val="17"/>
          <w:lang w:val="fr-CH"/>
        </w:rPr>
        <w:t>de</w:t>
      </w:r>
      <w:r w:rsidR="003373E2" w:rsidRPr="00803C43">
        <w:rPr>
          <w:szCs w:val="17"/>
          <w:lang w:val="fr-CH"/>
        </w:rPr>
        <w:t xml:space="preserve"> marque sonore </w:t>
      </w:r>
      <w:r w:rsidR="00231327" w:rsidRPr="00803C43">
        <w:rPr>
          <w:szCs w:val="17"/>
          <w:lang w:val="fr-CH"/>
        </w:rPr>
        <w:t xml:space="preserve">distinctes </w:t>
      </w:r>
      <w:r w:rsidR="003373E2" w:rsidRPr="00803C43">
        <w:rPr>
          <w:szCs w:val="17"/>
          <w:lang w:val="fr-CH"/>
        </w:rPr>
        <w:t xml:space="preserve">(voir </w:t>
      </w:r>
      <w:hyperlink r:id="rId8" w:history="1">
        <w:r w:rsidR="003373E2" w:rsidRPr="00714729">
          <w:rPr>
            <w:rStyle w:val="Hyperlink"/>
            <w:szCs w:val="17"/>
            <w:lang w:val="fr-CH"/>
          </w:rPr>
          <w:t>la norme</w:t>
        </w:r>
        <w:r w:rsidR="00256E68" w:rsidRPr="00714729">
          <w:rPr>
            <w:rStyle w:val="Hyperlink"/>
            <w:szCs w:val="17"/>
            <w:lang w:val="fr-CH"/>
          </w:rPr>
          <w:t> </w:t>
        </w:r>
        <w:r w:rsidR="003373E2" w:rsidRPr="00714729">
          <w:rPr>
            <w:rStyle w:val="Hyperlink"/>
            <w:szCs w:val="17"/>
            <w:lang w:val="fr-CH"/>
          </w:rPr>
          <w:t>ST.68 de l</w:t>
        </w:r>
        <w:r w:rsidR="00F0551C" w:rsidRPr="00714729">
          <w:rPr>
            <w:rStyle w:val="Hyperlink"/>
            <w:szCs w:val="17"/>
            <w:lang w:val="fr-CH"/>
          </w:rPr>
          <w:t>’</w:t>
        </w:r>
        <w:r w:rsidR="003373E2" w:rsidRPr="00714729">
          <w:rPr>
            <w:rStyle w:val="Hyperlink"/>
            <w:szCs w:val="17"/>
            <w:lang w:val="fr-CH"/>
          </w:rPr>
          <w:t>OMPI</w:t>
        </w:r>
      </w:hyperlink>
      <w:r w:rsidR="003373E2" w:rsidRPr="00803C43">
        <w:rPr>
          <w:szCs w:val="17"/>
          <w:lang w:val="fr-CH"/>
        </w:rPr>
        <w:t>).</w:t>
      </w:r>
    </w:p>
    <w:p w14:paraId="71F8D2F4" w14:textId="53238A9C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3373E2" w:rsidRPr="00803C43">
        <w:rPr>
          <w:szCs w:val="17"/>
          <w:lang w:val="fr-CH"/>
        </w:rPr>
        <w:t>Il est recommandé d</w:t>
      </w:r>
      <w:r w:rsidR="00F0551C">
        <w:rPr>
          <w:szCs w:val="17"/>
          <w:lang w:val="fr-CH"/>
        </w:rPr>
        <w:t>’</w:t>
      </w:r>
      <w:r w:rsidR="003373E2" w:rsidRPr="00803C43">
        <w:rPr>
          <w:szCs w:val="17"/>
          <w:lang w:val="fr-CH"/>
        </w:rPr>
        <w:t xml:space="preserve">inclure </w:t>
      </w:r>
      <w:r w:rsidR="007616D5">
        <w:rPr>
          <w:szCs w:val="17"/>
          <w:lang w:val="fr-CH"/>
        </w:rPr>
        <w:t>la mention</w:t>
      </w:r>
      <w:r w:rsidR="003373E2" w:rsidRPr="00803C43">
        <w:rPr>
          <w:szCs w:val="17"/>
          <w:lang w:val="fr-CH"/>
        </w:rPr>
        <w:t xml:space="preserve"> </w:t>
      </w:r>
      <w:r w:rsidR="00803C43">
        <w:rPr>
          <w:szCs w:val="17"/>
          <w:lang w:val="fr-CH"/>
        </w:rPr>
        <w:t>“</w:t>
      </w:r>
      <w:r w:rsidR="003373E2" w:rsidRPr="00803C43">
        <w:rPr>
          <w:szCs w:val="17"/>
          <w:lang w:val="fr-CH"/>
        </w:rPr>
        <w:t>marque de mouvement</w:t>
      </w:r>
      <w:r w:rsidR="00803C43">
        <w:rPr>
          <w:szCs w:val="17"/>
          <w:lang w:val="fr-CH"/>
        </w:rPr>
        <w:t>”</w:t>
      </w:r>
      <w:r w:rsidR="003373E2" w:rsidRPr="00803C43">
        <w:rPr>
          <w:szCs w:val="17"/>
          <w:lang w:val="fr-CH"/>
        </w:rPr>
        <w:t xml:space="preserve"> ou </w:t>
      </w:r>
      <w:r w:rsidR="00803C43">
        <w:rPr>
          <w:szCs w:val="17"/>
          <w:lang w:val="fr-CH"/>
        </w:rPr>
        <w:t>“</w:t>
      </w:r>
      <w:r w:rsidR="003373E2" w:rsidRPr="00803C43">
        <w:rPr>
          <w:szCs w:val="17"/>
          <w:lang w:val="fr-CH"/>
        </w:rPr>
        <w:t>marque multimédia</w:t>
      </w:r>
      <w:r w:rsidR="00803C43">
        <w:rPr>
          <w:szCs w:val="17"/>
          <w:lang w:val="fr-CH"/>
        </w:rPr>
        <w:t>”</w:t>
      </w:r>
      <w:r w:rsidR="003373E2" w:rsidRPr="00803C43">
        <w:rPr>
          <w:szCs w:val="17"/>
          <w:lang w:val="fr-CH"/>
        </w:rPr>
        <w:t xml:space="preserve"> dans les demandes.</w:t>
      </w:r>
    </w:p>
    <w:p w14:paraId="31FBA490" w14:textId="168DF013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3373E2" w:rsidRPr="00803C43">
        <w:rPr>
          <w:szCs w:val="17"/>
          <w:lang w:val="fr-CH"/>
        </w:rPr>
        <w:t xml:space="preserve">Lorsque les déposants </w:t>
      </w:r>
      <w:r w:rsidR="007616D5">
        <w:rPr>
          <w:szCs w:val="17"/>
          <w:lang w:val="fr-CH"/>
        </w:rPr>
        <w:t>déposent une demande</w:t>
      </w:r>
      <w:r w:rsidR="003373E2" w:rsidRPr="00803C43">
        <w:rPr>
          <w:szCs w:val="17"/>
          <w:lang w:val="fr-CH"/>
        </w:rPr>
        <w:t xml:space="preserve"> </w:t>
      </w:r>
      <w:r w:rsidR="007616D5">
        <w:rPr>
          <w:szCs w:val="17"/>
          <w:lang w:val="fr-CH"/>
        </w:rPr>
        <w:t>de</w:t>
      </w:r>
      <w:r w:rsidR="003373E2" w:rsidRPr="00803C43">
        <w:rPr>
          <w:szCs w:val="17"/>
          <w:lang w:val="fr-CH"/>
        </w:rPr>
        <w:t xml:space="preserve"> marque de mouvement ou multimédia sous forme électronique, les caractéristiques du fichier fourni </w:t>
      </w:r>
      <w:r w:rsidR="007616D5">
        <w:rPr>
          <w:szCs w:val="17"/>
          <w:lang w:val="fr-CH"/>
        </w:rPr>
        <w:t>devraient</w:t>
      </w:r>
      <w:r w:rsidR="003373E2" w:rsidRPr="00803C43">
        <w:rPr>
          <w:szCs w:val="17"/>
          <w:lang w:val="fr-CH"/>
        </w:rPr>
        <w:t xml:space="preserve"> être conformes aux règles correspondantes établies par l</w:t>
      </w:r>
      <w:r w:rsidR="00F0551C">
        <w:rPr>
          <w:szCs w:val="17"/>
          <w:lang w:val="fr-CH"/>
        </w:rPr>
        <w:t>’</w:t>
      </w:r>
      <w:r w:rsidR="007616D5">
        <w:rPr>
          <w:szCs w:val="17"/>
          <w:lang w:val="fr-CH"/>
        </w:rPr>
        <w:t>office de propriété industrielle</w:t>
      </w:r>
      <w:r w:rsidR="003373E2" w:rsidRPr="00803C43">
        <w:rPr>
          <w:szCs w:val="17"/>
          <w:lang w:val="fr-CH"/>
        </w:rPr>
        <w:t xml:space="preserve"> concerné, conformément à la présente norme.</w:t>
      </w:r>
    </w:p>
    <w:p w14:paraId="7487EFBC" w14:textId="4B8454F3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3373E2" w:rsidRPr="00803C43">
        <w:rPr>
          <w:szCs w:val="17"/>
          <w:lang w:val="fr-CH"/>
        </w:rPr>
        <w:t xml:space="preserve">Les modifications </w:t>
      </w:r>
      <w:r w:rsidR="00520B08">
        <w:rPr>
          <w:szCs w:val="17"/>
          <w:lang w:val="fr-CH"/>
        </w:rPr>
        <w:t>apportées aux</w:t>
      </w:r>
      <w:r w:rsidR="003373E2" w:rsidRPr="00803C43">
        <w:rPr>
          <w:szCs w:val="17"/>
          <w:lang w:val="fr-CH"/>
        </w:rPr>
        <w:t xml:space="preserve"> exigences relatives aux demandes de marque de mouvement ou multimédia </w:t>
      </w:r>
      <w:r w:rsidR="007616D5">
        <w:rPr>
          <w:szCs w:val="17"/>
          <w:lang w:val="fr-CH"/>
        </w:rPr>
        <w:t>devraient</w:t>
      </w:r>
      <w:r w:rsidR="003373E2" w:rsidRPr="00803C43">
        <w:rPr>
          <w:szCs w:val="17"/>
          <w:lang w:val="fr-CH"/>
        </w:rPr>
        <w:t xml:space="preserve"> être annoncées par l</w:t>
      </w:r>
      <w:r w:rsidR="00F0551C">
        <w:rPr>
          <w:szCs w:val="17"/>
          <w:lang w:val="fr-CH"/>
        </w:rPr>
        <w:t>’</w:t>
      </w:r>
      <w:r w:rsidR="007616D5">
        <w:rPr>
          <w:szCs w:val="17"/>
          <w:lang w:val="fr-CH"/>
        </w:rPr>
        <w:t>office de propriété industrielle</w:t>
      </w:r>
      <w:r w:rsidR="003373E2" w:rsidRPr="00803C43">
        <w:rPr>
          <w:szCs w:val="17"/>
          <w:lang w:val="fr-CH"/>
        </w:rPr>
        <w:t xml:space="preserve"> selon que de besoin.</w:t>
      </w:r>
      <w:r w:rsidR="000E7F45" w:rsidRPr="00803C43">
        <w:rPr>
          <w:szCs w:val="17"/>
          <w:lang w:val="fr-CH"/>
        </w:rPr>
        <w:t xml:space="preserve">  </w:t>
      </w:r>
      <w:r w:rsidR="003373E2" w:rsidRPr="00803C43">
        <w:rPr>
          <w:szCs w:val="17"/>
          <w:lang w:val="fr-CH"/>
        </w:rPr>
        <w:t xml:space="preserve">Il est également recommandé que lesdites exigences soient </w:t>
      </w:r>
      <w:r w:rsidR="0029133B">
        <w:rPr>
          <w:szCs w:val="17"/>
          <w:lang w:val="fr-CH"/>
        </w:rPr>
        <w:t>mises à disposition</w:t>
      </w:r>
      <w:r w:rsidR="003373E2" w:rsidRPr="00803C43">
        <w:rPr>
          <w:szCs w:val="17"/>
          <w:lang w:val="fr-CH"/>
        </w:rPr>
        <w:t xml:space="preserve"> sur le site</w:t>
      </w:r>
      <w:r w:rsidR="00256E68">
        <w:rPr>
          <w:szCs w:val="17"/>
          <w:lang w:val="fr-CH"/>
        </w:rPr>
        <w:t> </w:t>
      </w:r>
      <w:r w:rsidR="003373E2" w:rsidRPr="00803C43">
        <w:rPr>
          <w:szCs w:val="17"/>
          <w:lang w:val="fr-CH"/>
        </w:rPr>
        <w:t>Web de l</w:t>
      </w:r>
      <w:r w:rsidR="00F0551C">
        <w:rPr>
          <w:szCs w:val="17"/>
          <w:lang w:val="fr-CH"/>
        </w:rPr>
        <w:t>’</w:t>
      </w:r>
      <w:r w:rsidR="007616D5">
        <w:rPr>
          <w:szCs w:val="17"/>
          <w:lang w:val="fr-CH"/>
        </w:rPr>
        <w:t>office de propriété industrielle</w:t>
      </w:r>
      <w:r w:rsidR="003373E2" w:rsidRPr="00803C43">
        <w:rPr>
          <w:szCs w:val="17"/>
          <w:lang w:val="fr-CH"/>
        </w:rPr>
        <w:t xml:space="preserve"> ou annoncées dans des publications officielles à intervalles réguliers.</w:t>
      </w:r>
    </w:p>
    <w:p w14:paraId="58E21632" w14:textId="01E0BBCC" w:rsidR="00574BB0" w:rsidRPr="00803C43" w:rsidRDefault="00714729" w:rsidP="00395C30">
      <w:pPr>
        <w:pStyle w:val="Heading2"/>
        <w:keepLines/>
      </w:pPr>
      <w:bookmarkStart w:id="16" w:name="_Toc55396114"/>
      <w:r>
        <w:t>R</w:t>
      </w:r>
      <w:r w:rsidRPr="00803C43">
        <w:t>ecommandations concernant la représentation graphique des marques de mouvement</w:t>
      </w:r>
      <w:bookmarkEnd w:id="16"/>
    </w:p>
    <w:bookmarkStart w:id="17" w:name="_Toc392766490"/>
    <w:p w14:paraId="18C8A1EB" w14:textId="70CA862A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3373E2" w:rsidRPr="00803C43">
        <w:rPr>
          <w:szCs w:val="17"/>
          <w:lang w:val="fr-CH"/>
        </w:rPr>
        <w:t xml:space="preserve">La gestion électronique de la représentation graphique du mouvement constituant la marque </w:t>
      </w:r>
      <w:r w:rsidR="00520B08">
        <w:rPr>
          <w:szCs w:val="17"/>
          <w:lang w:val="fr-CH"/>
        </w:rPr>
        <w:t>devrait être conforme aux</w:t>
      </w:r>
      <w:r w:rsidR="003373E2" w:rsidRPr="00803C43">
        <w:rPr>
          <w:szCs w:val="17"/>
          <w:lang w:val="fr-CH"/>
        </w:rPr>
        <w:t xml:space="preserve"> recommandations pertinentes </w:t>
      </w:r>
      <w:r w:rsidR="001B041A">
        <w:rPr>
          <w:szCs w:val="17"/>
          <w:lang w:val="fr-CH"/>
        </w:rPr>
        <w:t>énoncées dans</w:t>
      </w:r>
      <w:r w:rsidR="00A014D1">
        <w:rPr>
          <w:szCs w:val="17"/>
          <w:lang w:val="fr-CH"/>
        </w:rPr>
        <w:t xml:space="preserve"> l</w:t>
      </w:r>
      <w:r w:rsidR="00F213C9">
        <w:rPr>
          <w:szCs w:val="17"/>
          <w:lang w:val="fr-CH"/>
        </w:rPr>
        <w:t>a</w:t>
      </w:r>
      <w:r w:rsidR="003373E2" w:rsidRPr="00803C43">
        <w:rPr>
          <w:szCs w:val="17"/>
          <w:lang w:val="fr-CH"/>
        </w:rPr>
        <w:t xml:space="preserve"> norme</w:t>
      </w:r>
      <w:r w:rsidR="00256E68">
        <w:rPr>
          <w:szCs w:val="17"/>
          <w:lang w:val="fr-CH"/>
        </w:rPr>
        <w:t> </w:t>
      </w:r>
      <w:r w:rsidR="003373E2" w:rsidRPr="00803C43">
        <w:rPr>
          <w:szCs w:val="17"/>
          <w:lang w:val="fr-CH"/>
        </w:rPr>
        <w:t>ST.67 de l</w:t>
      </w:r>
      <w:r w:rsidR="00F0551C">
        <w:rPr>
          <w:szCs w:val="17"/>
          <w:lang w:val="fr-CH"/>
        </w:rPr>
        <w:t>’</w:t>
      </w:r>
      <w:r w:rsidR="003373E2" w:rsidRPr="00803C43">
        <w:rPr>
          <w:szCs w:val="17"/>
          <w:lang w:val="fr-CH"/>
        </w:rPr>
        <w:t>OMPI.</w:t>
      </w:r>
    </w:p>
    <w:p w14:paraId="4FB9D334" w14:textId="43CD467E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3373E2" w:rsidRPr="00803C43">
        <w:rPr>
          <w:szCs w:val="17"/>
          <w:lang w:val="fr-CH"/>
        </w:rPr>
        <w:t>Selon les exigences établies par l</w:t>
      </w:r>
      <w:r w:rsidR="00F0551C">
        <w:rPr>
          <w:szCs w:val="17"/>
          <w:lang w:val="fr-CH"/>
        </w:rPr>
        <w:t>’</w:t>
      </w:r>
      <w:r w:rsidR="007616D5">
        <w:rPr>
          <w:szCs w:val="17"/>
          <w:lang w:val="fr-CH"/>
        </w:rPr>
        <w:t>office de propriété industrielle</w:t>
      </w:r>
      <w:r w:rsidR="00940605" w:rsidRPr="00803C43">
        <w:rPr>
          <w:szCs w:val="17"/>
          <w:lang w:val="fr-CH"/>
        </w:rPr>
        <w:t>,</w:t>
      </w:r>
      <w:r w:rsidR="003373E2" w:rsidRPr="00803C43">
        <w:rPr>
          <w:szCs w:val="17"/>
          <w:lang w:val="fr-CH"/>
        </w:rPr>
        <w:t xml:space="preserve"> la représentation graphique d</w:t>
      </w:r>
      <w:r w:rsidR="00F0551C">
        <w:rPr>
          <w:szCs w:val="17"/>
          <w:lang w:val="fr-CH"/>
        </w:rPr>
        <w:t>’</w:t>
      </w:r>
      <w:r w:rsidR="003373E2" w:rsidRPr="00803C43">
        <w:rPr>
          <w:szCs w:val="17"/>
          <w:lang w:val="fr-CH"/>
        </w:rPr>
        <w:t>une marq</w:t>
      </w:r>
      <w:r w:rsidR="00FE1C37">
        <w:rPr>
          <w:szCs w:val="17"/>
          <w:lang w:val="fr-CH"/>
        </w:rPr>
        <w:t>ue de mouvement peut consister</w:t>
      </w:r>
      <w:r w:rsidR="00F0551C">
        <w:rPr>
          <w:szCs w:val="17"/>
          <w:lang w:val="fr-CH"/>
        </w:rPr>
        <w:t>:</w:t>
      </w:r>
    </w:p>
    <w:p w14:paraId="6C6BACE9" w14:textId="2489DABE" w:rsidR="00F0551C" w:rsidRDefault="00A014D1" w:rsidP="00395C30">
      <w:pPr>
        <w:pStyle w:val="List0"/>
        <w:keepLines w:val="0"/>
        <w:numPr>
          <w:ilvl w:val="0"/>
          <w:numId w:val="16"/>
        </w:numPr>
        <w:spacing w:before="150" w:after="0"/>
        <w:ind w:left="1134" w:hanging="567"/>
        <w:rPr>
          <w:szCs w:val="17"/>
          <w:lang w:val="fr-CH"/>
        </w:rPr>
      </w:pPr>
      <w:r>
        <w:rPr>
          <w:szCs w:val="17"/>
          <w:lang w:val="fr-CH"/>
        </w:rPr>
        <w:t xml:space="preserve">soit en </w:t>
      </w:r>
      <w:r w:rsidR="003373E2" w:rsidRPr="00803C43">
        <w:rPr>
          <w:szCs w:val="17"/>
          <w:lang w:val="fr-CH"/>
        </w:rPr>
        <w:t>une seule image représentant plusieurs étapes du mouvement constituant la marque;</w:t>
      </w:r>
    </w:p>
    <w:p w14:paraId="44170568" w14:textId="776DDB10" w:rsidR="00574BB0" w:rsidRPr="00803C43" w:rsidRDefault="00A014D1" w:rsidP="00395C30">
      <w:pPr>
        <w:pStyle w:val="List0"/>
        <w:keepLines w:val="0"/>
        <w:numPr>
          <w:ilvl w:val="0"/>
          <w:numId w:val="16"/>
        </w:numPr>
        <w:spacing w:before="150" w:after="200"/>
        <w:ind w:left="1134" w:hanging="567"/>
        <w:rPr>
          <w:szCs w:val="17"/>
          <w:lang w:val="fr-CH"/>
        </w:rPr>
      </w:pPr>
      <w:r>
        <w:rPr>
          <w:szCs w:val="17"/>
          <w:lang w:val="fr-CH"/>
        </w:rPr>
        <w:t xml:space="preserve">soit en </w:t>
      </w:r>
      <w:r w:rsidR="003373E2" w:rsidRPr="00803C43">
        <w:rPr>
          <w:szCs w:val="17"/>
          <w:lang w:val="fr-CH"/>
        </w:rPr>
        <w:t>une série d</w:t>
      </w:r>
      <w:r w:rsidR="00F0551C">
        <w:rPr>
          <w:szCs w:val="17"/>
          <w:lang w:val="fr-CH"/>
        </w:rPr>
        <w:t>’</w:t>
      </w:r>
      <w:r w:rsidR="003373E2" w:rsidRPr="00803C43">
        <w:rPr>
          <w:szCs w:val="17"/>
          <w:lang w:val="fr-CH"/>
        </w:rPr>
        <w:t>images sélectionnées qui représentent le mouvement et qui ont le même format et la même taille.</w:t>
      </w:r>
    </w:p>
    <w:p w14:paraId="5AC87BAD" w14:textId="57996AA3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B35413" w:rsidRPr="00803C43">
        <w:rPr>
          <w:szCs w:val="17"/>
          <w:lang w:val="fr-CH"/>
        </w:rPr>
        <w:t>Le format et la taille de l</w:t>
      </w:r>
      <w:r w:rsidR="00F0551C">
        <w:rPr>
          <w:szCs w:val="17"/>
          <w:lang w:val="fr-CH"/>
        </w:rPr>
        <w:t>’</w:t>
      </w:r>
      <w:r w:rsidR="00B35413" w:rsidRPr="00803C43">
        <w:rPr>
          <w:szCs w:val="17"/>
          <w:lang w:val="fr-CH"/>
        </w:rPr>
        <w:t>image ou des images dans la représentation graphique d</w:t>
      </w:r>
      <w:r w:rsidR="00F0551C">
        <w:rPr>
          <w:szCs w:val="17"/>
          <w:lang w:val="fr-CH"/>
        </w:rPr>
        <w:t>’</w:t>
      </w:r>
      <w:r w:rsidR="00B35413" w:rsidRPr="00803C43">
        <w:rPr>
          <w:szCs w:val="17"/>
          <w:lang w:val="fr-CH"/>
        </w:rPr>
        <w:t xml:space="preserve">une marque de mouvement </w:t>
      </w:r>
      <w:r w:rsidR="00520B08">
        <w:rPr>
          <w:szCs w:val="17"/>
          <w:lang w:val="fr-CH"/>
        </w:rPr>
        <w:t>devraient être conformes aux</w:t>
      </w:r>
      <w:r w:rsidR="00B35413" w:rsidRPr="00803C43">
        <w:rPr>
          <w:szCs w:val="17"/>
          <w:lang w:val="fr-CH"/>
        </w:rPr>
        <w:t xml:space="preserve"> recommandations pertinentes </w:t>
      </w:r>
      <w:r w:rsidR="001B041A">
        <w:rPr>
          <w:szCs w:val="17"/>
          <w:lang w:val="fr-CH"/>
        </w:rPr>
        <w:t>énoncées dans</w:t>
      </w:r>
      <w:r w:rsidR="001B041A" w:rsidRPr="00803C43">
        <w:rPr>
          <w:szCs w:val="17"/>
          <w:lang w:val="fr-CH"/>
        </w:rPr>
        <w:t xml:space="preserve"> </w:t>
      </w:r>
      <w:r w:rsidR="00F213C9">
        <w:rPr>
          <w:szCs w:val="17"/>
          <w:lang w:val="fr-CH"/>
        </w:rPr>
        <w:t xml:space="preserve">la </w:t>
      </w:r>
      <w:r w:rsidR="00B35413" w:rsidRPr="00803C43">
        <w:rPr>
          <w:szCs w:val="17"/>
          <w:lang w:val="fr-CH"/>
        </w:rPr>
        <w:t>norme</w:t>
      </w:r>
      <w:r w:rsidR="00256E68">
        <w:rPr>
          <w:szCs w:val="17"/>
          <w:lang w:val="fr-CH"/>
        </w:rPr>
        <w:t> </w:t>
      </w:r>
      <w:r w:rsidR="00B35413" w:rsidRPr="00803C43">
        <w:rPr>
          <w:szCs w:val="17"/>
          <w:lang w:val="fr-CH"/>
        </w:rPr>
        <w:t>ST.67 de l</w:t>
      </w:r>
      <w:r w:rsidR="00F0551C">
        <w:rPr>
          <w:szCs w:val="17"/>
          <w:lang w:val="fr-CH"/>
        </w:rPr>
        <w:t>’</w:t>
      </w:r>
      <w:r w:rsidR="00B35413" w:rsidRPr="00803C43">
        <w:rPr>
          <w:szCs w:val="17"/>
          <w:lang w:val="fr-CH"/>
        </w:rPr>
        <w:t xml:space="preserve">OMPI (voir les </w:t>
      </w:r>
      <w:r w:rsidR="00F0551C" w:rsidRPr="00803C43">
        <w:rPr>
          <w:szCs w:val="17"/>
          <w:lang w:val="fr-CH"/>
        </w:rPr>
        <w:t>paragraphes</w:t>
      </w:r>
      <w:r w:rsidR="00F0551C">
        <w:rPr>
          <w:szCs w:val="17"/>
          <w:lang w:val="fr-CH"/>
        </w:rPr>
        <w:t> </w:t>
      </w:r>
      <w:r w:rsidR="00F0551C" w:rsidRPr="00803C43">
        <w:rPr>
          <w:szCs w:val="17"/>
          <w:lang w:val="fr-CH"/>
        </w:rPr>
        <w:t>7</w:t>
      </w:r>
      <w:r w:rsidR="00B35413" w:rsidRPr="00803C43">
        <w:rPr>
          <w:szCs w:val="17"/>
          <w:lang w:val="fr-CH"/>
        </w:rPr>
        <w:t xml:space="preserve"> à 12 de ladite norme).</w:t>
      </w:r>
    </w:p>
    <w:p w14:paraId="527AB648" w14:textId="0B151BBE" w:rsidR="00F0551C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3373E2" w:rsidRPr="00803C43">
        <w:rPr>
          <w:szCs w:val="17"/>
          <w:lang w:val="fr-CH"/>
        </w:rPr>
        <w:t>Si la représentation graphique d</w:t>
      </w:r>
      <w:r w:rsidR="00F0551C">
        <w:rPr>
          <w:szCs w:val="17"/>
          <w:lang w:val="fr-CH"/>
        </w:rPr>
        <w:t>’</w:t>
      </w:r>
      <w:r w:rsidR="003373E2" w:rsidRPr="00803C43">
        <w:rPr>
          <w:szCs w:val="17"/>
          <w:lang w:val="fr-CH"/>
        </w:rPr>
        <w:t>une marque de mouvement consiste en une série d</w:t>
      </w:r>
      <w:r w:rsidR="00F0551C">
        <w:rPr>
          <w:szCs w:val="17"/>
          <w:lang w:val="fr-CH"/>
        </w:rPr>
        <w:t>’</w:t>
      </w:r>
      <w:r w:rsidR="003373E2" w:rsidRPr="00803C43">
        <w:rPr>
          <w:szCs w:val="17"/>
          <w:lang w:val="fr-CH"/>
        </w:rPr>
        <w:t xml:space="preserve">images sélectionnées, conformément </w:t>
      </w:r>
      <w:r w:rsidR="00F8455F" w:rsidRPr="00803C43">
        <w:rPr>
          <w:szCs w:val="17"/>
          <w:lang w:val="fr-CH"/>
        </w:rPr>
        <w:t xml:space="preserve">au </w:t>
      </w:r>
      <w:r w:rsidR="00F0551C" w:rsidRPr="00803C43">
        <w:rPr>
          <w:szCs w:val="17"/>
          <w:lang w:val="fr-CH"/>
        </w:rPr>
        <w:t>point</w:t>
      </w:r>
      <w:r w:rsidR="00F0551C">
        <w:rPr>
          <w:szCs w:val="17"/>
          <w:lang w:val="fr-CH"/>
        </w:rPr>
        <w:t> </w:t>
      </w:r>
      <w:r w:rsidR="00F0551C" w:rsidRPr="00803C43">
        <w:rPr>
          <w:szCs w:val="17"/>
          <w:lang w:val="fr-CH"/>
        </w:rPr>
        <w:t>b)</w:t>
      </w:r>
      <w:r w:rsidR="003373E2" w:rsidRPr="00803C43">
        <w:rPr>
          <w:szCs w:val="17"/>
          <w:lang w:val="fr-CH"/>
        </w:rPr>
        <w:t xml:space="preserve"> du </w:t>
      </w:r>
      <w:r w:rsidR="00F0551C" w:rsidRPr="00803C43">
        <w:rPr>
          <w:szCs w:val="17"/>
          <w:lang w:val="fr-CH"/>
        </w:rPr>
        <w:t>paragraphe</w:t>
      </w:r>
      <w:r w:rsidR="00F0551C">
        <w:rPr>
          <w:szCs w:val="17"/>
          <w:lang w:val="fr-CH"/>
        </w:rPr>
        <w:t> </w:t>
      </w:r>
      <w:r w:rsidR="00F0551C" w:rsidRPr="00803C43">
        <w:rPr>
          <w:szCs w:val="17"/>
          <w:lang w:val="fr-CH"/>
        </w:rPr>
        <w:t>1</w:t>
      </w:r>
      <w:r w:rsidR="003373E2" w:rsidRPr="00803C43">
        <w:rPr>
          <w:szCs w:val="17"/>
          <w:lang w:val="fr-CH"/>
        </w:rPr>
        <w:t>1 ci</w:t>
      </w:r>
      <w:r w:rsidR="00714729">
        <w:rPr>
          <w:szCs w:val="17"/>
          <w:lang w:val="fr-CH"/>
        </w:rPr>
        <w:noBreakHyphen/>
      </w:r>
      <w:r w:rsidR="003373E2" w:rsidRPr="00803C43">
        <w:rPr>
          <w:szCs w:val="17"/>
          <w:lang w:val="fr-CH"/>
        </w:rPr>
        <w:t>dessus, l</w:t>
      </w:r>
      <w:r w:rsidR="00F0551C">
        <w:rPr>
          <w:szCs w:val="17"/>
          <w:lang w:val="fr-CH"/>
        </w:rPr>
        <w:t>’</w:t>
      </w:r>
      <w:r w:rsidR="007616D5">
        <w:rPr>
          <w:szCs w:val="17"/>
          <w:lang w:val="fr-CH"/>
        </w:rPr>
        <w:t>office de propriété industrielle</w:t>
      </w:r>
      <w:r w:rsidR="003373E2" w:rsidRPr="00803C43">
        <w:rPr>
          <w:szCs w:val="17"/>
          <w:lang w:val="fr-CH"/>
        </w:rPr>
        <w:t xml:space="preserve"> peut limiter le nombre d</w:t>
      </w:r>
      <w:r w:rsidR="00F0551C">
        <w:rPr>
          <w:szCs w:val="17"/>
          <w:lang w:val="fr-CH"/>
        </w:rPr>
        <w:t>’</w:t>
      </w:r>
      <w:r w:rsidR="003373E2" w:rsidRPr="00803C43">
        <w:rPr>
          <w:szCs w:val="17"/>
          <w:lang w:val="fr-CH"/>
        </w:rPr>
        <w:t>images soumises.</w:t>
      </w:r>
      <w:bookmarkEnd w:id="17"/>
    </w:p>
    <w:p w14:paraId="0B2D2B33" w14:textId="616FCBB7" w:rsidR="00574BB0" w:rsidRPr="00803C43" w:rsidRDefault="00714729" w:rsidP="00395C30">
      <w:pPr>
        <w:pStyle w:val="Heading2"/>
        <w:keepLines/>
      </w:pPr>
      <w:bookmarkStart w:id="18" w:name="_Toc55396115"/>
      <w:r>
        <w:t>R</w:t>
      </w:r>
      <w:r w:rsidRPr="00803C43">
        <w:t>ecommandations concernant la représentation graphique des marques multimédias</w:t>
      </w:r>
      <w:bookmarkEnd w:id="18"/>
    </w:p>
    <w:p w14:paraId="288BEBFF" w14:textId="1A3F14EF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B35413" w:rsidRPr="00803C43">
        <w:rPr>
          <w:szCs w:val="17"/>
          <w:lang w:val="fr-CH"/>
        </w:rPr>
        <w:t>Il est recommandé que la représentation graphique des marques multimédia</w:t>
      </w:r>
      <w:r w:rsidR="001B6CDC">
        <w:rPr>
          <w:szCs w:val="17"/>
          <w:lang w:val="fr-CH"/>
        </w:rPr>
        <w:t xml:space="preserve">s </w:t>
      </w:r>
      <w:r w:rsidR="00B35413" w:rsidRPr="00803C43">
        <w:rPr>
          <w:szCs w:val="17"/>
          <w:lang w:val="fr-CH"/>
        </w:rPr>
        <w:t>consiste en des représentations graphiques distinctes des éléments de mouvement et de son constituant la marque.</w:t>
      </w:r>
    </w:p>
    <w:p w14:paraId="06CB5F7D" w14:textId="0A55B438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B35413" w:rsidRPr="00803C43">
        <w:rPr>
          <w:szCs w:val="17"/>
          <w:lang w:val="fr-CH"/>
        </w:rPr>
        <w:t xml:space="preserve">Il est recommandé que la représentation graphique des marques multimédias </w:t>
      </w:r>
      <w:r w:rsidR="00F213C9">
        <w:rPr>
          <w:szCs w:val="17"/>
          <w:lang w:val="fr-CH"/>
        </w:rPr>
        <w:t>soit conforme aux</w:t>
      </w:r>
      <w:r w:rsidR="00B35413" w:rsidRPr="00803C43">
        <w:rPr>
          <w:szCs w:val="17"/>
          <w:lang w:val="fr-CH"/>
        </w:rPr>
        <w:t xml:space="preserve"> recommandations </w:t>
      </w:r>
      <w:r w:rsidR="00F213C9">
        <w:rPr>
          <w:szCs w:val="17"/>
          <w:lang w:val="fr-CH"/>
        </w:rPr>
        <w:t>relatives à</w:t>
      </w:r>
      <w:r w:rsidR="00B35413" w:rsidRPr="00803C43">
        <w:rPr>
          <w:szCs w:val="17"/>
          <w:lang w:val="fr-CH"/>
        </w:rPr>
        <w:t xml:space="preserve"> la représentation graphique du son </w:t>
      </w:r>
      <w:r w:rsidR="00894258">
        <w:rPr>
          <w:szCs w:val="17"/>
          <w:lang w:val="fr-CH"/>
        </w:rPr>
        <w:t>fournies dans</w:t>
      </w:r>
      <w:r w:rsidR="00B35413" w:rsidRPr="00803C43">
        <w:rPr>
          <w:szCs w:val="17"/>
          <w:lang w:val="fr-CH"/>
        </w:rPr>
        <w:t xml:space="preserve"> </w:t>
      </w:r>
      <w:hyperlink r:id="rId9" w:history="1">
        <w:r w:rsidR="00B35413" w:rsidRPr="00714729">
          <w:rPr>
            <w:rStyle w:val="Hyperlink"/>
            <w:szCs w:val="17"/>
            <w:lang w:val="fr-CH"/>
          </w:rPr>
          <w:t>la norme</w:t>
        </w:r>
        <w:r w:rsidR="00256E68" w:rsidRPr="00714729">
          <w:rPr>
            <w:rStyle w:val="Hyperlink"/>
            <w:szCs w:val="17"/>
            <w:lang w:val="fr-CH"/>
          </w:rPr>
          <w:t> </w:t>
        </w:r>
        <w:r w:rsidR="00B35413" w:rsidRPr="00714729">
          <w:rPr>
            <w:rStyle w:val="Hyperlink"/>
            <w:szCs w:val="17"/>
            <w:lang w:val="fr-CH"/>
          </w:rPr>
          <w:t>ST.68 de l</w:t>
        </w:r>
        <w:r w:rsidR="00F0551C" w:rsidRPr="00714729">
          <w:rPr>
            <w:rStyle w:val="Hyperlink"/>
            <w:szCs w:val="17"/>
            <w:lang w:val="fr-CH"/>
          </w:rPr>
          <w:t>’</w:t>
        </w:r>
        <w:r w:rsidR="00B35413" w:rsidRPr="00714729">
          <w:rPr>
            <w:rStyle w:val="Hyperlink"/>
            <w:szCs w:val="17"/>
            <w:lang w:val="fr-CH"/>
          </w:rPr>
          <w:t>OMPI</w:t>
        </w:r>
      </w:hyperlink>
      <w:r w:rsidR="00B35413" w:rsidRPr="00803C43">
        <w:rPr>
          <w:szCs w:val="17"/>
          <w:lang w:val="fr-CH"/>
        </w:rPr>
        <w:t xml:space="preserve"> (voir les </w:t>
      </w:r>
      <w:r w:rsidR="00F0551C" w:rsidRPr="00803C43">
        <w:rPr>
          <w:szCs w:val="17"/>
          <w:lang w:val="fr-CH"/>
        </w:rPr>
        <w:t>paragraphes</w:t>
      </w:r>
      <w:r w:rsidR="00F0551C">
        <w:rPr>
          <w:szCs w:val="17"/>
          <w:lang w:val="fr-CH"/>
        </w:rPr>
        <w:t> </w:t>
      </w:r>
      <w:r w:rsidR="00F0551C" w:rsidRPr="00803C43">
        <w:rPr>
          <w:szCs w:val="17"/>
          <w:lang w:val="fr-CH"/>
        </w:rPr>
        <w:t>9</w:t>
      </w:r>
      <w:r w:rsidR="00B35413" w:rsidRPr="00803C43">
        <w:rPr>
          <w:szCs w:val="17"/>
          <w:lang w:val="fr-CH"/>
        </w:rPr>
        <w:t xml:space="preserve"> et 10 de ladite norme) et du mouvement (voir </w:t>
      </w:r>
      <w:r w:rsidR="00F0551C" w:rsidRPr="00803C43">
        <w:rPr>
          <w:szCs w:val="17"/>
          <w:lang w:val="fr-CH"/>
        </w:rPr>
        <w:t>paragraphes</w:t>
      </w:r>
      <w:r w:rsidR="00F0551C">
        <w:rPr>
          <w:szCs w:val="17"/>
          <w:lang w:val="fr-CH"/>
        </w:rPr>
        <w:t> </w:t>
      </w:r>
      <w:r w:rsidR="00F0551C" w:rsidRPr="00803C43">
        <w:rPr>
          <w:szCs w:val="17"/>
          <w:lang w:val="fr-CH"/>
        </w:rPr>
        <w:t>1</w:t>
      </w:r>
      <w:r w:rsidR="00B35413" w:rsidRPr="00803C43">
        <w:rPr>
          <w:szCs w:val="17"/>
          <w:lang w:val="fr-CH"/>
        </w:rPr>
        <w:t>0 à 13 ci</w:t>
      </w:r>
      <w:r w:rsidR="00714729">
        <w:rPr>
          <w:szCs w:val="17"/>
          <w:lang w:val="fr-CH"/>
        </w:rPr>
        <w:noBreakHyphen/>
      </w:r>
      <w:r w:rsidR="00B35413" w:rsidRPr="00803C43">
        <w:rPr>
          <w:szCs w:val="17"/>
          <w:lang w:val="fr-CH"/>
        </w:rPr>
        <w:t>dessus).</w:t>
      </w:r>
    </w:p>
    <w:p w14:paraId="71BE4048" w14:textId="75DCE301" w:rsidR="00574BB0" w:rsidRPr="00803C43" w:rsidRDefault="000543C4" w:rsidP="00395C30">
      <w:pPr>
        <w:pStyle w:val="Heading2"/>
        <w:keepLines/>
      </w:pPr>
      <w:bookmarkStart w:id="19" w:name="_Toc55396116"/>
      <w:r>
        <w:lastRenderedPageBreak/>
        <w:t>R</w:t>
      </w:r>
      <w:r w:rsidRPr="00803C43">
        <w:t>ecommandations concernant l</w:t>
      </w:r>
      <w:r>
        <w:t>’</w:t>
      </w:r>
      <w:r w:rsidRPr="00803C43">
        <w:t>enregistrement de marques de mouvement ou multimédias</w:t>
      </w:r>
      <w:bookmarkEnd w:id="19"/>
    </w:p>
    <w:p w14:paraId="7AFFC3C2" w14:textId="5236DBC4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B35413" w:rsidRPr="00803C43">
        <w:rPr>
          <w:szCs w:val="17"/>
          <w:lang w:val="fr-CH"/>
        </w:rPr>
        <w:t>Il est recommandé que l</w:t>
      </w:r>
      <w:r w:rsidR="00F0551C">
        <w:rPr>
          <w:szCs w:val="17"/>
          <w:lang w:val="fr-CH"/>
        </w:rPr>
        <w:t>’</w:t>
      </w:r>
      <w:r w:rsidR="00B35413" w:rsidRPr="00803C43">
        <w:rPr>
          <w:szCs w:val="17"/>
          <w:lang w:val="fr-CH"/>
        </w:rPr>
        <w:t>enregistrement du mouvement ou multimédia constituant la marque soit déposé et traité sous forme électronique.</w:t>
      </w:r>
      <w:r w:rsidR="00D724D8" w:rsidRPr="00803C43">
        <w:rPr>
          <w:szCs w:val="17"/>
          <w:lang w:val="fr-CH"/>
        </w:rPr>
        <w:t xml:space="preserve"> </w:t>
      </w:r>
      <w:r w:rsidR="00256E68">
        <w:rPr>
          <w:szCs w:val="17"/>
          <w:lang w:val="fr-CH"/>
        </w:rPr>
        <w:t xml:space="preserve"> </w:t>
      </w:r>
      <w:r w:rsidR="00B35413" w:rsidRPr="00803C43">
        <w:rPr>
          <w:szCs w:val="17"/>
          <w:lang w:val="fr-CH"/>
        </w:rPr>
        <w:t xml:space="preserve">Le fichier </w:t>
      </w:r>
      <w:r w:rsidR="007616D5">
        <w:rPr>
          <w:szCs w:val="17"/>
          <w:lang w:val="fr-CH"/>
        </w:rPr>
        <w:t>devrait</w:t>
      </w:r>
      <w:r w:rsidR="00B35413" w:rsidRPr="00803C43">
        <w:rPr>
          <w:szCs w:val="17"/>
          <w:lang w:val="fr-CH"/>
        </w:rPr>
        <w:t xml:space="preserve"> contenir uniquement la marque de mouvement ou multimédia pour laquelle la protection est demandée.</w:t>
      </w:r>
    </w:p>
    <w:p w14:paraId="61633354" w14:textId="61EA3600" w:rsidR="00F0551C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591E0C" w:rsidRPr="00803C43">
        <w:rPr>
          <w:szCs w:val="17"/>
          <w:lang w:val="fr-CH"/>
        </w:rPr>
        <w:t>Les fichiers contenant des marques de mouvement ou multimédia</w:t>
      </w:r>
      <w:r w:rsidR="001B6CDC">
        <w:rPr>
          <w:szCs w:val="17"/>
          <w:lang w:val="fr-CH"/>
        </w:rPr>
        <w:t xml:space="preserve">s </w:t>
      </w:r>
      <w:r w:rsidR="007616D5">
        <w:rPr>
          <w:szCs w:val="17"/>
          <w:lang w:val="fr-CH"/>
        </w:rPr>
        <w:t>devraient</w:t>
      </w:r>
      <w:r w:rsidR="00591E0C" w:rsidRPr="00803C43">
        <w:rPr>
          <w:szCs w:val="17"/>
          <w:lang w:val="fr-CH"/>
        </w:rPr>
        <w:t xml:space="preserve"> utiliser l</w:t>
      </w:r>
      <w:r w:rsidR="00F0551C">
        <w:rPr>
          <w:szCs w:val="17"/>
          <w:lang w:val="fr-CH"/>
        </w:rPr>
        <w:t>’</w:t>
      </w:r>
      <w:r w:rsidR="00591E0C" w:rsidRPr="00803C43">
        <w:rPr>
          <w:szCs w:val="17"/>
          <w:lang w:val="fr-CH"/>
        </w:rPr>
        <w:t>un des formats préférés ci</w:t>
      </w:r>
      <w:r w:rsidR="00714729">
        <w:rPr>
          <w:szCs w:val="17"/>
          <w:lang w:val="fr-CH"/>
        </w:rPr>
        <w:noBreakHyphen/>
      </w:r>
      <w:r w:rsidR="00591E0C" w:rsidRPr="00803C43">
        <w:rPr>
          <w:szCs w:val="17"/>
          <w:lang w:val="fr-CH"/>
        </w:rPr>
        <w:t>après</w:t>
      </w:r>
      <w:r w:rsidR="00591E0C" w:rsidRPr="00803C43">
        <w:rPr>
          <w:rStyle w:val="FootnoteReference"/>
          <w:szCs w:val="17"/>
          <w:lang w:val="fr-CH"/>
        </w:rPr>
        <w:footnoteReference w:id="2"/>
      </w:r>
      <w:r w:rsidR="00F0551C">
        <w:rPr>
          <w:szCs w:val="17"/>
          <w:lang w:val="fr-CH"/>
        </w:rPr>
        <w:t> :</w:t>
      </w:r>
      <w:r w:rsidR="00591E0C" w:rsidRPr="00803C43">
        <w:rPr>
          <w:szCs w:val="17"/>
          <w:lang w:val="fr-CH"/>
        </w:rPr>
        <w:t xml:space="preserve"> fichiers conteneur MP4 (.mp4) avec l</w:t>
      </w:r>
      <w:r w:rsidR="00F0551C">
        <w:rPr>
          <w:szCs w:val="17"/>
          <w:lang w:val="fr-CH"/>
        </w:rPr>
        <w:t>’</w:t>
      </w:r>
      <w:r w:rsidR="00591E0C" w:rsidRPr="00803C43">
        <w:rPr>
          <w:szCs w:val="17"/>
          <w:lang w:val="fr-CH"/>
        </w:rPr>
        <w:t>un des codecs vidéo suivants</w:t>
      </w:r>
      <w:r w:rsidR="00F0551C">
        <w:rPr>
          <w:szCs w:val="17"/>
          <w:lang w:val="fr-CH"/>
        </w:rPr>
        <w:t> :</w:t>
      </w:r>
      <w:r w:rsidR="00591E0C" w:rsidRPr="00803C43">
        <w:rPr>
          <w:szCs w:val="17"/>
          <w:lang w:val="fr-CH"/>
        </w:rPr>
        <w:t xml:space="preserve"> AVC/H.264 ou MPEG</w:t>
      </w:r>
      <w:r w:rsidR="00714729">
        <w:rPr>
          <w:szCs w:val="17"/>
          <w:lang w:val="fr-CH"/>
        </w:rPr>
        <w:noBreakHyphen/>
      </w:r>
      <w:r w:rsidR="00591E0C" w:rsidRPr="00803C43">
        <w:rPr>
          <w:szCs w:val="17"/>
          <w:lang w:val="fr-CH"/>
        </w:rPr>
        <w:t>2/H.262</w:t>
      </w:r>
      <w:r w:rsidR="00591E0C" w:rsidRPr="00803C43">
        <w:rPr>
          <w:rStyle w:val="FootnoteReference"/>
          <w:szCs w:val="17"/>
          <w:lang w:val="fr-CH"/>
        </w:rPr>
        <w:footnoteReference w:id="3"/>
      </w:r>
      <w:r w:rsidR="00591E0C" w:rsidRPr="00803C43">
        <w:rPr>
          <w:szCs w:val="17"/>
          <w:lang w:val="fr-CH"/>
        </w:rPr>
        <w:t xml:space="preserve">.  </w:t>
      </w:r>
    </w:p>
    <w:p w14:paraId="7EF75C62" w14:textId="70DAEAB5" w:rsidR="00F0551C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570157" w:rsidRPr="00803C43">
        <w:rPr>
          <w:szCs w:val="17"/>
          <w:lang w:val="fr-CH"/>
        </w:rPr>
        <w:t>Lorsqu</w:t>
      </w:r>
      <w:r w:rsidR="00F0551C">
        <w:rPr>
          <w:szCs w:val="17"/>
          <w:lang w:val="fr-CH"/>
        </w:rPr>
        <w:t>’</w:t>
      </w:r>
      <w:r w:rsidR="00570157" w:rsidRPr="00803C43">
        <w:rPr>
          <w:szCs w:val="17"/>
          <w:lang w:val="fr-CH"/>
        </w:rPr>
        <w:t xml:space="preserve">elles </w:t>
      </w:r>
      <w:r w:rsidR="00C55D58">
        <w:rPr>
          <w:szCs w:val="17"/>
          <w:lang w:val="fr-CH"/>
        </w:rPr>
        <w:t>peuvent être traitées</w:t>
      </w:r>
      <w:r w:rsidR="00570157" w:rsidRPr="00803C43">
        <w:rPr>
          <w:szCs w:val="17"/>
          <w:lang w:val="fr-CH"/>
        </w:rPr>
        <w:t xml:space="preserve"> par l</w:t>
      </w:r>
      <w:r w:rsidR="00F0551C">
        <w:rPr>
          <w:szCs w:val="17"/>
          <w:lang w:val="fr-CH"/>
        </w:rPr>
        <w:t>’</w:t>
      </w:r>
      <w:r w:rsidR="007616D5">
        <w:rPr>
          <w:szCs w:val="17"/>
          <w:lang w:val="fr-CH"/>
        </w:rPr>
        <w:t>office de propriété industrielle</w:t>
      </w:r>
      <w:r w:rsidR="00570157" w:rsidRPr="00803C43">
        <w:rPr>
          <w:szCs w:val="17"/>
          <w:lang w:val="fr-CH"/>
        </w:rPr>
        <w:t>, les marques de mouvement ou multimédia</w:t>
      </w:r>
      <w:r w:rsidR="001B6CDC">
        <w:rPr>
          <w:szCs w:val="17"/>
          <w:lang w:val="fr-CH"/>
        </w:rPr>
        <w:t xml:space="preserve">s </w:t>
      </w:r>
      <w:r w:rsidR="00570157" w:rsidRPr="00803C43">
        <w:rPr>
          <w:szCs w:val="17"/>
          <w:lang w:val="fr-CH"/>
        </w:rPr>
        <w:t>peuvent utiliser l</w:t>
      </w:r>
      <w:r w:rsidR="00F0551C">
        <w:rPr>
          <w:szCs w:val="17"/>
          <w:lang w:val="fr-CH"/>
        </w:rPr>
        <w:t>’</w:t>
      </w:r>
      <w:r w:rsidR="00570157" w:rsidRPr="00803C43">
        <w:rPr>
          <w:szCs w:val="17"/>
          <w:lang w:val="fr-CH"/>
        </w:rPr>
        <w:t>un des formats alternatifs ci</w:t>
      </w:r>
      <w:r w:rsidR="00714729">
        <w:rPr>
          <w:szCs w:val="17"/>
          <w:lang w:val="fr-CH"/>
        </w:rPr>
        <w:noBreakHyphen/>
      </w:r>
      <w:r w:rsidR="00570157" w:rsidRPr="00803C43">
        <w:rPr>
          <w:szCs w:val="17"/>
          <w:lang w:val="fr-CH"/>
        </w:rPr>
        <w:t>après</w:t>
      </w:r>
      <w:r w:rsidR="00256E68">
        <w:rPr>
          <w:szCs w:val="17"/>
          <w:lang w:val="fr-CH"/>
        </w:rPr>
        <w:t> </w:t>
      </w:r>
      <w:r w:rsidR="00570157" w:rsidRPr="00803C43">
        <w:rPr>
          <w:szCs w:val="17"/>
          <w:lang w:val="fr-CH"/>
        </w:rPr>
        <w:t>: fichiers conteneur WebM</w:t>
      </w:r>
      <w:r w:rsidR="00570157" w:rsidRPr="00803C43">
        <w:rPr>
          <w:rStyle w:val="FootnoteReference"/>
          <w:szCs w:val="17"/>
        </w:rPr>
        <w:footnoteReference w:id="4"/>
      </w:r>
      <w:r w:rsidR="00570157" w:rsidRPr="00803C43">
        <w:rPr>
          <w:szCs w:val="17"/>
          <w:lang w:val="fr-CH"/>
        </w:rPr>
        <w:t xml:space="preserve"> ou MP4 avec l</w:t>
      </w:r>
      <w:r w:rsidR="00F0551C">
        <w:rPr>
          <w:szCs w:val="17"/>
          <w:lang w:val="fr-CH"/>
        </w:rPr>
        <w:t>’</w:t>
      </w:r>
      <w:r w:rsidR="00570157" w:rsidRPr="00803C43">
        <w:rPr>
          <w:szCs w:val="17"/>
          <w:lang w:val="fr-CH"/>
        </w:rPr>
        <w:t>un des codecs vidéo suivants</w:t>
      </w:r>
      <w:r w:rsidR="00F0551C">
        <w:rPr>
          <w:szCs w:val="17"/>
          <w:lang w:val="fr-CH"/>
        </w:rPr>
        <w:t> :</w:t>
      </w:r>
      <w:r w:rsidR="00570157" w:rsidRPr="00803C43">
        <w:rPr>
          <w:szCs w:val="17"/>
          <w:lang w:val="fr-CH"/>
        </w:rPr>
        <w:t xml:space="preserve"> VP9 ou AV1</w:t>
      </w:r>
      <w:r w:rsidR="00570157" w:rsidRPr="00803C43">
        <w:rPr>
          <w:rStyle w:val="FootnoteReference"/>
          <w:szCs w:val="17"/>
        </w:rPr>
        <w:footnoteReference w:id="5"/>
      </w:r>
      <w:r w:rsidR="00256E68">
        <w:rPr>
          <w:szCs w:val="17"/>
          <w:lang w:val="fr-CH"/>
        </w:rPr>
        <w:t xml:space="preserve">. </w:t>
      </w:r>
      <w:r w:rsidR="00570157" w:rsidRPr="00803C43">
        <w:rPr>
          <w:szCs w:val="17"/>
          <w:lang w:val="fr-CH"/>
        </w:rPr>
        <w:t xml:space="preserve"> </w:t>
      </w:r>
    </w:p>
    <w:p w14:paraId="054E8908" w14:textId="3C9E15CA" w:rsidR="00F0551C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BC37D4" w:rsidRPr="00803C43">
        <w:rPr>
          <w:szCs w:val="17"/>
          <w:lang w:val="fr-CH"/>
        </w:rPr>
        <w:t>Les marques de mouvement ou multimédia</w:t>
      </w:r>
      <w:r w:rsidR="001B6CDC">
        <w:rPr>
          <w:szCs w:val="17"/>
          <w:lang w:val="fr-CH"/>
        </w:rPr>
        <w:t>s</w:t>
      </w:r>
      <w:r w:rsidR="00BC37D4" w:rsidRPr="00803C43">
        <w:rPr>
          <w:szCs w:val="17"/>
          <w:lang w:val="fr-CH"/>
        </w:rPr>
        <w:t xml:space="preserve"> ne </w:t>
      </w:r>
      <w:r w:rsidR="007616D5">
        <w:rPr>
          <w:szCs w:val="17"/>
          <w:lang w:val="fr-CH"/>
        </w:rPr>
        <w:t>devraient</w:t>
      </w:r>
      <w:r w:rsidR="00BC37D4" w:rsidRPr="00803C43">
        <w:rPr>
          <w:szCs w:val="17"/>
          <w:lang w:val="fr-CH"/>
        </w:rPr>
        <w:t xml:space="preserve"> pas utiliser de formats de conteneur ou de codec vidéo autres que les formats visés aux </w:t>
      </w:r>
      <w:r w:rsidR="00F0551C" w:rsidRPr="00803C43">
        <w:rPr>
          <w:szCs w:val="17"/>
          <w:lang w:val="fr-CH"/>
        </w:rPr>
        <w:t>paragraphes</w:t>
      </w:r>
      <w:r w:rsidR="00F0551C">
        <w:rPr>
          <w:szCs w:val="17"/>
          <w:lang w:val="fr-CH"/>
        </w:rPr>
        <w:t> </w:t>
      </w:r>
      <w:r w:rsidR="00F0551C" w:rsidRPr="00803C43">
        <w:rPr>
          <w:szCs w:val="17"/>
          <w:lang w:val="fr-CH"/>
        </w:rPr>
        <w:t>1</w:t>
      </w:r>
      <w:r w:rsidR="00BC37D4" w:rsidRPr="00803C43">
        <w:rPr>
          <w:szCs w:val="17"/>
          <w:lang w:val="fr-CH"/>
        </w:rPr>
        <w:t xml:space="preserve">7 et 18, </w:t>
      </w:r>
      <w:r w:rsidR="00F0551C">
        <w:rPr>
          <w:szCs w:val="17"/>
          <w:lang w:val="fr-CH"/>
        </w:rPr>
        <w:t>y compris</w:t>
      </w:r>
      <w:r w:rsidR="00BC37D4" w:rsidRPr="00803C43">
        <w:rPr>
          <w:szCs w:val="17"/>
          <w:lang w:val="fr-CH"/>
        </w:rPr>
        <w:t xml:space="preserve"> MPEG</w:t>
      </w:r>
      <w:r w:rsidR="00714729">
        <w:rPr>
          <w:szCs w:val="17"/>
          <w:lang w:val="fr-CH"/>
        </w:rPr>
        <w:noBreakHyphen/>
      </w:r>
      <w:r w:rsidR="00BC37D4" w:rsidRPr="00803C43">
        <w:rPr>
          <w:szCs w:val="17"/>
          <w:lang w:val="fr-CH"/>
        </w:rPr>
        <w:t>1</w:t>
      </w:r>
      <w:r w:rsidR="00BC37D4" w:rsidRPr="00803C43">
        <w:rPr>
          <w:rStyle w:val="FootnoteReference"/>
          <w:szCs w:val="17"/>
        </w:rPr>
        <w:footnoteReference w:id="6"/>
      </w:r>
      <w:r w:rsidR="00BC37D4" w:rsidRPr="00803C43">
        <w:rPr>
          <w:szCs w:val="17"/>
          <w:lang w:val="fr-CH"/>
        </w:rPr>
        <w:t>, VP8</w:t>
      </w:r>
      <w:r w:rsidR="00BC37D4" w:rsidRPr="00803C43">
        <w:rPr>
          <w:rStyle w:val="FootnoteReference"/>
          <w:szCs w:val="17"/>
        </w:rPr>
        <w:footnoteReference w:id="7"/>
      </w:r>
      <w:r w:rsidR="00BC37D4" w:rsidRPr="00803C43">
        <w:rPr>
          <w:szCs w:val="17"/>
          <w:lang w:val="fr-CH"/>
        </w:rPr>
        <w:t xml:space="preserve"> ou HEVC/H.265</w:t>
      </w:r>
      <w:r w:rsidR="00BC37D4" w:rsidRPr="00803C43">
        <w:rPr>
          <w:rStyle w:val="FootnoteReference"/>
          <w:szCs w:val="17"/>
        </w:rPr>
        <w:footnoteReference w:id="8"/>
      </w:r>
      <w:r w:rsidR="00BC37D4" w:rsidRPr="00803C43">
        <w:rPr>
          <w:szCs w:val="17"/>
          <w:lang w:val="fr-CH"/>
        </w:rPr>
        <w:t xml:space="preserve">. </w:t>
      </w:r>
      <w:r w:rsidR="00256E68">
        <w:rPr>
          <w:szCs w:val="17"/>
          <w:lang w:val="fr-CH"/>
        </w:rPr>
        <w:t xml:space="preserve"> </w:t>
      </w:r>
    </w:p>
    <w:p w14:paraId="6E646881" w14:textId="25307F25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7A5196" w:rsidRPr="00803C43">
        <w:rPr>
          <w:szCs w:val="17"/>
          <w:lang w:val="fr-CH"/>
        </w:rPr>
        <w:t xml:space="preserve">Les </w:t>
      </w:r>
      <w:r w:rsidR="007616D5">
        <w:rPr>
          <w:szCs w:val="17"/>
          <w:lang w:val="fr-CH"/>
        </w:rPr>
        <w:t>offices de propriété industrielle</w:t>
      </w:r>
      <w:r w:rsidR="007A5196" w:rsidRPr="00803C43">
        <w:rPr>
          <w:szCs w:val="17"/>
          <w:lang w:val="fr-CH"/>
        </w:rPr>
        <w:t xml:space="preserve"> devraient accepter au moins l</w:t>
      </w:r>
      <w:r w:rsidR="00F0551C">
        <w:rPr>
          <w:szCs w:val="17"/>
          <w:lang w:val="fr-CH"/>
        </w:rPr>
        <w:t>’</w:t>
      </w:r>
      <w:r w:rsidR="007A5196" w:rsidRPr="00803C43">
        <w:rPr>
          <w:szCs w:val="17"/>
          <w:lang w:val="fr-CH"/>
        </w:rPr>
        <w:t xml:space="preserve">un des formats préférés ou alternatifs </w:t>
      </w:r>
      <w:r w:rsidR="00F71B6F">
        <w:rPr>
          <w:szCs w:val="17"/>
          <w:lang w:val="fr-CH"/>
        </w:rPr>
        <w:t>aux fins</w:t>
      </w:r>
      <w:r w:rsidR="007A5196" w:rsidRPr="00803C43">
        <w:rPr>
          <w:szCs w:val="17"/>
          <w:lang w:val="fr-CH"/>
        </w:rPr>
        <w:t xml:space="preserve"> </w:t>
      </w:r>
      <w:r w:rsidR="00F71B6F">
        <w:rPr>
          <w:szCs w:val="17"/>
          <w:lang w:val="fr-CH"/>
        </w:rPr>
        <w:t>du</w:t>
      </w:r>
      <w:r w:rsidR="007A5196" w:rsidRPr="00803C43">
        <w:rPr>
          <w:szCs w:val="17"/>
          <w:lang w:val="fr-CH"/>
        </w:rPr>
        <w:t xml:space="preserve"> dépôt, et tous les formats préférés et alternatifs </w:t>
      </w:r>
      <w:r w:rsidR="00F71B6F">
        <w:rPr>
          <w:szCs w:val="17"/>
          <w:lang w:val="fr-CH"/>
        </w:rPr>
        <w:t>aux fins de</w:t>
      </w:r>
      <w:r w:rsidR="007A5196" w:rsidRPr="00803C43">
        <w:rPr>
          <w:szCs w:val="17"/>
          <w:lang w:val="fr-CH"/>
        </w:rPr>
        <w:t xml:space="preserve"> l</w:t>
      </w:r>
      <w:r w:rsidR="00F0551C">
        <w:rPr>
          <w:szCs w:val="17"/>
          <w:lang w:val="fr-CH"/>
        </w:rPr>
        <w:t>’</w:t>
      </w:r>
      <w:r w:rsidR="007A5196" w:rsidRPr="00803C43">
        <w:rPr>
          <w:szCs w:val="17"/>
          <w:lang w:val="fr-CH"/>
        </w:rPr>
        <w:t xml:space="preserve">échange de </w:t>
      </w:r>
      <w:r w:rsidR="00F71B6F">
        <w:rPr>
          <w:szCs w:val="17"/>
          <w:lang w:val="fr-CH"/>
        </w:rPr>
        <w:t>données avec d</w:t>
      </w:r>
      <w:r w:rsidR="00F0551C">
        <w:rPr>
          <w:szCs w:val="17"/>
          <w:lang w:val="fr-CH"/>
        </w:rPr>
        <w:t>’</w:t>
      </w:r>
      <w:r w:rsidR="00F71B6F">
        <w:rPr>
          <w:szCs w:val="17"/>
          <w:lang w:val="fr-CH"/>
        </w:rPr>
        <w:t xml:space="preserve">autres offices. </w:t>
      </w:r>
      <w:r w:rsidR="00256E68">
        <w:rPr>
          <w:szCs w:val="17"/>
          <w:lang w:val="fr-CH"/>
        </w:rPr>
        <w:t xml:space="preserve"> </w:t>
      </w:r>
      <w:r w:rsidR="007A5196" w:rsidRPr="00803C43">
        <w:rPr>
          <w:szCs w:val="17"/>
          <w:lang w:val="fr-CH"/>
        </w:rPr>
        <w:t xml:space="preserve">Aux fins du dépôt, les </w:t>
      </w:r>
      <w:r w:rsidR="007616D5">
        <w:rPr>
          <w:szCs w:val="17"/>
          <w:lang w:val="fr-CH"/>
        </w:rPr>
        <w:t>offices de propriété industrielle</w:t>
      </w:r>
      <w:r w:rsidR="007A5196" w:rsidRPr="00803C43">
        <w:rPr>
          <w:szCs w:val="17"/>
          <w:lang w:val="fr-CH"/>
        </w:rPr>
        <w:t xml:space="preserve"> peuvent accepter des formats autres que les formats préférés ou alternatifs, à leur discrétion, </w:t>
      </w:r>
      <w:r w:rsidR="00EC6158">
        <w:rPr>
          <w:szCs w:val="17"/>
          <w:lang w:val="fr-CH"/>
        </w:rPr>
        <w:t>pour autant</w:t>
      </w:r>
      <w:r w:rsidR="007A5196" w:rsidRPr="00803C43">
        <w:rPr>
          <w:szCs w:val="17"/>
          <w:lang w:val="fr-CH"/>
        </w:rPr>
        <w:t xml:space="preserve"> qu</w:t>
      </w:r>
      <w:r w:rsidR="00F0551C">
        <w:rPr>
          <w:szCs w:val="17"/>
          <w:lang w:val="fr-CH"/>
        </w:rPr>
        <w:t>’</w:t>
      </w:r>
      <w:r w:rsidR="007A5196" w:rsidRPr="00803C43">
        <w:rPr>
          <w:szCs w:val="17"/>
          <w:lang w:val="fr-CH"/>
        </w:rPr>
        <w:t>ils convertissent la vidéo dans l</w:t>
      </w:r>
      <w:r w:rsidR="00F0551C">
        <w:rPr>
          <w:szCs w:val="17"/>
          <w:lang w:val="fr-CH"/>
        </w:rPr>
        <w:t>’</w:t>
      </w:r>
      <w:r w:rsidR="007A5196" w:rsidRPr="00803C43">
        <w:rPr>
          <w:szCs w:val="17"/>
          <w:lang w:val="fr-CH"/>
        </w:rPr>
        <w:t xml:space="preserve">un des formats préférés ou alternatifs </w:t>
      </w:r>
      <w:r w:rsidR="00EC6158">
        <w:rPr>
          <w:szCs w:val="17"/>
          <w:lang w:val="fr-CH"/>
        </w:rPr>
        <w:t>aux fins de</w:t>
      </w:r>
      <w:r w:rsidR="007A5196" w:rsidRPr="00803C43">
        <w:rPr>
          <w:szCs w:val="17"/>
          <w:lang w:val="fr-CH"/>
        </w:rPr>
        <w:t xml:space="preserve"> l</w:t>
      </w:r>
      <w:r w:rsidR="00F0551C">
        <w:rPr>
          <w:szCs w:val="17"/>
          <w:lang w:val="fr-CH"/>
        </w:rPr>
        <w:t>’</w:t>
      </w:r>
      <w:r w:rsidR="007A5196" w:rsidRPr="00803C43">
        <w:rPr>
          <w:szCs w:val="17"/>
          <w:lang w:val="fr-CH"/>
        </w:rPr>
        <w:t xml:space="preserve">échange de données et </w:t>
      </w:r>
      <w:r w:rsidR="00EC6158">
        <w:rPr>
          <w:szCs w:val="17"/>
          <w:lang w:val="fr-CH"/>
        </w:rPr>
        <w:t xml:space="preserve">de </w:t>
      </w:r>
      <w:r w:rsidR="007A5196" w:rsidRPr="00803C43">
        <w:rPr>
          <w:szCs w:val="17"/>
          <w:lang w:val="fr-CH"/>
        </w:rPr>
        <w:t>la publication.</w:t>
      </w:r>
      <w:r w:rsidR="005F03F9" w:rsidRPr="00803C43">
        <w:rPr>
          <w:szCs w:val="17"/>
          <w:lang w:val="fr-CH"/>
        </w:rPr>
        <w:t xml:space="preserve">  </w:t>
      </w:r>
      <w:r w:rsidR="007A5196" w:rsidRPr="00803C43">
        <w:rPr>
          <w:szCs w:val="17"/>
          <w:lang w:val="fr-CH"/>
        </w:rPr>
        <w:t>Toutefois, il est préférable d</w:t>
      </w:r>
      <w:r w:rsidR="00F0551C">
        <w:rPr>
          <w:szCs w:val="17"/>
          <w:lang w:val="fr-CH"/>
        </w:rPr>
        <w:t>’</w:t>
      </w:r>
      <w:r w:rsidR="007A5196" w:rsidRPr="00803C43">
        <w:rPr>
          <w:szCs w:val="17"/>
          <w:lang w:val="fr-CH"/>
        </w:rPr>
        <w:t xml:space="preserve">éviter toute conversion, comme indiqué au </w:t>
      </w:r>
      <w:r w:rsidR="00F0551C" w:rsidRPr="00803C43">
        <w:rPr>
          <w:szCs w:val="17"/>
          <w:lang w:val="fr-CH"/>
        </w:rPr>
        <w:t>paragraphe</w:t>
      </w:r>
      <w:r w:rsidR="00F0551C">
        <w:rPr>
          <w:szCs w:val="17"/>
          <w:lang w:val="fr-CH"/>
        </w:rPr>
        <w:t> </w:t>
      </w:r>
      <w:r w:rsidR="00F0551C" w:rsidRPr="00803C43">
        <w:rPr>
          <w:szCs w:val="17"/>
          <w:lang w:val="fr-CH"/>
        </w:rPr>
        <w:t>2</w:t>
      </w:r>
      <w:r w:rsidR="007A5196" w:rsidRPr="00803C43">
        <w:rPr>
          <w:szCs w:val="17"/>
          <w:lang w:val="fr-CH"/>
        </w:rPr>
        <w:t>2.</w:t>
      </w:r>
    </w:p>
    <w:p w14:paraId="598B3DC2" w14:textId="49843EC1" w:rsidR="00F0551C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AD0FC0" w:rsidRPr="00803C43">
        <w:rPr>
          <w:szCs w:val="17"/>
          <w:lang w:val="fr-CH"/>
        </w:rPr>
        <w:t xml:space="preserve">Les </w:t>
      </w:r>
      <w:r w:rsidR="007616D5">
        <w:rPr>
          <w:szCs w:val="17"/>
          <w:lang w:val="fr-CH"/>
        </w:rPr>
        <w:t>offices de propriété industrielle</w:t>
      </w:r>
      <w:r w:rsidR="00AD0FC0" w:rsidRPr="00803C43">
        <w:rPr>
          <w:szCs w:val="17"/>
          <w:lang w:val="fr-CH"/>
        </w:rPr>
        <w:t xml:space="preserve"> </w:t>
      </w:r>
      <w:r w:rsidR="007616D5">
        <w:rPr>
          <w:szCs w:val="17"/>
          <w:lang w:val="fr-CH"/>
        </w:rPr>
        <w:t>devraient</w:t>
      </w:r>
      <w:r w:rsidR="00AD0FC0" w:rsidRPr="00803C43">
        <w:rPr>
          <w:szCs w:val="17"/>
          <w:lang w:val="fr-CH"/>
        </w:rPr>
        <w:t xml:space="preserve"> indiquer les formats de conteneur et de codec qu</w:t>
      </w:r>
      <w:r w:rsidR="00F0551C">
        <w:rPr>
          <w:szCs w:val="17"/>
          <w:lang w:val="fr-CH"/>
        </w:rPr>
        <w:t>’</w:t>
      </w:r>
      <w:r w:rsidR="00AD0FC0" w:rsidRPr="00803C43">
        <w:rPr>
          <w:szCs w:val="17"/>
          <w:lang w:val="fr-CH"/>
        </w:rPr>
        <w:t>ils acceptent.</w:t>
      </w:r>
      <w:r w:rsidR="00CD1998" w:rsidRPr="00803C43">
        <w:rPr>
          <w:szCs w:val="17"/>
          <w:lang w:val="fr-CH"/>
        </w:rPr>
        <w:t xml:space="preserve">  </w:t>
      </w:r>
      <w:r w:rsidR="00AD0FC0" w:rsidRPr="00803C43">
        <w:rPr>
          <w:szCs w:val="17"/>
          <w:lang w:val="fr-CH"/>
        </w:rPr>
        <w:t>Ils devraient également vérifier que les fichiers multimédia</w:t>
      </w:r>
      <w:r w:rsidR="001B6CDC">
        <w:rPr>
          <w:szCs w:val="17"/>
          <w:lang w:val="fr-CH"/>
        </w:rPr>
        <w:t xml:space="preserve">s </w:t>
      </w:r>
      <w:r w:rsidR="00AD0FC0" w:rsidRPr="00803C43">
        <w:rPr>
          <w:szCs w:val="17"/>
          <w:lang w:val="fr-CH"/>
        </w:rPr>
        <w:t>soumis utilisent l</w:t>
      </w:r>
      <w:r w:rsidR="00F0551C">
        <w:rPr>
          <w:szCs w:val="17"/>
          <w:lang w:val="fr-CH"/>
        </w:rPr>
        <w:t>’</w:t>
      </w:r>
      <w:r w:rsidR="00AD0FC0" w:rsidRPr="00803C43">
        <w:rPr>
          <w:szCs w:val="17"/>
          <w:lang w:val="fr-CH"/>
        </w:rPr>
        <w:t>un des formats de conteneur et de codec qu</w:t>
      </w:r>
      <w:r w:rsidR="00F0551C">
        <w:rPr>
          <w:szCs w:val="17"/>
          <w:lang w:val="fr-CH"/>
        </w:rPr>
        <w:t>’</w:t>
      </w:r>
      <w:r w:rsidR="00AD0FC0" w:rsidRPr="00803C43">
        <w:rPr>
          <w:szCs w:val="17"/>
          <w:lang w:val="fr-CH"/>
        </w:rPr>
        <w:t>ils acceptent.</w:t>
      </w:r>
      <w:r w:rsidR="00BC7C09" w:rsidRPr="00803C43">
        <w:rPr>
          <w:szCs w:val="17"/>
          <w:lang w:val="fr-CH"/>
        </w:rPr>
        <w:t xml:space="preserve">  </w:t>
      </w:r>
      <w:r w:rsidR="00AD0FC0" w:rsidRPr="00803C43">
        <w:rPr>
          <w:szCs w:val="17"/>
          <w:lang w:val="fr-CH"/>
        </w:rPr>
        <w:t xml:space="preserve">Ces vérifications peuvent être effectuées par un logiciel au moment </w:t>
      </w:r>
      <w:r w:rsidR="00B178C2">
        <w:rPr>
          <w:szCs w:val="17"/>
          <w:lang w:val="fr-CH"/>
        </w:rPr>
        <w:t>du dépôt</w:t>
      </w:r>
      <w:r w:rsidR="00AD0FC0" w:rsidRPr="00803C43">
        <w:rPr>
          <w:szCs w:val="17"/>
          <w:lang w:val="fr-CH"/>
        </w:rPr>
        <w:t>.  Il ne suffit pas de vérifier l</w:t>
      </w:r>
      <w:r w:rsidR="00F0551C">
        <w:rPr>
          <w:szCs w:val="17"/>
          <w:lang w:val="fr-CH"/>
        </w:rPr>
        <w:t>’</w:t>
      </w:r>
      <w:r w:rsidR="00AD0FC0" w:rsidRPr="00803C43">
        <w:rPr>
          <w:szCs w:val="17"/>
          <w:lang w:val="fr-CH"/>
        </w:rPr>
        <w:t>extension du fichier ou le format du conteneur, car certains conteneurs (MP4</w:t>
      </w:r>
      <w:r w:rsidR="008E5296">
        <w:rPr>
          <w:szCs w:val="17"/>
          <w:lang w:val="fr-CH"/>
        </w:rPr>
        <w:t xml:space="preserve"> en particulier</w:t>
      </w:r>
      <w:r w:rsidR="00AD0FC0" w:rsidRPr="00803C43">
        <w:rPr>
          <w:szCs w:val="17"/>
          <w:lang w:val="fr-CH"/>
        </w:rPr>
        <w:t xml:space="preserve">) peuvent utiliser des dizaines de codecs différents. </w:t>
      </w:r>
      <w:r w:rsidR="003B2FE0">
        <w:rPr>
          <w:szCs w:val="17"/>
          <w:lang w:val="fr-CH"/>
        </w:rPr>
        <w:t xml:space="preserve"> Tout</w:t>
      </w:r>
      <w:r w:rsidR="00AD0FC0" w:rsidRPr="00803C43">
        <w:rPr>
          <w:szCs w:val="17"/>
          <w:lang w:val="fr-CH"/>
        </w:rPr>
        <w:t xml:space="preserve"> fichier soumis </w:t>
      </w:r>
      <w:r w:rsidR="003B2FE0">
        <w:rPr>
          <w:szCs w:val="17"/>
          <w:lang w:val="fr-CH"/>
        </w:rPr>
        <w:t>dans un</w:t>
      </w:r>
      <w:r w:rsidR="00AD0FC0" w:rsidRPr="00803C43">
        <w:rPr>
          <w:szCs w:val="17"/>
          <w:lang w:val="fr-CH"/>
        </w:rPr>
        <w:t xml:space="preserve"> format </w:t>
      </w:r>
      <w:r w:rsidR="003B2FE0">
        <w:rPr>
          <w:szCs w:val="17"/>
          <w:lang w:val="fr-CH"/>
        </w:rPr>
        <w:t xml:space="preserve">autre que les formats acceptés </w:t>
      </w:r>
      <w:r w:rsidR="00AD0FC0" w:rsidRPr="00803C43">
        <w:rPr>
          <w:szCs w:val="17"/>
          <w:lang w:val="fr-CH"/>
        </w:rPr>
        <w:t>devrait être refusé</w:t>
      </w:r>
      <w:r w:rsidR="00AD0FC0" w:rsidRPr="00803C43">
        <w:rPr>
          <w:rStyle w:val="FootnoteReference"/>
          <w:szCs w:val="17"/>
          <w:lang w:val="fr-CH"/>
        </w:rPr>
        <w:footnoteReference w:id="9"/>
      </w:r>
      <w:r w:rsidR="00AD0FC0" w:rsidRPr="00803C43">
        <w:rPr>
          <w:szCs w:val="17"/>
          <w:lang w:val="fr-CH"/>
        </w:rPr>
        <w:t>.</w:t>
      </w:r>
      <w:r w:rsidR="00256E68">
        <w:rPr>
          <w:szCs w:val="17"/>
          <w:lang w:val="fr-CH"/>
        </w:rPr>
        <w:t xml:space="preserve"> </w:t>
      </w:r>
      <w:r w:rsidR="00AD0FC0" w:rsidRPr="00803C43">
        <w:rPr>
          <w:szCs w:val="17"/>
          <w:lang w:val="fr-CH"/>
        </w:rPr>
        <w:t xml:space="preserve"> </w:t>
      </w:r>
    </w:p>
    <w:p w14:paraId="13D00D9E" w14:textId="737CBEDA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1A30EB" w:rsidRPr="00803C43">
        <w:rPr>
          <w:szCs w:val="17"/>
          <w:lang w:val="fr-CH"/>
        </w:rPr>
        <w:t xml:space="preserve">Il est recommandé aux </w:t>
      </w:r>
      <w:r w:rsidR="007616D5">
        <w:rPr>
          <w:szCs w:val="17"/>
          <w:lang w:val="fr-CH"/>
        </w:rPr>
        <w:t>offices de propriété industrielle</w:t>
      </w:r>
      <w:r w:rsidR="001A30EB" w:rsidRPr="00803C43">
        <w:rPr>
          <w:szCs w:val="17"/>
          <w:lang w:val="fr-CH"/>
        </w:rPr>
        <w:t xml:space="preserve"> de ne pas convertir </w:t>
      </w:r>
      <w:r w:rsidR="00940605" w:rsidRPr="00803C43">
        <w:rPr>
          <w:szCs w:val="17"/>
          <w:lang w:val="fr-CH"/>
        </w:rPr>
        <w:t>les fichiers multimédias</w:t>
      </w:r>
      <w:r w:rsidR="001A30EB" w:rsidRPr="00803C43">
        <w:rPr>
          <w:szCs w:val="17"/>
          <w:lang w:val="fr-CH"/>
        </w:rPr>
        <w:t xml:space="preserve"> dans un format différent, car des erreurs ou des artéfacts peuvent être créés ou la qualité peut diminuer.</w:t>
      </w:r>
      <w:r w:rsidR="003332A8" w:rsidRPr="00803C43">
        <w:rPr>
          <w:szCs w:val="17"/>
          <w:lang w:val="fr-CH"/>
        </w:rPr>
        <w:t xml:space="preserve">  </w:t>
      </w:r>
      <w:r w:rsidR="004F5FBF">
        <w:rPr>
          <w:szCs w:val="17"/>
          <w:lang w:val="fr-CH"/>
        </w:rPr>
        <w:t>Une</w:t>
      </w:r>
      <w:r w:rsidR="001A30EB" w:rsidRPr="00803C43">
        <w:rPr>
          <w:szCs w:val="17"/>
          <w:lang w:val="fr-CH"/>
        </w:rPr>
        <w:t xml:space="preserve"> conversion peut être requise dans certains cas </w:t>
      </w:r>
      <w:r w:rsidR="004F5FBF">
        <w:rPr>
          <w:szCs w:val="17"/>
          <w:lang w:val="fr-CH"/>
        </w:rPr>
        <w:t>à des fins</w:t>
      </w:r>
      <w:r w:rsidR="001A30EB" w:rsidRPr="00803C43">
        <w:rPr>
          <w:szCs w:val="17"/>
          <w:lang w:val="fr-CH"/>
        </w:rPr>
        <w:t xml:space="preserve"> </w:t>
      </w:r>
      <w:r w:rsidR="004F5FBF">
        <w:rPr>
          <w:szCs w:val="17"/>
          <w:lang w:val="fr-CH"/>
        </w:rPr>
        <w:t>de publication ou d</w:t>
      </w:r>
      <w:r w:rsidR="00F0551C">
        <w:rPr>
          <w:szCs w:val="17"/>
          <w:lang w:val="fr-CH"/>
        </w:rPr>
        <w:t>’</w:t>
      </w:r>
      <w:r w:rsidR="001A30EB" w:rsidRPr="00803C43">
        <w:rPr>
          <w:szCs w:val="17"/>
          <w:lang w:val="fr-CH"/>
        </w:rPr>
        <w:t>échange de données, par exemple lorsqu</w:t>
      </w:r>
      <w:r w:rsidR="00F0551C">
        <w:rPr>
          <w:szCs w:val="17"/>
          <w:lang w:val="fr-CH"/>
        </w:rPr>
        <w:t>’</w:t>
      </w:r>
      <w:r w:rsidR="001A30EB" w:rsidRPr="00803C43">
        <w:rPr>
          <w:szCs w:val="17"/>
          <w:lang w:val="fr-CH"/>
        </w:rPr>
        <w:t xml:space="preserve">un </w:t>
      </w:r>
      <w:r w:rsidR="007616D5">
        <w:rPr>
          <w:szCs w:val="17"/>
          <w:lang w:val="fr-CH"/>
        </w:rPr>
        <w:t>office de propriété industrielle</w:t>
      </w:r>
      <w:r w:rsidR="001A30EB" w:rsidRPr="00803C43">
        <w:rPr>
          <w:szCs w:val="17"/>
          <w:lang w:val="fr-CH"/>
        </w:rPr>
        <w:t xml:space="preserve"> accepte des formats non recommandés par la présente norme.</w:t>
      </w:r>
      <w:r w:rsidR="003332A8" w:rsidRPr="00803C43">
        <w:rPr>
          <w:szCs w:val="17"/>
          <w:lang w:val="fr-CH"/>
        </w:rPr>
        <w:t xml:space="preserve">  </w:t>
      </w:r>
      <w:r w:rsidR="001A30EB" w:rsidRPr="00803C43">
        <w:rPr>
          <w:szCs w:val="17"/>
          <w:lang w:val="fr-CH"/>
        </w:rPr>
        <w:t xml:space="preserve">Dans ce cas, les </w:t>
      </w:r>
      <w:r w:rsidR="003E77C9">
        <w:rPr>
          <w:szCs w:val="17"/>
          <w:lang w:val="fr-CH"/>
        </w:rPr>
        <w:t xml:space="preserve">offices </w:t>
      </w:r>
      <w:r w:rsidR="007616D5">
        <w:rPr>
          <w:szCs w:val="17"/>
          <w:lang w:val="fr-CH"/>
        </w:rPr>
        <w:t>devraient</w:t>
      </w:r>
      <w:r w:rsidR="001A30EB" w:rsidRPr="00803C43">
        <w:rPr>
          <w:szCs w:val="17"/>
          <w:lang w:val="fr-CH"/>
        </w:rPr>
        <w:t xml:space="preserve"> vérifier que le format converti reproduit fidèlement les caractéristiques pertinentes du format original.</w:t>
      </w:r>
      <w:r w:rsidR="00C330FF" w:rsidRPr="00803C43">
        <w:rPr>
          <w:szCs w:val="17"/>
          <w:lang w:val="fr-CH"/>
        </w:rPr>
        <w:t xml:space="preserve">  </w:t>
      </w:r>
      <w:r w:rsidR="001A30EB" w:rsidRPr="00803C43">
        <w:rPr>
          <w:szCs w:val="17"/>
          <w:lang w:val="fr-CH"/>
        </w:rPr>
        <w:t xml:space="preserve">Ils devraient conserver le fichier multimédia soumis </w:t>
      </w:r>
      <w:r w:rsidR="003E77C9">
        <w:rPr>
          <w:szCs w:val="17"/>
          <w:lang w:val="fr-CH"/>
        </w:rPr>
        <w:t>initialement</w:t>
      </w:r>
      <w:r w:rsidR="001A30EB" w:rsidRPr="00803C43">
        <w:rPr>
          <w:szCs w:val="17"/>
          <w:lang w:val="fr-CH"/>
        </w:rPr>
        <w:t xml:space="preserve"> par le déposant pendant toute la durée de la protection du droit de propriété intellectuelle.</w:t>
      </w:r>
      <w:r w:rsidR="003332A8" w:rsidRPr="00803C43">
        <w:rPr>
          <w:szCs w:val="17"/>
          <w:lang w:val="fr-CH"/>
        </w:rPr>
        <w:t xml:space="preserve">  </w:t>
      </w:r>
      <w:r w:rsidR="001A30EB" w:rsidRPr="00803C43">
        <w:rPr>
          <w:szCs w:val="17"/>
          <w:lang w:val="fr-CH"/>
        </w:rPr>
        <w:t>Si des conversions de format sont effectuées à des fins de publication ou d</w:t>
      </w:r>
      <w:r w:rsidR="00F0551C">
        <w:rPr>
          <w:szCs w:val="17"/>
          <w:lang w:val="fr-CH"/>
        </w:rPr>
        <w:t>’</w:t>
      </w:r>
      <w:r w:rsidR="001A30EB" w:rsidRPr="00803C43">
        <w:rPr>
          <w:szCs w:val="17"/>
          <w:lang w:val="fr-CH"/>
        </w:rPr>
        <w:t>échange de données, le format original devrait également être mis à disposition en ligne ou sur demande.</w:t>
      </w:r>
    </w:p>
    <w:p w14:paraId="39AF4B81" w14:textId="606C3485" w:rsidR="00574BB0" w:rsidRPr="00803C43" w:rsidRDefault="004F3C49" w:rsidP="00395C30">
      <w:pPr>
        <w:pStyle w:val="List0"/>
        <w:keepLines w:val="0"/>
        <w:tabs>
          <w:tab w:val="left" w:pos="567"/>
        </w:tabs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1A30EB" w:rsidRPr="00803C43">
        <w:rPr>
          <w:szCs w:val="17"/>
          <w:lang w:val="fr-CH"/>
        </w:rPr>
        <w:t xml:space="preserve">La taille des fichiers multimédias ne </w:t>
      </w:r>
      <w:r w:rsidR="007616D5">
        <w:rPr>
          <w:szCs w:val="17"/>
          <w:lang w:val="fr-CH"/>
        </w:rPr>
        <w:t>devrait</w:t>
      </w:r>
      <w:r w:rsidR="008C4CA1">
        <w:rPr>
          <w:szCs w:val="17"/>
          <w:lang w:val="fr-CH"/>
        </w:rPr>
        <w:t xml:space="preserve"> pas dépasser 20 </w:t>
      </w:r>
      <w:r w:rsidR="001A30EB" w:rsidRPr="00803C43">
        <w:rPr>
          <w:szCs w:val="17"/>
          <w:lang w:val="fr-CH"/>
        </w:rPr>
        <w:t>Mo.</w:t>
      </w:r>
    </w:p>
    <w:p w14:paraId="581F7532" w14:textId="4F7E996A" w:rsidR="00574BB0" w:rsidRPr="00803C43" w:rsidRDefault="000543C4" w:rsidP="00395C30">
      <w:pPr>
        <w:pStyle w:val="Heading2"/>
        <w:keepLines/>
      </w:pPr>
      <w:bookmarkStart w:id="20" w:name="_Toc55396117"/>
      <w:r>
        <w:t>R</w:t>
      </w:r>
      <w:r w:rsidRPr="00803C43">
        <w:t>ecommandations concernant la description textuelle des marques de mouvement ou multimédia</w:t>
      </w:r>
      <w:bookmarkEnd w:id="20"/>
    </w:p>
    <w:p w14:paraId="2C2A4650" w14:textId="47E5180B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F8455F" w:rsidRPr="00803C43">
        <w:rPr>
          <w:szCs w:val="17"/>
          <w:lang w:val="fr-CH"/>
        </w:rPr>
        <w:t xml:space="preserve">La description textuelle du mouvement ou multimédia constituant la marque ne </w:t>
      </w:r>
      <w:r w:rsidR="007616D5">
        <w:rPr>
          <w:szCs w:val="17"/>
          <w:lang w:val="fr-CH"/>
        </w:rPr>
        <w:t>devrait</w:t>
      </w:r>
      <w:r w:rsidR="00F8455F" w:rsidRPr="00803C43">
        <w:rPr>
          <w:szCs w:val="17"/>
          <w:lang w:val="fr-CH"/>
        </w:rPr>
        <w:t xml:space="preserve"> pas être la seule représentation de la marque de mouvement ou multimédia, mais, si la législation nationale le permet, elle peut compléter l</w:t>
      </w:r>
      <w:r w:rsidR="00F0551C">
        <w:rPr>
          <w:szCs w:val="17"/>
          <w:lang w:val="fr-CH"/>
        </w:rPr>
        <w:t>’</w:t>
      </w:r>
      <w:r w:rsidR="00F8455F" w:rsidRPr="00803C43">
        <w:rPr>
          <w:szCs w:val="17"/>
          <w:lang w:val="fr-CH"/>
        </w:rPr>
        <w:t>autre mode de représentation accepté.</w:t>
      </w:r>
    </w:p>
    <w:p w14:paraId="3C688B2A" w14:textId="560ADE22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5146F6" w:rsidRPr="00803C43">
        <w:rPr>
          <w:szCs w:val="17"/>
          <w:lang w:val="fr-CH"/>
        </w:rPr>
        <w:t>La description textuelle de la marque de mouvement peut contenir la description de l</w:t>
      </w:r>
      <w:r w:rsidR="00F0551C">
        <w:rPr>
          <w:szCs w:val="17"/>
          <w:lang w:val="fr-CH"/>
        </w:rPr>
        <w:t>’</w:t>
      </w:r>
      <w:r w:rsidR="005146F6" w:rsidRPr="00803C43">
        <w:rPr>
          <w:szCs w:val="17"/>
          <w:lang w:val="fr-CH"/>
        </w:rPr>
        <w:t xml:space="preserve">ordre chronologique des images (voir le </w:t>
      </w:r>
      <w:r w:rsidR="00F0551C" w:rsidRPr="00803C43">
        <w:rPr>
          <w:szCs w:val="17"/>
          <w:lang w:val="fr-CH"/>
        </w:rPr>
        <w:t>point</w:t>
      </w:r>
      <w:r w:rsidR="00F0551C">
        <w:rPr>
          <w:szCs w:val="17"/>
          <w:lang w:val="fr-CH"/>
        </w:rPr>
        <w:t> </w:t>
      </w:r>
      <w:r w:rsidR="00F0551C" w:rsidRPr="00803C43">
        <w:rPr>
          <w:szCs w:val="17"/>
          <w:lang w:val="fr-CH"/>
        </w:rPr>
        <w:t>b)</w:t>
      </w:r>
      <w:r w:rsidR="005146F6" w:rsidRPr="00803C43">
        <w:rPr>
          <w:szCs w:val="17"/>
          <w:lang w:val="fr-CH"/>
        </w:rPr>
        <w:t xml:space="preserve"> du </w:t>
      </w:r>
      <w:r w:rsidR="00F0551C" w:rsidRPr="00803C43">
        <w:rPr>
          <w:szCs w:val="17"/>
          <w:lang w:val="fr-CH"/>
        </w:rPr>
        <w:t>paragraphe</w:t>
      </w:r>
      <w:r w:rsidR="00F0551C">
        <w:rPr>
          <w:szCs w:val="17"/>
          <w:lang w:val="fr-CH"/>
        </w:rPr>
        <w:t> </w:t>
      </w:r>
      <w:r w:rsidR="00F0551C" w:rsidRPr="00803C43">
        <w:rPr>
          <w:szCs w:val="17"/>
          <w:lang w:val="fr-CH"/>
        </w:rPr>
        <w:t>1</w:t>
      </w:r>
      <w:r w:rsidR="005146F6" w:rsidRPr="00803C43">
        <w:rPr>
          <w:szCs w:val="17"/>
          <w:lang w:val="fr-CH"/>
        </w:rPr>
        <w:t>1 ci</w:t>
      </w:r>
      <w:r w:rsidR="00714729">
        <w:rPr>
          <w:szCs w:val="17"/>
          <w:lang w:val="fr-CH"/>
        </w:rPr>
        <w:noBreakHyphen/>
      </w:r>
      <w:r w:rsidR="005146F6" w:rsidRPr="00803C43">
        <w:rPr>
          <w:szCs w:val="17"/>
          <w:lang w:val="fr-CH"/>
        </w:rPr>
        <w:t xml:space="preserve">dessus), de la durée, de la ou des directions et de la fréquence du mouvement, ainsi que de toute autre caractéristique de la marque de mouvement que le déposant souhaite </w:t>
      </w:r>
      <w:r w:rsidR="003E77C9">
        <w:rPr>
          <w:szCs w:val="17"/>
          <w:lang w:val="fr-CH"/>
        </w:rPr>
        <w:t>indiquer</w:t>
      </w:r>
      <w:r w:rsidR="005146F6" w:rsidRPr="00803C43">
        <w:rPr>
          <w:szCs w:val="17"/>
          <w:lang w:val="fr-CH"/>
        </w:rPr>
        <w:t>.</w:t>
      </w:r>
    </w:p>
    <w:p w14:paraId="19682E11" w14:textId="472FE636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42506B" w:rsidRPr="00803C43">
        <w:rPr>
          <w:szCs w:val="17"/>
          <w:lang w:val="fr-CH"/>
        </w:rPr>
        <w:t xml:space="preserve">La description textuelle du son </w:t>
      </w:r>
      <w:r w:rsidR="00520B08">
        <w:rPr>
          <w:szCs w:val="17"/>
          <w:lang w:val="fr-CH"/>
        </w:rPr>
        <w:t>devrait être conforme aux</w:t>
      </w:r>
      <w:r w:rsidR="0042506B" w:rsidRPr="00803C43">
        <w:rPr>
          <w:szCs w:val="17"/>
          <w:lang w:val="fr-CH"/>
        </w:rPr>
        <w:t xml:space="preserve"> recommandations pertinentes concernant les marques sonores </w:t>
      </w:r>
      <w:r w:rsidR="00894258">
        <w:rPr>
          <w:szCs w:val="17"/>
          <w:lang w:val="fr-CH"/>
        </w:rPr>
        <w:t>fournies</w:t>
      </w:r>
      <w:r w:rsidR="0042506B" w:rsidRPr="00803C43">
        <w:rPr>
          <w:szCs w:val="17"/>
          <w:lang w:val="fr-CH"/>
        </w:rPr>
        <w:t xml:space="preserve"> dans </w:t>
      </w:r>
      <w:hyperlink r:id="rId10" w:history="1">
        <w:r w:rsidR="0042506B" w:rsidRPr="00714729">
          <w:rPr>
            <w:rStyle w:val="Hyperlink"/>
            <w:szCs w:val="17"/>
            <w:lang w:val="fr-CH"/>
          </w:rPr>
          <w:t>la norme</w:t>
        </w:r>
        <w:r w:rsidR="00256E68" w:rsidRPr="00714729">
          <w:rPr>
            <w:rStyle w:val="Hyperlink"/>
            <w:szCs w:val="17"/>
            <w:lang w:val="fr-CH"/>
          </w:rPr>
          <w:t> </w:t>
        </w:r>
        <w:r w:rsidR="0042506B" w:rsidRPr="00714729">
          <w:rPr>
            <w:rStyle w:val="Hyperlink"/>
            <w:szCs w:val="17"/>
            <w:lang w:val="fr-CH"/>
          </w:rPr>
          <w:t>ST.68 de l</w:t>
        </w:r>
        <w:r w:rsidR="00F0551C" w:rsidRPr="00714729">
          <w:rPr>
            <w:rStyle w:val="Hyperlink"/>
            <w:szCs w:val="17"/>
            <w:lang w:val="fr-CH"/>
          </w:rPr>
          <w:t>’</w:t>
        </w:r>
        <w:r w:rsidR="0042506B" w:rsidRPr="00714729">
          <w:rPr>
            <w:rStyle w:val="Hyperlink"/>
            <w:szCs w:val="17"/>
            <w:lang w:val="fr-CH"/>
          </w:rPr>
          <w:t>OMPI</w:t>
        </w:r>
      </w:hyperlink>
      <w:r w:rsidR="0042506B" w:rsidRPr="00803C43">
        <w:rPr>
          <w:szCs w:val="17"/>
          <w:lang w:val="fr-CH"/>
        </w:rPr>
        <w:t xml:space="preserve"> (voir les </w:t>
      </w:r>
      <w:r w:rsidR="00F0551C" w:rsidRPr="00803C43">
        <w:rPr>
          <w:szCs w:val="17"/>
          <w:lang w:val="fr-CH"/>
        </w:rPr>
        <w:t>paragraphes</w:t>
      </w:r>
      <w:r w:rsidR="00F0551C">
        <w:rPr>
          <w:szCs w:val="17"/>
          <w:lang w:val="fr-CH"/>
        </w:rPr>
        <w:t> </w:t>
      </w:r>
      <w:r w:rsidR="00F0551C" w:rsidRPr="00803C43">
        <w:rPr>
          <w:szCs w:val="17"/>
          <w:lang w:val="fr-CH"/>
        </w:rPr>
        <w:t>1</w:t>
      </w:r>
      <w:r w:rsidR="0042506B" w:rsidRPr="00803C43">
        <w:rPr>
          <w:szCs w:val="17"/>
          <w:lang w:val="fr-CH"/>
        </w:rPr>
        <w:t>7 et 18 de ladite norme).</w:t>
      </w:r>
    </w:p>
    <w:p w14:paraId="3C520EBF" w14:textId="51D17071" w:rsidR="00574BB0" w:rsidRPr="00803C43" w:rsidRDefault="000543C4" w:rsidP="00395C30">
      <w:pPr>
        <w:pStyle w:val="Heading2"/>
        <w:keepLines/>
      </w:pPr>
      <w:bookmarkStart w:id="21" w:name="_Toc55396118"/>
      <w:r>
        <w:lastRenderedPageBreak/>
        <w:t>R</w:t>
      </w:r>
      <w:r w:rsidRPr="00803C43">
        <w:t>ecommandations concernant la publication des marques de mouvement ou multimédia</w:t>
      </w:r>
      <w:bookmarkEnd w:id="21"/>
    </w:p>
    <w:p w14:paraId="0086DC49" w14:textId="77B5B3D5" w:rsidR="00574BB0" w:rsidRPr="00803C43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17"/>
          <w:lang w:val="fr-CH"/>
        </w:rPr>
      </w:pPr>
      <w:r w:rsidRPr="00803C43">
        <w:rPr>
          <w:szCs w:val="17"/>
        </w:rPr>
        <w:fldChar w:fldCharType="begin"/>
      </w:r>
      <w:r w:rsidRPr="00803C43">
        <w:rPr>
          <w:szCs w:val="17"/>
          <w:lang w:val="fr-CH"/>
        </w:rPr>
        <w:instrText xml:space="preserve"> AUTONUM  </w:instrText>
      </w:r>
      <w:r w:rsidRPr="00803C43">
        <w:rPr>
          <w:szCs w:val="17"/>
        </w:rPr>
        <w:fldChar w:fldCharType="end"/>
      </w:r>
      <w:r w:rsidRPr="00803C43">
        <w:rPr>
          <w:szCs w:val="17"/>
          <w:lang w:val="fr-CH"/>
        </w:rPr>
        <w:tab/>
      </w:r>
      <w:r w:rsidR="002B3892" w:rsidRPr="00803C43">
        <w:rPr>
          <w:szCs w:val="17"/>
          <w:lang w:val="fr-CH"/>
        </w:rPr>
        <w:t>Il est recommandé que la publication électronique d</w:t>
      </w:r>
      <w:r w:rsidR="00F0551C">
        <w:rPr>
          <w:szCs w:val="17"/>
          <w:lang w:val="fr-CH"/>
        </w:rPr>
        <w:t>’</w:t>
      </w:r>
      <w:r w:rsidR="002B3892" w:rsidRPr="00803C43">
        <w:rPr>
          <w:szCs w:val="17"/>
          <w:lang w:val="fr-CH"/>
        </w:rPr>
        <w:t>une marque de mouvement ou multimédia contienne toutes les représentations de ladite marque acceptées par l</w:t>
      </w:r>
      <w:r w:rsidR="00F0551C">
        <w:rPr>
          <w:szCs w:val="17"/>
          <w:lang w:val="fr-CH"/>
        </w:rPr>
        <w:t>’</w:t>
      </w:r>
      <w:r w:rsidR="007616D5">
        <w:rPr>
          <w:szCs w:val="17"/>
          <w:lang w:val="fr-CH"/>
        </w:rPr>
        <w:t>office de propriété industrielle</w:t>
      </w:r>
      <w:r w:rsidR="002B3892" w:rsidRPr="00803C43">
        <w:rPr>
          <w:szCs w:val="17"/>
          <w:lang w:val="fr-CH"/>
        </w:rPr>
        <w:t>.</w:t>
      </w:r>
    </w:p>
    <w:p w14:paraId="1349FB50" w14:textId="1E181EB1" w:rsidR="00574BB0" w:rsidRPr="00FA1C92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22"/>
          <w:lang w:val="fr-CH"/>
        </w:rPr>
      </w:pPr>
      <w:r w:rsidRPr="00FA1C92">
        <w:rPr>
          <w:szCs w:val="22"/>
        </w:rPr>
        <w:fldChar w:fldCharType="begin"/>
      </w:r>
      <w:r w:rsidRPr="00FA1C92">
        <w:rPr>
          <w:szCs w:val="22"/>
          <w:lang w:val="fr-CH"/>
        </w:rPr>
        <w:instrText xml:space="preserve"> AUTONUM  </w:instrText>
      </w:r>
      <w:r w:rsidRPr="00FA1C92">
        <w:rPr>
          <w:szCs w:val="22"/>
        </w:rPr>
        <w:fldChar w:fldCharType="end"/>
      </w:r>
      <w:r w:rsidRPr="00FA1C92">
        <w:rPr>
          <w:szCs w:val="22"/>
          <w:lang w:val="fr-CH"/>
        </w:rPr>
        <w:tab/>
      </w:r>
      <w:r w:rsidR="002B3892" w:rsidRPr="00FA1C92">
        <w:rPr>
          <w:szCs w:val="22"/>
          <w:lang w:val="fr-CH"/>
        </w:rPr>
        <w:t>Il est recommandé que la publication physique (format papier) contienne une représentation graphique ou une description textuelle du mouvement ou multimédia si ces modes de représentation sont acceptés par l</w:t>
      </w:r>
      <w:r w:rsidR="00F0551C">
        <w:rPr>
          <w:szCs w:val="22"/>
          <w:lang w:val="fr-CH"/>
        </w:rPr>
        <w:t>’</w:t>
      </w:r>
      <w:r w:rsidR="007616D5">
        <w:rPr>
          <w:szCs w:val="22"/>
          <w:lang w:val="fr-CH"/>
        </w:rPr>
        <w:t>office de propriété industrielle</w:t>
      </w:r>
      <w:r w:rsidR="00BE3240">
        <w:rPr>
          <w:szCs w:val="22"/>
          <w:lang w:val="fr-CH"/>
        </w:rPr>
        <w:t>, ainsi qu’u</w:t>
      </w:r>
      <w:r w:rsidR="002B3892" w:rsidRPr="00FA1C92">
        <w:rPr>
          <w:szCs w:val="22"/>
          <w:lang w:val="fr-CH"/>
        </w:rPr>
        <w:t>ne référence à l</w:t>
      </w:r>
      <w:r w:rsidR="00F0551C">
        <w:rPr>
          <w:szCs w:val="22"/>
          <w:lang w:val="fr-CH"/>
        </w:rPr>
        <w:t>’</w:t>
      </w:r>
      <w:r w:rsidR="002B3892" w:rsidRPr="00FA1C92">
        <w:rPr>
          <w:szCs w:val="22"/>
          <w:lang w:val="fr-CH"/>
        </w:rPr>
        <w:t>enregistrement du mouvement ou multimédia mis à la disposition du public</w:t>
      </w:r>
      <w:r w:rsidR="00BE3240" w:rsidRPr="00FA1C92">
        <w:rPr>
          <w:szCs w:val="22"/>
          <w:lang w:val="fr-CH"/>
        </w:rPr>
        <w:t xml:space="preserve"> si cela est accepté</w:t>
      </w:r>
      <w:r w:rsidR="002B3892" w:rsidRPr="00FA1C92">
        <w:rPr>
          <w:szCs w:val="22"/>
          <w:lang w:val="fr-CH"/>
        </w:rPr>
        <w:t>.</w:t>
      </w:r>
    </w:p>
    <w:p w14:paraId="27450FCC" w14:textId="5118BFCA" w:rsidR="00574BB0" w:rsidRPr="00FA1C92" w:rsidRDefault="004F3C49" w:rsidP="00395C30">
      <w:pPr>
        <w:pStyle w:val="List0"/>
        <w:keepLines w:val="0"/>
        <w:tabs>
          <w:tab w:val="left" w:pos="567"/>
        </w:tabs>
        <w:spacing w:after="200"/>
        <w:rPr>
          <w:szCs w:val="22"/>
          <w:lang w:val="fr-CH"/>
        </w:rPr>
      </w:pPr>
      <w:r w:rsidRPr="00FA1C92">
        <w:rPr>
          <w:szCs w:val="22"/>
        </w:rPr>
        <w:fldChar w:fldCharType="begin"/>
      </w:r>
      <w:r w:rsidRPr="00FA1C92">
        <w:rPr>
          <w:szCs w:val="22"/>
          <w:lang w:val="fr-CH"/>
        </w:rPr>
        <w:instrText xml:space="preserve"> AUTONUM  </w:instrText>
      </w:r>
      <w:r w:rsidRPr="00FA1C92">
        <w:rPr>
          <w:szCs w:val="22"/>
        </w:rPr>
        <w:fldChar w:fldCharType="end"/>
      </w:r>
      <w:r w:rsidRPr="00FA1C92">
        <w:rPr>
          <w:szCs w:val="22"/>
          <w:lang w:val="fr-CH"/>
        </w:rPr>
        <w:tab/>
      </w:r>
      <w:r w:rsidR="00DE45F4">
        <w:rPr>
          <w:szCs w:val="22"/>
          <w:lang w:val="fr-CH"/>
        </w:rPr>
        <w:t>Les</w:t>
      </w:r>
      <w:r w:rsidR="002B3892" w:rsidRPr="00FA1C92">
        <w:rPr>
          <w:szCs w:val="22"/>
          <w:lang w:val="fr-CH"/>
        </w:rPr>
        <w:t xml:space="preserve"> fichiers multimédias </w:t>
      </w:r>
      <w:r w:rsidR="00DE45F4">
        <w:rPr>
          <w:szCs w:val="22"/>
          <w:lang w:val="fr-CH"/>
        </w:rPr>
        <w:t>devraient être publiés</w:t>
      </w:r>
      <w:r w:rsidR="002B3892" w:rsidRPr="00FA1C92">
        <w:rPr>
          <w:szCs w:val="22"/>
          <w:lang w:val="fr-CH"/>
        </w:rPr>
        <w:t xml:space="preserve"> dans l</w:t>
      </w:r>
      <w:r w:rsidR="00F0551C">
        <w:rPr>
          <w:szCs w:val="22"/>
          <w:lang w:val="fr-CH"/>
        </w:rPr>
        <w:t>’</w:t>
      </w:r>
      <w:r w:rsidR="002B3892" w:rsidRPr="00FA1C92">
        <w:rPr>
          <w:szCs w:val="22"/>
          <w:lang w:val="fr-CH"/>
        </w:rPr>
        <w:t>un des formats préférés ou alternatifs indiqués ci</w:t>
      </w:r>
      <w:r w:rsidR="00714729">
        <w:rPr>
          <w:szCs w:val="22"/>
          <w:lang w:val="fr-CH"/>
        </w:rPr>
        <w:noBreakHyphen/>
      </w:r>
      <w:r w:rsidR="002B3892" w:rsidRPr="00FA1C92">
        <w:rPr>
          <w:szCs w:val="22"/>
          <w:lang w:val="fr-CH"/>
        </w:rPr>
        <w:t xml:space="preserve">dessus. </w:t>
      </w:r>
      <w:r w:rsidR="00BC7C09" w:rsidRPr="00FA1C92">
        <w:rPr>
          <w:szCs w:val="22"/>
          <w:lang w:val="fr-CH"/>
        </w:rPr>
        <w:t xml:space="preserve"> </w:t>
      </w:r>
      <w:r w:rsidR="002B3892" w:rsidRPr="00FA1C92">
        <w:rPr>
          <w:szCs w:val="22"/>
          <w:lang w:val="fr-CH"/>
        </w:rPr>
        <w:t xml:space="preserve">Il est recommandé aux </w:t>
      </w:r>
      <w:r w:rsidR="007616D5">
        <w:rPr>
          <w:szCs w:val="22"/>
          <w:lang w:val="fr-CH"/>
        </w:rPr>
        <w:t>offices de propriété industrielle</w:t>
      </w:r>
      <w:r w:rsidR="002B3892" w:rsidRPr="00FA1C92">
        <w:rPr>
          <w:szCs w:val="22"/>
          <w:lang w:val="fr-CH"/>
        </w:rPr>
        <w:t xml:space="preserve"> de ne pas convertir </w:t>
      </w:r>
      <w:r w:rsidR="00940605" w:rsidRPr="00FA1C92">
        <w:rPr>
          <w:szCs w:val="22"/>
          <w:lang w:val="fr-CH"/>
        </w:rPr>
        <w:t>les fichiers multimédias</w:t>
      </w:r>
      <w:r w:rsidR="002B3892" w:rsidRPr="00FA1C92">
        <w:rPr>
          <w:szCs w:val="22"/>
          <w:lang w:val="fr-CH"/>
        </w:rPr>
        <w:t xml:space="preserve"> dans un format différent, car des erreurs ou des artéfacts peuvent être créés ou la qualité peut diminuer. </w:t>
      </w:r>
      <w:r w:rsidR="00256E68">
        <w:rPr>
          <w:szCs w:val="22"/>
          <w:lang w:val="fr-CH"/>
        </w:rPr>
        <w:t xml:space="preserve"> </w:t>
      </w:r>
      <w:r w:rsidR="002B3892" w:rsidRPr="00FA1C92">
        <w:rPr>
          <w:szCs w:val="22"/>
          <w:lang w:val="fr-CH"/>
        </w:rPr>
        <w:t xml:space="preserve">Si des conversions sont effectuées, la </w:t>
      </w:r>
      <w:r w:rsidR="00B178C2">
        <w:rPr>
          <w:szCs w:val="22"/>
          <w:lang w:val="fr-CH"/>
        </w:rPr>
        <w:t>demande</w:t>
      </w:r>
      <w:r w:rsidR="002B3892" w:rsidRPr="00FA1C92">
        <w:rPr>
          <w:szCs w:val="22"/>
          <w:lang w:val="fr-CH"/>
        </w:rPr>
        <w:t xml:space="preserve"> originale </w:t>
      </w:r>
      <w:r w:rsidR="007616D5">
        <w:rPr>
          <w:szCs w:val="22"/>
          <w:lang w:val="fr-CH"/>
        </w:rPr>
        <w:t>devrait</w:t>
      </w:r>
      <w:r w:rsidR="002B3892" w:rsidRPr="00FA1C92">
        <w:rPr>
          <w:szCs w:val="22"/>
          <w:lang w:val="fr-CH"/>
        </w:rPr>
        <w:t xml:space="preserve"> également être mise à disposition. </w:t>
      </w:r>
      <w:r w:rsidR="00256E68">
        <w:rPr>
          <w:szCs w:val="22"/>
          <w:lang w:val="fr-CH"/>
        </w:rPr>
        <w:t xml:space="preserve"> </w:t>
      </w:r>
      <w:r w:rsidR="002B3892" w:rsidRPr="00FA1C92">
        <w:rPr>
          <w:szCs w:val="22"/>
          <w:lang w:val="fr-CH"/>
        </w:rPr>
        <w:t>Par exemple, des conversions pourraient être nécessaires si un office accepte la présentation de fichiers dans des formats autres que les formats préférés ou alternatifs recommandés dans la présente norme.</w:t>
      </w:r>
    </w:p>
    <w:p w14:paraId="3B3FAA48" w14:textId="247E2BE3" w:rsidR="008C4CA1" w:rsidRDefault="008C4CA1" w:rsidP="000543C4">
      <w:pPr>
        <w:spacing w:before="440"/>
        <w:ind w:left="5536"/>
        <w:rPr>
          <w:rFonts w:eastAsia="Malgun Gothic"/>
          <w:bCs/>
          <w:sz w:val="17"/>
          <w:szCs w:val="17"/>
          <w:lang w:val="fr-CH"/>
        </w:rPr>
      </w:pPr>
      <w:r>
        <w:rPr>
          <w:rFonts w:eastAsia="Malgun Gothic"/>
          <w:bCs/>
          <w:sz w:val="17"/>
          <w:szCs w:val="17"/>
          <w:lang w:val="fr-CH"/>
        </w:rPr>
        <w:t>[Fin de la norme]</w:t>
      </w:r>
    </w:p>
    <w:p w14:paraId="0CF0FF9C" w14:textId="252944C3" w:rsidR="00574BB0" w:rsidRPr="00FA1C92" w:rsidRDefault="002B3892" w:rsidP="000543C4">
      <w:pPr>
        <w:spacing w:before="440"/>
        <w:ind w:left="5536"/>
        <w:rPr>
          <w:rFonts w:eastAsia="Malgun Gothic"/>
          <w:bCs/>
          <w:sz w:val="17"/>
          <w:szCs w:val="17"/>
          <w:lang w:val="fr-CH"/>
        </w:rPr>
      </w:pPr>
      <w:r w:rsidRPr="00FA1C92">
        <w:rPr>
          <w:rFonts w:eastAsia="Malgun Gothic"/>
          <w:bCs/>
          <w:sz w:val="17"/>
          <w:szCs w:val="17"/>
          <w:lang w:val="fr-CH"/>
        </w:rPr>
        <w:t>[Fin de l</w:t>
      </w:r>
      <w:r w:rsidR="00F0551C">
        <w:rPr>
          <w:rFonts w:eastAsia="Malgun Gothic"/>
          <w:bCs/>
          <w:sz w:val="17"/>
          <w:szCs w:val="17"/>
          <w:lang w:val="fr-CH"/>
        </w:rPr>
        <w:t>’</w:t>
      </w:r>
      <w:r w:rsidRPr="00FA1C92">
        <w:rPr>
          <w:rFonts w:eastAsia="Malgun Gothic"/>
          <w:bCs/>
          <w:sz w:val="17"/>
          <w:szCs w:val="17"/>
          <w:lang w:val="fr-CH"/>
        </w:rPr>
        <w:t>annexe et du document]</w:t>
      </w:r>
    </w:p>
    <w:sectPr w:rsidR="00574BB0" w:rsidRPr="00FA1C92" w:rsidSect="008C4CA1">
      <w:headerReference w:type="even" r:id="rId11"/>
      <w:headerReference w:type="default" r:id="rId12"/>
      <w:footerReference w:type="even" r:id="rId13"/>
      <w:head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6E33D" w14:textId="77777777" w:rsidR="009B3F7E" w:rsidRDefault="009B3F7E" w:rsidP="009B3F7E">
      <w:r>
        <w:separator/>
      </w:r>
    </w:p>
  </w:endnote>
  <w:endnote w:type="continuationSeparator" w:id="0">
    <w:p w14:paraId="0C6617A5" w14:textId="77777777" w:rsidR="009B3F7E" w:rsidRDefault="009B3F7E" w:rsidP="009B3F7E">
      <w:r>
        <w:continuationSeparator/>
      </w:r>
    </w:p>
  </w:endnote>
  <w:endnote w:type="continuationNotice" w:id="1">
    <w:p w14:paraId="15AB6A4B" w14:textId="77777777" w:rsidR="003B23F4" w:rsidRDefault="003B2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53F03" w14:textId="77777777" w:rsidR="009B3F7E" w:rsidRDefault="009B3F7E" w:rsidP="009B3F7E">
    <w:pPr>
      <w:pStyle w:val="Footer"/>
    </w:pPr>
  </w:p>
  <w:p w14:paraId="7B4EFEFF" w14:textId="77777777" w:rsidR="009B3F7E" w:rsidRDefault="009B3F7E" w:rsidP="009B3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9B4F5" w14:textId="77777777" w:rsidR="009B3F7E" w:rsidRDefault="009B3F7E" w:rsidP="009B3F7E">
      <w:r>
        <w:separator/>
      </w:r>
    </w:p>
  </w:footnote>
  <w:footnote w:type="continuationSeparator" w:id="0">
    <w:p w14:paraId="12B7B214" w14:textId="77777777" w:rsidR="009B3F7E" w:rsidRDefault="009B3F7E" w:rsidP="009B3F7E">
      <w:r>
        <w:continuationSeparator/>
      </w:r>
    </w:p>
  </w:footnote>
  <w:footnote w:type="continuationNotice" w:id="1">
    <w:p w14:paraId="487B3542" w14:textId="77777777" w:rsidR="003B23F4" w:rsidRDefault="003B23F4"/>
  </w:footnote>
  <w:footnote w:id="2">
    <w:p w14:paraId="6A7514B3" w14:textId="56E932F0" w:rsidR="00591E0C" w:rsidRPr="00A41373" w:rsidRDefault="00591E0C" w:rsidP="008C4CA1">
      <w:pPr>
        <w:pStyle w:val="FootnoteText"/>
        <w:tabs>
          <w:tab w:val="left" w:pos="567"/>
        </w:tabs>
        <w:rPr>
          <w:sz w:val="16"/>
          <w:szCs w:val="16"/>
          <w:lang w:val="fr-CH"/>
        </w:rPr>
      </w:pPr>
      <w:r w:rsidRPr="00A41373">
        <w:rPr>
          <w:rStyle w:val="FootnoteReference"/>
          <w:sz w:val="16"/>
          <w:szCs w:val="16"/>
        </w:rPr>
        <w:footnoteRef/>
      </w:r>
      <w:r w:rsidRPr="00A41373">
        <w:rPr>
          <w:sz w:val="16"/>
          <w:szCs w:val="16"/>
          <w:lang w:val="fr-CH"/>
        </w:rPr>
        <w:t xml:space="preserve"> </w:t>
      </w:r>
      <w:r w:rsidR="008C4CA1">
        <w:rPr>
          <w:sz w:val="16"/>
          <w:szCs w:val="16"/>
          <w:lang w:val="fr-CH"/>
        </w:rPr>
        <w:tab/>
      </w:r>
      <w:r w:rsidRPr="00A41373">
        <w:rPr>
          <w:sz w:val="16"/>
          <w:szCs w:val="16"/>
          <w:lang w:val="fr-CH"/>
        </w:rPr>
        <w:t>Les formats recommandés pourront être modifiés à l</w:t>
      </w:r>
      <w:r w:rsidR="00D241DA">
        <w:rPr>
          <w:sz w:val="16"/>
          <w:szCs w:val="16"/>
          <w:lang w:val="fr-CH"/>
        </w:rPr>
        <w:t>’</w:t>
      </w:r>
      <w:r w:rsidRPr="00A41373">
        <w:rPr>
          <w:sz w:val="16"/>
          <w:szCs w:val="16"/>
          <w:lang w:val="fr-CH"/>
        </w:rPr>
        <w:t>avenir</w:t>
      </w:r>
      <w:r w:rsidR="00FE1C37">
        <w:rPr>
          <w:sz w:val="16"/>
          <w:szCs w:val="16"/>
          <w:lang w:val="fr-CH"/>
        </w:rPr>
        <w:t xml:space="preserve"> </w:t>
      </w:r>
      <w:r w:rsidR="00FE1C37" w:rsidRPr="00FE1C37">
        <w:rPr>
          <w:sz w:val="16"/>
          <w:szCs w:val="16"/>
          <w:lang w:val="fr-CH"/>
        </w:rPr>
        <w:t>en fonction de l’évolution des</w:t>
      </w:r>
      <w:r w:rsidR="00FE1C37">
        <w:rPr>
          <w:sz w:val="16"/>
          <w:szCs w:val="16"/>
          <w:lang w:val="fr-CH"/>
        </w:rPr>
        <w:t xml:space="preserve"> circonstances</w:t>
      </w:r>
      <w:r w:rsidRPr="00A41373">
        <w:rPr>
          <w:sz w:val="16"/>
          <w:szCs w:val="16"/>
          <w:lang w:val="fr-CH"/>
        </w:rPr>
        <w:t>.</w:t>
      </w:r>
    </w:p>
  </w:footnote>
  <w:footnote w:id="3">
    <w:p w14:paraId="60B312B0" w14:textId="787FF145" w:rsidR="00591E0C" w:rsidRPr="00A41373" w:rsidRDefault="00591E0C" w:rsidP="008C4CA1">
      <w:pPr>
        <w:pStyle w:val="FootnoteText"/>
        <w:tabs>
          <w:tab w:val="left" w:pos="567"/>
        </w:tabs>
        <w:rPr>
          <w:sz w:val="16"/>
          <w:szCs w:val="16"/>
          <w:lang w:val="fr-CH"/>
        </w:rPr>
      </w:pPr>
      <w:r w:rsidRPr="00A41373">
        <w:rPr>
          <w:rStyle w:val="FootnoteReference"/>
          <w:sz w:val="16"/>
          <w:szCs w:val="16"/>
        </w:rPr>
        <w:footnoteRef/>
      </w:r>
      <w:r w:rsidRPr="00A41373">
        <w:rPr>
          <w:sz w:val="16"/>
          <w:szCs w:val="16"/>
          <w:lang w:val="fr-CH"/>
        </w:rPr>
        <w:t xml:space="preserve"> </w:t>
      </w:r>
      <w:r w:rsidR="008C4CA1">
        <w:rPr>
          <w:sz w:val="16"/>
          <w:szCs w:val="16"/>
          <w:lang w:val="fr-CH"/>
        </w:rPr>
        <w:tab/>
      </w:r>
      <w:r w:rsidRPr="00A41373">
        <w:rPr>
          <w:sz w:val="16"/>
          <w:szCs w:val="16"/>
          <w:lang w:val="fr-CH"/>
        </w:rPr>
        <w:t>Ces formats sont des normes</w:t>
      </w:r>
      <w:r w:rsidR="00256E68">
        <w:rPr>
          <w:sz w:val="16"/>
          <w:szCs w:val="16"/>
          <w:lang w:val="fr-CH"/>
        </w:rPr>
        <w:t> </w:t>
      </w:r>
      <w:r w:rsidRPr="00A41373">
        <w:rPr>
          <w:sz w:val="16"/>
          <w:szCs w:val="16"/>
          <w:lang w:val="fr-CH"/>
        </w:rPr>
        <w:t>ISO et bénéficient de la plus large prise en charge matérielle et logicielle.  Il existe des communautés de brevets connues couvrant ces formats de</w:t>
      </w:r>
      <w:r w:rsidR="00D241DA" w:rsidRPr="00A41373">
        <w:rPr>
          <w:sz w:val="16"/>
          <w:szCs w:val="16"/>
          <w:lang w:val="fr-CH"/>
        </w:rPr>
        <w:t xml:space="preserve"> la</w:t>
      </w:r>
      <w:r w:rsidR="00D241DA">
        <w:rPr>
          <w:sz w:val="16"/>
          <w:szCs w:val="16"/>
          <w:lang w:val="fr-CH"/>
        </w:rPr>
        <w:t> </w:t>
      </w:r>
      <w:r w:rsidR="00D241DA" w:rsidRPr="00A41373">
        <w:rPr>
          <w:sz w:val="16"/>
          <w:szCs w:val="16"/>
          <w:lang w:val="fr-CH"/>
        </w:rPr>
        <w:t>MPE</w:t>
      </w:r>
      <w:r w:rsidRPr="00A41373">
        <w:rPr>
          <w:sz w:val="16"/>
          <w:szCs w:val="16"/>
          <w:lang w:val="fr-CH"/>
        </w:rPr>
        <w:t xml:space="preserve">G Licensing Administration, </w:t>
      </w:r>
      <w:r w:rsidR="00D241DA">
        <w:rPr>
          <w:sz w:val="16"/>
          <w:szCs w:val="16"/>
          <w:lang w:val="fr-CH"/>
        </w:rPr>
        <w:t>y compris</w:t>
      </w:r>
      <w:r w:rsidRPr="00A41373">
        <w:rPr>
          <w:sz w:val="16"/>
          <w:szCs w:val="16"/>
          <w:lang w:val="fr-CH"/>
        </w:rPr>
        <w:t xml:space="preserve"> pour la lecture de contenus vidéo, mais les plateformes courantes telles que Windows, Mac OS, Android et iOS incluent actuellement des licences à cette fin.</w:t>
      </w:r>
    </w:p>
  </w:footnote>
  <w:footnote w:id="4">
    <w:p w14:paraId="26E36579" w14:textId="4564F59A" w:rsidR="00570157" w:rsidRPr="00A41373" w:rsidRDefault="00570157" w:rsidP="008C4CA1">
      <w:pPr>
        <w:pStyle w:val="FootnoteText"/>
        <w:tabs>
          <w:tab w:val="left" w:pos="567"/>
        </w:tabs>
        <w:rPr>
          <w:sz w:val="16"/>
          <w:szCs w:val="16"/>
          <w:lang w:val="fr-CH"/>
        </w:rPr>
      </w:pPr>
      <w:r w:rsidRPr="00A41373">
        <w:rPr>
          <w:rStyle w:val="FootnoteReference"/>
          <w:sz w:val="16"/>
          <w:szCs w:val="16"/>
        </w:rPr>
        <w:footnoteRef/>
      </w:r>
      <w:r w:rsidRPr="00A41373">
        <w:rPr>
          <w:sz w:val="16"/>
          <w:szCs w:val="16"/>
          <w:lang w:val="fr-CH"/>
        </w:rPr>
        <w:t xml:space="preserve"> </w:t>
      </w:r>
      <w:r w:rsidR="008C4CA1">
        <w:rPr>
          <w:sz w:val="16"/>
          <w:szCs w:val="16"/>
          <w:lang w:val="fr-CH"/>
        </w:rPr>
        <w:tab/>
      </w:r>
      <w:r w:rsidRPr="00A41373">
        <w:rPr>
          <w:sz w:val="16"/>
          <w:szCs w:val="16"/>
          <w:lang w:val="fr-CH"/>
        </w:rPr>
        <w:t>WebM est pris en charge par la plupart des navigateurs Web, bien que d</w:t>
      </w:r>
      <w:r w:rsidR="00D241DA">
        <w:rPr>
          <w:sz w:val="16"/>
          <w:szCs w:val="16"/>
          <w:lang w:val="fr-CH"/>
        </w:rPr>
        <w:t>’</w:t>
      </w:r>
      <w:r w:rsidRPr="00A41373">
        <w:rPr>
          <w:sz w:val="16"/>
          <w:szCs w:val="16"/>
          <w:lang w:val="fr-CH"/>
        </w:rPr>
        <w:t>autres plateformes puissent exiger l</w:t>
      </w:r>
      <w:r w:rsidR="00D241DA">
        <w:rPr>
          <w:sz w:val="16"/>
          <w:szCs w:val="16"/>
          <w:lang w:val="fr-CH"/>
        </w:rPr>
        <w:t>’</w:t>
      </w:r>
      <w:r w:rsidRPr="00A41373">
        <w:rPr>
          <w:sz w:val="16"/>
          <w:szCs w:val="16"/>
          <w:lang w:val="fr-CH"/>
        </w:rPr>
        <w:t>installation d</w:t>
      </w:r>
      <w:r w:rsidR="00D241DA">
        <w:rPr>
          <w:sz w:val="16"/>
          <w:szCs w:val="16"/>
          <w:lang w:val="fr-CH"/>
        </w:rPr>
        <w:t>’</w:t>
      </w:r>
      <w:r w:rsidRPr="00A41373">
        <w:rPr>
          <w:sz w:val="16"/>
          <w:szCs w:val="16"/>
          <w:lang w:val="fr-CH"/>
        </w:rPr>
        <w:t>un logiciel pour la lecture.</w:t>
      </w:r>
    </w:p>
  </w:footnote>
  <w:footnote w:id="5">
    <w:p w14:paraId="27CFEEA9" w14:textId="59505268" w:rsidR="00570157" w:rsidRPr="00A41373" w:rsidRDefault="00570157" w:rsidP="008C4CA1">
      <w:pPr>
        <w:pStyle w:val="FootnoteText"/>
        <w:tabs>
          <w:tab w:val="left" w:pos="567"/>
        </w:tabs>
        <w:rPr>
          <w:sz w:val="16"/>
          <w:szCs w:val="16"/>
          <w:lang w:val="fr-CH"/>
        </w:rPr>
      </w:pPr>
      <w:r w:rsidRPr="00A41373">
        <w:rPr>
          <w:rStyle w:val="FootnoteReference"/>
          <w:sz w:val="16"/>
          <w:szCs w:val="16"/>
        </w:rPr>
        <w:footnoteRef/>
      </w:r>
      <w:r w:rsidRPr="00A41373">
        <w:rPr>
          <w:sz w:val="16"/>
          <w:szCs w:val="16"/>
          <w:lang w:val="fr-CH"/>
        </w:rPr>
        <w:t xml:space="preserve"> </w:t>
      </w:r>
      <w:r w:rsidR="008C4CA1">
        <w:rPr>
          <w:sz w:val="16"/>
          <w:szCs w:val="16"/>
          <w:lang w:val="fr-CH"/>
        </w:rPr>
        <w:tab/>
      </w:r>
      <w:r w:rsidRPr="00A41373">
        <w:rPr>
          <w:sz w:val="16"/>
          <w:szCs w:val="16"/>
          <w:lang w:val="fr-CH"/>
        </w:rPr>
        <w:t xml:space="preserve">Ces codecs sont destinés à une </w:t>
      </w:r>
      <w:r w:rsidR="00AB36F0" w:rsidRPr="00A41373">
        <w:rPr>
          <w:sz w:val="16"/>
          <w:szCs w:val="16"/>
          <w:lang w:val="fr-CH"/>
        </w:rPr>
        <w:t>utilisation libre de droits</w:t>
      </w:r>
      <w:r w:rsidRPr="00A41373">
        <w:rPr>
          <w:sz w:val="16"/>
          <w:szCs w:val="16"/>
          <w:lang w:val="fr-CH"/>
        </w:rPr>
        <w:t xml:space="preserve"> et sont pris en charge par la plupart des navigateurs Web.  </w:t>
      </w:r>
      <w:r w:rsidR="002B7F86" w:rsidRPr="00A41373">
        <w:rPr>
          <w:sz w:val="16"/>
          <w:szCs w:val="16"/>
          <w:lang w:val="fr-CH"/>
        </w:rPr>
        <w:t>Les deux</w:t>
      </w:r>
      <w:r w:rsidR="00256E68">
        <w:rPr>
          <w:sz w:val="16"/>
          <w:szCs w:val="16"/>
          <w:lang w:val="fr-CH"/>
        </w:rPr>
        <w:t> </w:t>
      </w:r>
      <w:r w:rsidR="002B7F86" w:rsidRPr="00A41373">
        <w:rPr>
          <w:sz w:val="16"/>
          <w:szCs w:val="16"/>
          <w:lang w:val="fr-CH"/>
        </w:rPr>
        <w:t>codecs sont également pris en charge par les conteneurs MP4.</w:t>
      </w:r>
      <w:r w:rsidR="00256E68">
        <w:rPr>
          <w:sz w:val="16"/>
          <w:szCs w:val="16"/>
          <w:lang w:val="fr-CH"/>
        </w:rPr>
        <w:t xml:space="preserve"> </w:t>
      </w:r>
      <w:r w:rsidRPr="00A41373">
        <w:rPr>
          <w:sz w:val="16"/>
          <w:szCs w:val="16"/>
          <w:lang w:val="fr-CH"/>
        </w:rPr>
        <w:t xml:space="preserve"> </w:t>
      </w:r>
      <w:r w:rsidR="002B7F86" w:rsidRPr="00A41373">
        <w:rPr>
          <w:sz w:val="16"/>
          <w:szCs w:val="16"/>
          <w:lang w:val="fr-CH"/>
        </w:rPr>
        <w:t>À l</w:t>
      </w:r>
      <w:r w:rsidR="00D241DA">
        <w:rPr>
          <w:sz w:val="16"/>
          <w:szCs w:val="16"/>
          <w:lang w:val="fr-CH"/>
        </w:rPr>
        <w:t>’</w:t>
      </w:r>
      <w:r w:rsidR="002B7F86" w:rsidRPr="00A41373">
        <w:rPr>
          <w:sz w:val="16"/>
          <w:szCs w:val="16"/>
          <w:lang w:val="fr-CH"/>
        </w:rPr>
        <w:t>heure actuelle, l</w:t>
      </w:r>
      <w:r w:rsidR="00D241DA">
        <w:rPr>
          <w:sz w:val="16"/>
          <w:szCs w:val="16"/>
          <w:lang w:val="fr-CH"/>
        </w:rPr>
        <w:t>’</w:t>
      </w:r>
      <w:r w:rsidR="002B7F86" w:rsidRPr="00A41373">
        <w:rPr>
          <w:sz w:val="16"/>
          <w:szCs w:val="16"/>
          <w:lang w:val="fr-CH"/>
        </w:rPr>
        <w:t>utilisation d</w:t>
      </w:r>
      <w:r w:rsidR="00D241DA">
        <w:rPr>
          <w:sz w:val="16"/>
          <w:szCs w:val="16"/>
          <w:lang w:val="fr-CH"/>
        </w:rPr>
        <w:t>’</w:t>
      </w:r>
      <w:r w:rsidR="002B7F86" w:rsidRPr="00A41373">
        <w:rPr>
          <w:sz w:val="16"/>
          <w:szCs w:val="16"/>
          <w:lang w:val="fr-CH"/>
        </w:rPr>
        <w:t>AV1 par l</w:t>
      </w:r>
      <w:r w:rsidR="00D241DA">
        <w:rPr>
          <w:sz w:val="16"/>
          <w:szCs w:val="16"/>
          <w:lang w:val="fr-CH"/>
        </w:rPr>
        <w:t>’</w:t>
      </w:r>
      <w:r w:rsidR="002B7F86" w:rsidRPr="00A41373">
        <w:rPr>
          <w:sz w:val="16"/>
          <w:szCs w:val="16"/>
          <w:lang w:val="fr-CH"/>
        </w:rPr>
        <w:t>industrie semble limitée, mais les principales plateformes prévoient de l</w:t>
      </w:r>
      <w:r w:rsidR="00D241DA">
        <w:rPr>
          <w:sz w:val="16"/>
          <w:szCs w:val="16"/>
          <w:lang w:val="fr-CH"/>
        </w:rPr>
        <w:t>’</w:t>
      </w:r>
      <w:r w:rsidR="008C4CA1">
        <w:rPr>
          <w:sz w:val="16"/>
          <w:szCs w:val="16"/>
          <w:lang w:val="fr-CH"/>
        </w:rPr>
        <w:t>adopter dans un avenir proche.</w:t>
      </w:r>
    </w:p>
  </w:footnote>
  <w:footnote w:id="6">
    <w:p w14:paraId="6803A2EB" w14:textId="0025B8ED" w:rsidR="00BC37D4" w:rsidRPr="00A41373" w:rsidRDefault="00BC37D4" w:rsidP="008C4CA1">
      <w:pPr>
        <w:pStyle w:val="FootnoteText"/>
        <w:tabs>
          <w:tab w:val="left" w:pos="567"/>
        </w:tabs>
        <w:rPr>
          <w:sz w:val="16"/>
          <w:szCs w:val="16"/>
          <w:lang w:val="fr-CH"/>
        </w:rPr>
      </w:pPr>
      <w:r w:rsidRPr="00A41373">
        <w:rPr>
          <w:rStyle w:val="FootnoteReference"/>
          <w:sz w:val="16"/>
          <w:szCs w:val="16"/>
        </w:rPr>
        <w:footnoteRef/>
      </w:r>
      <w:r w:rsidRPr="00A41373">
        <w:rPr>
          <w:sz w:val="16"/>
          <w:szCs w:val="16"/>
          <w:lang w:val="fr-CH"/>
        </w:rPr>
        <w:t xml:space="preserve"> </w:t>
      </w:r>
      <w:r w:rsidR="008C4CA1">
        <w:rPr>
          <w:sz w:val="16"/>
          <w:szCs w:val="16"/>
          <w:lang w:val="fr-CH"/>
        </w:rPr>
        <w:tab/>
      </w:r>
      <w:r w:rsidR="00637318" w:rsidRPr="00A41373">
        <w:rPr>
          <w:sz w:val="16"/>
          <w:szCs w:val="16"/>
          <w:lang w:val="fr-CH"/>
        </w:rPr>
        <w:t>Remplacé par des formats plus récents et non pris en charge par les conteneurs MP4.</w:t>
      </w:r>
    </w:p>
  </w:footnote>
  <w:footnote w:id="7">
    <w:p w14:paraId="6000504C" w14:textId="430EFDE7" w:rsidR="00BC37D4" w:rsidRPr="00A41373" w:rsidRDefault="00BC37D4" w:rsidP="008C4CA1">
      <w:pPr>
        <w:pStyle w:val="FootnoteText"/>
        <w:tabs>
          <w:tab w:val="left" w:pos="567"/>
        </w:tabs>
        <w:rPr>
          <w:sz w:val="16"/>
          <w:szCs w:val="16"/>
          <w:lang w:val="fr-CH"/>
        </w:rPr>
      </w:pPr>
      <w:r w:rsidRPr="00A41373">
        <w:rPr>
          <w:rStyle w:val="FootnoteReference"/>
          <w:sz w:val="16"/>
          <w:szCs w:val="16"/>
        </w:rPr>
        <w:footnoteRef/>
      </w:r>
      <w:r w:rsidRPr="00A41373">
        <w:rPr>
          <w:sz w:val="16"/>
          <w:szCs w:val="16"/>
          <w:lang w:val="fr-CH"/>
        </w:rPr>
        <w:t xml:space="preserve"> </w:t>
      </w:r>
      <w:r w:rsidR="008C4CA1">
        <w:rPr>
          <w:sz w:val="16"/>
          <w:szCs w:val="16"/>
          <w:lang w:val="fr-CH"/>
        </w:rPr>
        <w:tab/>
      </w:r>
      <w:r w:rsidR="00637318" w:rsidRPr="00A41373">
        <w:rPr>
          <w:sz w:val="16"/>
          <w:szCs w:val="16"/>
          <w:lang w:val="fr-CH"/>
        </w:rPr>
        <w:t>Remplacé par le format VP9 et non pris en charge par les conteneurs MP4.</w:t>
      </w:r>
    </w:p>
  </w:footnote>
  <w:footnote w:id="8">
    <w:p w14:paraId="5E830DA8" w14:textId="197429BB" w:rsidR="00BC37D4" w:rsidRPr="00A41373" w:rsidRDefault="00BC37D4" w:rsidP="008C4CA1">
      <w:pPr>
        <w:pStyle w:val="FootnoteText"/>
        <w:tabs>
          <w:tab w:val="left" w:pos="567"/>
        </w:tabs>
        <w:rPr>
          <w:sz w:val="16"/>
          <w:szCs w:val="16"/>
          <w:lang w:val="fr-CH"/>
        </w:rPr>
      </w:pPr>
      <w:r w:rsidRPr="00A41373">
        <w:rPr>
          <w:rStyle w:val="FootnoteReference"/>
          <w:sz w:val="16"/>
          <w:szCs w:val="16"/>
        </w:rPr>
        <w:footnoteRef/>
      </w:r>
      <w:r w:rsidRPr="00A41373">
        <w:rPr>
          <w:sz w:val="16"/>
          <w:szCs w:val="16"/>
          <w:lang w:val="fr-CH"/>
        </w:rPr>
        <w:t xml:space="preserve"> </w:t>
      </w:r>
      <w:r w:rsidR="008C4CA1">
        <w:rPr>
          <w:sz w:val="16"/>
          <w:szCs w:val="16"/>
          <w:lang w:val="fr-CH"/>
        </w:rPr>
        <w:tab/>
      </w:r>
      <w:r w:rsidR="00591E0C" w:rsidRPr="00A41373">
        <w:rPr>
          <w:sz w:val="16"/>
          <w:szCs w:val="16"/>
          <w:lang w:val="fr-CH"/>
        </w:rPr>
        <w:t>Non pris en charge à grande échelle à l</w:t>
      </w:r>
      <w:r w:rsidR="00D241DA">
        <w:rPr>
          <w:sz w:val="16"/>
          <w:szCs w:val="16"/>
          <w:lang w:val="fr-CH"/>
        </w:rPr>
        <w:t>’</w:t>
      </w:r>
      <w:r w:rsidR="00591E0C" w:rsidRPr="00A41373">
        <w:rPr>
          <w:sz w:val="16"/>
          <w:szCs w:val="16"/>
          <w:lang w:val="fr-CH"/>
        </w:rPr>
        <w:t>heure actuelle, couvert par de nombreuses communautés de brevets concurrentes.</w:t>
      </w:r>
    </w:p>
  </w:footnote>
  <w:footnote w:id="9">
    <w:p w14:paraId="2B39C2B6" w14:textId="22CFD316" w:rsidR="00AD0FC0" w:rsidRPr="00A41373" w:rsidRDefault="00AD0FC0" w:rsidP="008C4CA1">
      <w:pPr>
        <w:pStyle w:val="FootnoteText"/>
        <w:tabs>
          <w:tab w:val="left" w:pos="567"/>
        </w:tabs>
        <w:rPr>
          <w:sz w:val="16"/>
          <w:szCs w:val="16"/>
          <w:lang w:val="fr-CH"/>
        </w:rPr>
      </w:pPr>
      <w:r w:rsidRPr="00A41373">
        <w:rPr>
          <w:rStyle w:val="FootnoteReference"/>
          <w:sz w:val="16"/>
          <w:szCs w:val="16"/>
        </w:rPr>
        <w:footnoteRef/>
      </w:r>
      <w:r w:rsidRPr="00A41373">
        <w:rPr>
          <w:sz w:val="16"/>
          <w:szCs w:val="16"/>
          <w:lang w:val="fr-CH"/>
        </w:rPr>
        <w:t xml:space="preserve"> </w:t>
      </w:r>
      <w:r w:rsidR="008C4CA1">
        <w:rPr>
          <w:sz w:val="16"/>
          <w:szCs w:val="16"/>
          <w:lang w:val="fr-CH"/>
        </w:rPr>
        <w:tab/>
      </w:r>
      <w:r w:rsidRPr="00A41373">
        <w:rPr>
          <w:sz w:val="16"/>
          <w:szCs w:val="16"/>
          <w:lang w:val="fr-CH"/>
        </w:rPr>
        <w:t>Il appartient à l</w:t>
      </w:r>
      <w:r w:rsidR="00D241DA">
        <w:rPr>
          <w:sz w:val="16"/>
          <w:szCs w:val="16"/>
          <w:lang w:val="fr-CH"/>
        </w:rPr>
        <w:t>’</w:t>
      </w:r>
      <w:r w:rsidRPr="00A41373">
        <w:rPr>
          <w:sz w:val="16"/>
          <w:szCs w:val="16"/>
          <w:lang w:val="fr-CH"/>
        </w:rPr>
        <w:t>office de refuser la demande dans son ensemble ou de l</w:t>
      </w:r>
      <w:r w:rsidR="00D241DA">
        <w:rPr>
          <w:sz w:val="16"/>
          <w:szCs w:val="16"/>
          <w:lang w:val="fr-CH"/>
        </w:rPr>
        <w:t>’</w:t>
      </w:r>
      <w:r w:rsidRPr="00A41373">
        <w:rPr>
          <w:sz w:val="16"/>
          <w:szCs w:val="16"/>
          <w:lang w:val="fr-CH"/>
        </w:rPr>
        <w:t>accepter et d</w:t>
      </w:r>
      <w:r w:rsidR="00D241DA">
        <w:rPr>
          <w:sz w:val="16"/>
          <w:szCs w:val="16"/>
          <w:lang w:val="fr-CH"/>
        </w:rPr>
        <w:t>’</w:t>
      </w:r>
      <w:r w:rsidRPr="00A41373">
        <w:rPr>
          <w:sz w:val="16"/>
          <w:szCs w:val="16"/>
          <w:lang w:val="fr-CH"/>
        </w:rPr>
        <w:t>exiger du déposant qu</w:t>
      </w:r>
      <w:r w:rsidR="00D241DA">
        <w:rPr>
          <w:sz w:val="16"/>
          <w:szCs w:val="16"/>
          <w:lang w:val="fr-CH"/>
        </w:rPr>
        <w:t>’</w:t>
      </w:r>
      <w:r w:rsidRPr="00A41373">
        <w:rPr>
          <w:sz w:val="16"/>
          <w:szCs w:val="16"/>
          <w:lang w:val="fr-CH"/>
        </w:rPr>
        <w:t>il remplace les fichiers refusés.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3EA6B" w14:textId="0A367CE5" w:rsidR="00C41C01" w:rsidRPr="00DB50E6" w:rsidRDefault="00C41C01" w:rsidP="00D30FE5">
    <w:pPr>
      <w:pStyle w:val="Header"/>
      <w:jc w:val="right"/>
      <w:rPr>
        <w:noProof/>
        <w:szCs w:val="22"/>
        <w:lang w:eastAsia="zh-CN"/>
      </w:rPr>
    </w:pPr>
    <w:r w:rsidRPr="00DB50E6">
      <w:rPr>
        <w:noProof/>
        <w:szCs w:val="22"/>
        <w:lang w:eastAsia="zh-CN"/>
      </w:rPr>
      <w:t>C</w:t>
    </w:r>
    <w:r w:rsidR="00012640" w:rsidRPr="00DB50E6">
      <w:rPr>
        <w:noProof/>
        <w:szCs w:val="22"/>
        <w:lang w:eastAsia="zh-CN"/>
      </w:rPr>
      <w:t>WS/8/3</w:t>
    </w:r>
  </w:p>
  <w:p w14:paraId="181502E9" w14:textId="29DC8B18" w:rsidR="00C41C01" w:rsidRPr="00DB50E6" w:rsidRDefault="00C41C01" w:rsidP="00C41C01">
    <w:pPr>
      <w:pStyle w:val="Header"/>
      <w:jc w:val="right"/>
      <w:rPr>
        <w:noProof/>
        <w:szCs w:val="22"/>
        <w:lang w:val="de-CH"/>
      </w:rPr>
    </w:pPr>
    <w:r w:rsidRPr="00DB50E6">
      <w:rPr>
        <w:szCs w:val="22"/>
        <w:lang w:val="de-CH"/>
      </w:rPr>
      <w:t>Annex</w:t>
    </w:r>
    <w:r w:rsidR="00543B0C">
      <w:rPr>
        <w:szCs w:val="22"/>
        <w:lang w:val="de-CH"/>
      </w:rPr>
      <w:t>e</w:t>
    </w:r>
    <w:r w:rsidRPr="00DB50E6">
      <w:rPr>
        <w:szCs w:val="22"/>
        <w:lang w:val="de-CH"/>
      </w:rPr>
      <w:t xml:space="preserve">, page </w:t>
    </w:r>
    <w:r w:rsidRPr="00DB50E6">
      <w:rPr>
        <w:szCs w:val="22"/>
      </w:rPr>
      <w:fldChar w:fldCharType="begin"/>
    </w:r>
    <w:r w:rsidRPr="00DB50E6">
      <w:rPr>
        <w:szCs w:val="22"/>
        <w:lang w:val="de-CH"/>
      </w:rPr>
      <w:instrText xml:space="preserve"> PAGE   \* MERGEFORMAT </w:instrText>
    </w:r>
    <w:r w:rsidRPr="00DB50E6">
      <w:rPr>
        <w:szCs w:val="22"/>
      </w:rPr>
      <w:fldChar w:fldCharType="separate"/>
    </w:r>
    <w:r w:rsidR="002573DE">
      <w:rPr>
        <w:noProof/>
        <w:szCs w:val="22"/>
        <w:lang w:val="de-CH"/>
      </w:rPr>
      <w:t>5</w:t>
    </w:r>
    <w:r w:rsidRPr="00DB50E6">
      <w:rPr>
        <w:noProof/>
        <w:szCs w:val="22"/>
      </w:rPr>
      <w:fldChar w:fldCharType="end"/>
    </w:r>
  </w:p>
  <w:p w14:paraId="6C6EA7D1" w14:textId="24087F9A" w:rsidR="009B3F7E" w:rsidRPr="00C41C01" w:rsidRDefault="009B3F7E" w:rsidP="008C4CA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722F4" w14:textId="10C41863" w:rsidR="00C41C01" w:rsidRPr="00DB50E6" w:rsidRDefault="00C41C01" w:rsidP="00D30FE5">
    <w:pPr>
      <w:pStyle w:val="Header"/>
      <w:jc w:val="right"/>
      <w:rPr>
        <w:szCs w:val="22"/>
      </w:rPr>
    </w:pPr>
    <w:r w:rsidRPr="00DB50E6">
      <w:rPr>
        <w:szCs w:val="22"/>
      </w:rPr>
      <w:t>C</w:t>
    </w:r>
    <w:r w:rsidR="00D30FE5">
      <w:rPr>
        <w:szCs w:val="22"/>
      </w:rPr>
      <w:t>WS/8/3</w:t>
    </w:r>
  </w:p>
  <w:p w14:paraId="2DA4C9BA" w14:textId="75A8249D" w:rsidR="00C41C01" w:rsidRDefault="00C41C01" w:rsidP="00C41C01">
    <w:pPr>
      <w:pStyle w:val="Header"/>
      <w:jc w:val="right"/>
      <w:rPr>
        <w:noProof/>
        <w:szCs w:val="22"/>
      </w:rPr>
    </w:pPr>
    <w:r w:rsidRPr="00DB50E6">
      <w:rPr>
        <w:szCs w:val="22"/>
      </w:rPr>
      <w:t>Annex</w:t>
    </w:r>
    <w:r w:rsidR="00F86C5C">
      <w:rPr>
        <w:szCs w:val="22"/>
      </w:rPr>
      <w:t>e</w:t>
    </w:r>
    <w:r w:rsidR="008C4CA1">
      <w:rPr>
        <w:szCs w:val="22"/>
      </w:rPr>
      <w:t>, page </w:t>
    </w:r>
    <w:r w:rsidR="008C4CA1" w:rsidRPr="008C4CA1">
      <w:rPr>
        <w:szCs w:val="22"/>
      </w:rPr>
      <w:fldChar w:fldCharType="begin"/>
    </w:r>
    <w:r w:rsidR="008C4CA1" w:rsidRPr="008C4CA1">
      <w:rPr>
        <w:szCs w:val="22"/>
      </w:rPr>
      <w:instrText xml:space="preserve"> PAGE   \* MERGEFORMAT </w:instrText>
    </w:r>
    <w:r w:rsidR="008C4CA1" w:rsidRPr="008C4CA1">
      <w:rPr>
        <w:szCs w:val="22"/>
      </w:rPr>
      <w:fldChar w:fldCharType="separate"/>
    </w:r>
    <w:r w:rsidR="002573DE">
      <w:rPr>
        <w:noProof/>
        <w:szCs w:val="22"/>
      </w:rPr>
      <w:t>5</w:t>
    </w:r>
    <w:r w:rsidR="008C4CA1" w:rsidRPr="008C4CA1">
      <w:rPr>
        <w:noProof/>
        <w:szCs w:val="22"/>
      </w:rPr>
      <w:fldChar w:fldCharType="end"/>
    </w:r>
  </w:p>
  <w:p w14:paraId="3E0BE548" w14:textId="77777777" w:rsidR="00125865" w:rsidRPr="00DB50E6" w:rsidRDefault="00125865" w:rsidP="00C41C01">
    <w:pPr>
      <w:pStyle w:val="Header"/>
      <w:jc w:val="right"/>
      <w:rPr>
        <w:szCs w:val="22"/>
      </w:rPr>
    </w:pPr>
  </w:p>
  <w:p w14:paraId="0BF6C52F" w14:textId="739C87EA" w:rsidR="00A0541F" w:rsidRPr="00C41C01" w:rsidRDefault="00A0541F" w:rsidP="008C4CA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9E124" w14:textId="5DBB479B" w:rsidR="009B3F7E" w:rsidRPr="00DB50E6" w:rsidRDefault="00C41C01" w:rsidP="00D30FE5">
    <w:pPr>
      <w:pStyle w:val="Header"/>
      <w:jc w:val="right"/>
      <w:rPr>
        <w:szCs w:val="22"/>
      </w:rPr>
    </w:pPr>
    <w:r w:rsidRPr="00DB50E6">
      <w:rPr>
        <w:szCs w:val="22"/>
      </w:rPr>
      <w:t>CWS/8/3</w:t>
    </w:r>
  </w:p>
  <w:p w14:paraId="4FC50E7E" w14:textId="25197F24" w:rsidR="00C41C01" w:rsidRDefault="00C41C01" w:rsidP="00C41C01">
    <w:pPr>
      <w:pStyle w:val="Header"/>
      <w:jc w:val="right"/>
      <w:rPr>
        <w:szCs w:val="22"/>
      </w:rPr>
    </w:pPr>
    <w:r w:rsidRPr="00DB50E6">
      <w:rPr>
        <w:szCs w:val="22"/>
      </w:rPr>
      <w:t>ANNEX</w:t>
    </w:r>
    <w:r w:rsidR="005B052D">
      <w:rPr>
        <w:szCs w:val="22"/>
      </w:rPr>
      <w:t>E</w:t>
    </w:r>
  </w:p>
  <w:p w14:paraId="5E2F56FA" w14:textId="77777777" w:rsidR="008C4CA1" w:rsidRPr="00DB50E6" w:rsidRDefault="008C4CA1" w:rsidP="00C41C01">
    <w:pPr>
      <w:pStyle w:val="Header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6E65EEA"/>
    <w:multiLevelType w:val="hybridMultilevel"/>
    <w:tmpl w:val="2660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C810"/>
    <w:multiLevelType w:val="singleLevel"/>
    <w:tmpl w:val="BB8A3F3E"/>
    <w:lvl w:ilvl="0">
      <w:start w:val="1"/>
      <w:numFmt w:val="decimal"/>
      <w:pStyle w:val="Paragraph"/>
      <w:lvlText w:val="%1."/>
      <w:lvlJc w:val="left"/>
      <w:pPr>
        <w:ind w:left="101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n-US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710549"/>
    <w:multiLevelType w:val="hybridMultilevel"/>
    <w:tmpl w:val="CCDC9CFA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77914D4"/>
    <w:multiLevelType w:val="hybridMultilevel"/>
    <w:tmpl w:val="666A6B6C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8F53D6"/>
    <w:multiLevelType w:val="hybridMultilevel"/>
    <w:tmpl w:val="08E0FB1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5117E83"/>
    <w:multiLevelType w:val="hybridMultilevel"/>
    <w:tmpl w:val="D90EA226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602E3A"/>
    <w:multiLevelType w:val="multilevel"/>
    <w:tmpl w:val="3FBA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C25D0A"/>
    <w:multiLevelType w:val="hybridMultilevel"/>
    <w:tmpl w:val="B22E0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427DE"/>
    <w:multiLevelType w:val="hybridMultilevel"/>
    <w:tmpl w:val="C2749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E230A1"/>
    <w:multiLevelType w:val="hybridMultilevel"/>
    <w:tmpl w:val="78FCDCF6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68903A96"/>
    <w:multiLevelType w:val="hybridMultilevel"/>
    <w:tmpl w:val="B2E211C8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6C194983"/>
    <w:multiLevelType w:val="hybridMultilevel"/>
    <w:tmpl w:val="BE5C83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D88441D"/>
    <w:multiLevelType w:val="hybridMultilevel"/>
    <w:tmpl w:val="AA4CAA5A"/>
    <w:lvl w:ilvl="0" w:tplc="04090017">
      <w:start w:val="1"/>
      <w:numFmt w:val="lowerLetter"/>
      <w:lvlText w:val="%1)"/>
      <w:lvlJc w:val="lef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 w15:restartNumberingAfterBreak="0">
    <w:nsid w:val="6F8051A6"/>
    <w:multiLevelType w:val="hybridMultilevel"/>
    <w:tmpl w:val="153AB4D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75307E31"/>
    <w:multiLevelType w:val="hybridMultilevel"/>
    <w:tmpl w:val="09183A04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15"/>
  </w:num>
  <w:num w:numId="5">
    <w:abstractNumId w:val="0"/>
  </w:num>
  <w:num w:numId="6">
    <w:abstractNumId w:val="12"/>
  </w:num>
  <w:num w:numId="7">
    <w:abstractNumId w:val="9"/>
  </w:num>
  <w:num w:numId="8">
    <w:abstractNumId w:val="14"/>
  </w:num>
  <w:num w:numId="9">
    <w:abstractNumId w:val="13"/>
  </w:num>
  <w:num w:numId="10">
    <w:abstractNumId w:val="7"/>
  </w:num>
  <w:num w:numId="11">
    <w:abstractNumId w:val="18"/>
  </w:num>
  <w:num w:numId="12">
    <w:abstractNumId w:val="19"/>
  </w:num>
  <w:num w:numId="13">
    <w:abstractNumId w:val="4"/>
  </w:num>
  <w:num w:numId="14">
    <w:abstractNumId w:val="17"/>
  </w:num>
  <w:num w:numId="15">
    <w:abstractNumId w:val="2"/>
  </w:num>
  <w:num w:numId="16">
    <w:abstractNumId w:val="5"/>
  </w:num>
  <w:num w:numId="17">
    <w:abstractNumId w:val="16"/>
  </w:num>
  <w:num w:numId="18">
    <w:abstractNumId w:val="6"/>
  </w:num>
  <w:num w:numId="19">
    <w:abstractNumId w:val="11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Defaul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D724D8"/>
    <w:rsid w:val="00012640"/>
    <w:rsid w:val="00014896"/>
    <w:rsid w:val="00017060"/>
    <w:rsid w:val="0002456F"/>
    <w:rsid w:val="00030A49"/>
    <w:rsid w:val="00045097"/>
    <w:rsid w:val="00047978"/>
    <w:rsid w:val="0005109E"/>
    <w:rsid w:val="000543C4"/>
    <w:rsid w:val="000633B6"/>
    <w:rsid w:val="00064574"/>
    <w:rsid w:val="000A4E3C"/>
    <w:rsid w:val="000A6F57"/>
    <w:rsid w:val="000B1433"/>
    <w:rsid w:val="000D2E7D"/>
    <w:rsid w:val="000D3299"/>
    <w:rsid w:val="000D4D25"/>
    <w:rsid w:val="000E54F0"/>
    <w:rsid w:val="000E5638"/>
    <w:rsid w:val="000E7F45"/>
    <w:rsid w:val="000F3A2D"/>
    <w:rsid w:val="000F5497"/>
    <w:rsid w:val="000F5E56"/>
    <w:rsid w:val="000F6F02"/>
    <w:rsid w:val="001049BF"/>
    <w:rsid w:val="001063E3"/>
    <w:rsid w:val="00113F26"/>
    <w:rsid w:val="00125018"/>
    <w:rsid w:val="00125865"/>
    <w:rsid w:val="00125A96"/>
    <w:rsid w:val="00125CA1"/>
    <w:rsid w:val="001415F3"/>
    <w:rsid w:val="00142908"/>
    <w:rsid w:val="00147AEA"/>
    <w:rsid w:val="00152C65"/>
    <w:rsid w:val="00161FE5"/>
    <w:rsid w:val="001650C1"/>
    <w:rsid w:val="00180515"/>
    <w:rsid w:val="00196AAD"/>
    <w:rsid w:val="00196E54"/>
    <w:rsid w:val="001A30EB"/>
    <w:rsid w:val="001B0141"/>
    <w:rsid w:val="001B041A"/>
    <w:rsid w:val="001B6CDC"/>
    <w:rsid w:val="001D1015"/>
    <w:rsid w:val="001D475A"/>
    <w:rsid w:val="001D7618"/>
    <w:rsid w:val="001E02C4"/>
    <w:rsid w:val="001E77A4"/>
    <w:rsid w:val="001F2E30"/>
    <w:rsid w:val="00201AA1"/>
    <w:rsid w:val="00214C3A"/>
    <w:rsid w:val="0022335B"/>
    <w:rsid w:val="00224F9E"/>
    <w:rsid w:val="00231327"/>
    <w:rsid w:val="00235D12"/>
    <w:rsid w:val="00240EC7"/>
    <w:rsid w:val="00256E68"/>
    <w:rsid w:val="002573DE"/>
    <w:rsid w:val="00270648"/>
    <w:rsid w:val="0029133B"/>
    <w:rsid w:val="002935B4"/>
    <w:rsid w:val="00294CC6"/>
    <w:rsid w:val="002B3892"/>
    <w:rsid w:val="002B576A"/>
    <w:rsid w:val="002B7F86"/>
    <w:rsid w:val="002C2C7F"/>
    <w:rsid w:val="002C629B"/>
    <w:rsid w:val="002D3D22"/>
    <w:rsid w:val="002D4835"/>
    <w:rsid w:val="002D5A85"/>
    <w:rsid w:val="002F3193"/>
    <w:rsid w:val="00303061"/>
    <w:rsid w:val="00316E37"/>
    <w:rsid w:val="003325DE"/>
    <w:rsid w:val="003332A8"/>
    <w:rsid w:val="003352DE"/>
    <w:rsid w:val="00336FA8"/>
    <w:rsid w:val="003373E2"/>
    <w:rsid w:val="00354ED5"/>
    <w:rsid w:val="003572D2"/>
    <w:rsid w:val="00357852"/>
    <w:rsid w:val="00360E90"/>
    <w:rsid w:val="003907FF"/>
    <w:rsid w:val="00393719"/>
    <w:rsid w:val="0039418D"/>
    <w:rsid w:val="00395C30"/>
    <w:rsid w:val="003B23F4"/>
    <w:rsid w:val="003B2FE0"/>
    <w:rsid w:val="003B71FA"/>
    <w:rsid w:val="003C714E"/>
    <w:rsid w:val="003D07A0"/>
    <w:rsid w:val="003D69A0"/>
    <w:rsid w:val="003E387F"/>
    <w:rsid w:val="003E77C9"/>
    <w:rsid w:val="003F4BAB"/>
    <w:rsid w:val="00412E09"/>
    <w:rsid w:val="004233B1"/>
    <w:rsid w:val="0042506B"/>
    <w:rsid w:val="00431118"/>
    <w:rsid w:val="00436038"/>
    <w:rsid w:val="0044721D"/>
    <w:rsid w:val="00447733"/>
    <w:rsid w:val="004566F6"/>
    <w:rsid w:val="0045711A"/>
    <w:rsid w:val="00460B34"/>
    <w:rsid w:val="00481D50"/>
    <w:rsid w:val="004956EA"/>
    <w:rsid w:val="004A4196"/>
    <w:rsid w:val="004C4074"/>
    <w:rsid w:val="004D072F"/>
    <w:rsid w:val="004E74A6"/>
    <w:rsid w:val="004E77EF"/>
    <w:rsid w:val="004F3C49"/>
    <w:rsid w:val="004F5F11"/>
    <w:rsid w:val="004F5FBF"/>
    <w:rsid w:val="00502E09"/>
    <w:rsid w:val="005030E5"/>
    <w:rsid w:val="00506397"/>
    <w:rsid w:val="005146F6"/>
    <w:rsid w:val="00520B08"/>
    <w:rsid w:val="00525E31"/>
    <w:rsid w:val="00532592"/>
    <w:rsid w:val="005437C8"/>
    <w:rsid w:val="00543B0C"/>
    <w:rsid w:val="005562FF"/>
    <w:rsid w:val="0055771C"/>
    <w:rsid w:val="00567764"/>
    <w:rsid w:val="00570157"/>
    <w:rsid w:val="005719F0"/>
    <w:rsid w:val="00574BB0"/>
    <w:rsid w:val="00581F88"/>
    <w:rsid w:val="00585A59"/>
    <w:rsid w:val="00591E0C"/>
    <w:rsid w:val="0059290D"/>
    <w:rsid w:val="005A1BB0"/>
    <w:rsid w:val="005A3F0F"/>
    <w:rsid w:val="005B052D"/>
    <w:rsid w:val="005C35F0"/>
    <w:rsid w:val="005D7374"/>
    <w:rsid w:val="005E19EC"/>
    <w:rsid w:val="005F03F9"/>
    <w:rsid w:val="005F4752"/>
    <w:rsid w:val="006044C7"/>
    <w:rsid w:val="006047D0"/>
    <w:rsid w:val="00604EF1"/>
    <w:rsid w:val="00611D7C"/>
    <w:rsid w:val="0062001B"/>
    <w:rsid w:val="00620594"/>
    <w:rsid w:val="00624356"/>
    <w:rsid w:val="0062624C"/>
    <w:rsid w:val="00637318"/>
    <w:rsid w:val="00652303"/>
    <w:rsid w:val="006600CE"/>
    <w:rsid w:val="00662C83"/>
    <w:rsid w:val="0066724D"/>
    <w:rsid w:val="00671BE3"/>
    <w:rsid w:val="006726E8"/>
    <w:rsid w:val="00680FB4"/>
    <w:rsid w:val="00681C84"/>
    <w:rsid w:val="006B552B"/>
    <w:rsid w:val="006B5FAA"/>
    <w:rsid w:val="006D088A"/>
    <w:rsid w:val="006D2FFD"/>
    <w:rsid w:val="006F7651"/>
    <w:rsid w:val="00701FE5"/>
    <w:rsid w:val="00710099"/>
    <w:rsid w:val="00714729"/>
    <w:rsid w:val="007208B0"/>
    <w:rsid w:val="00723065"/>
    <w:rsid w:val="00725115"/>
    <w:rsid w:val="007362D6"/>
    <w:rsid w:val="007524C0"/>
    <w:rsid w:val="007616D5"/>
    <w:rsid w:val="0076378D"/>
    <w:rsid w:val="0076450D"/>
    <w:rsid w:val="00780B8E"/>
    <w:rsid w:val="00792795"/>
    <w:rsid w:val="007A5196"/>
    <w:rsid w:val="007B240C"/>
    <w:rsid w:val="007B51F7"/>
    <w:rsid w:val="007C46A1"/>
    <w:rsid w:val="007D53C7"/>
    <w:rsid w:val="007F6D7F"/>
    <w:rsid w:val="00803C43"/>
    <w:rsid w:val="00804DB7"/>
    <w:rsid w:val="00824795"/>
    <w:rsid w:val="00883562"/>
    <w:rsid w:val="00894258"/>
    <w:rsid w:val="008B4AA2"/>
    <w:rsid w:val="008C4CA1"/>
    <w:rsid w:val="008C78EE"/>
    <w:rsid w:val="008D7BFA"/>
    <w:rsid w:val="008D7E21"/>
    <w:rsid w:val="008E5296"/>
    <w:rsid w:val="008F1E16"/>
    <w:rsid w:val="008F31ED"/>
    <w:rsid w:val="009213C4"/>
    <w:rsid w:val="009243B3"/>
    <w:rsid w:val="00927F50"/>
    <w:rsid w:val="00940605"/>
    <w:rsid w:val="009508E8"/>
    <w:rsid w:val="00963774"/>
    <w:rsid w:val="009719A6"/>
    <w:rsid w:val="009B3F7E"/>
    <w:rsid w:val="009C54E3"/>
    <w:rsid w:val="009C7233"/>
    <w:rsid w:val="009D1436"/>
    <w:rsid w:val="009D15A8"/>
    <w:rsid w:val="009E11EC"/>
    <w:rsid w:val="009F0666"/>
    <w:rsid w:val="009F17CF"/>
    <w:rsid w:val="00A014D1"/>
    <w:rsid w:val="00A0541F"/>
    <w:rsid w:val="00A065B4"/>
    <w:rsid w:val="00A12869"/>
    <w:rsid w:val="00A22840"/>
    <w:rsid w:val="00A41373"/>
    <w:rsid w:val="00A50738"/>
    <w:rsid w:val="00A50CA0"/>
    <w:rsid w:val="00A5294D"/>
    <w:rsid w:val="00A710AD"/>
    <w:rsid w:val="00A809E2"/>
    <w:rsid w:val="00A9056B"/>
    <w:rsid w:val="00A9108B"/>
    <w:rsid w:val="00AA3F46"/>
    <w:rsid w:val="00AA43CB"/>
    <w:rsid w:val="00AB36F0"/>
    <w:rsid w:val="00AD0FC0"/>
    <w:rsid w:val="00AE22D4"/>
    <w:rsid w:val="00B14EA2"/>
    <w:rsid w:val="00B1760D"/>
    <w:rsid w:val="00B178C2"/>
    <w:rsid w:val="00B24038"/>
    <w:rsid w:val="00B301A9"/>
    <w:rsid w:val="00B32D4A"/>
    <w:rsid w:val="00B333B3"/>
    <w:rsid w:val="00B35413"/>
    <w:rsid w:val="00B36F42"/>
    <w:rsid w:val="00B4132C"/>
    <w:rsid w:val="00B51C17"/>
    <w:rsid w:val="00B57BAD"/>
    <w:rsid w:val="00B935A0"/>
    <w:rsid w:val="00B953C3"/>
    <w:rsid w:val="00B96A00"/>
    <w:rsid w:val="00BA6F12"/>
    <w:rsid w:val="00BB0A18"/>
    <w:rsid w:val="00BB4EAF"/>
    <w:rsid w:val="00BC2DE4"/>
    <w:rsid w:val="00BC37D4"/>
    <w:rsid w:val="00BC5F87"/>
    <w:rsid w:val="00BC7C09"/>
    <w:rsid w:val="00BD6DB3"/>
    <w:rsid w:val="00BE3240"/>
    <w:rsid w:val="00BF1568"/>
    <w:rsid w:val="00BF3486"/>
    <w:rsid w:val="00C02136"/>
    <w:rsid w:val="00C026C2"/>
    <w:rsid w:val="00C1327B"/>
    <w:rsid w:val="00C256F8"/>
    <w:rsid w:val="00C301B6"/>
    <w:rsid w:val="00C330FF"/>
    <w:rsid w:val="00C33EF8"/>
    <w:rsid w:val="00C40881"/>
    <w:rsid w:val="00C41B05"/>
    <w:rsid w:val="00C41C01"/>
    <w:rsid w:val="00C55D58"/>
    <w:rsid w:val="00C60A90"/>
    <w:rsid w:val="00C60F08"/>
    <w:rsid w:val="00C7773F"/>
    <w:rsid w:val="00C81006"/>
    <w:rsid w:val="00C909F9"/>
    <w:rsid w:val="00CA3048"/>
    <w:rsid w:val="00CB0683"/>
    <w:rsid w:val="00CB2F5F"/>
    <w:rsid w:val="00CC7BB6"/>
    <w:rsid w:val="00CD091C"/>
    <w:rsid w:val="00CD15B3"/>
    <w:rsid w:val="00CD1998"/>
    <w:rsid w:val="00CF1623"/>
    <w:rsid w:val="00CF2033"/>
    <w:rsid w:val="00CF64F5"/>
    <w:rsid w:val="00D15ACA"/>
    <w:rsid w:val="00D17866"/>
    <w:rsid w:val="00D241DA"/>
    <w:rsid w:val="00D30FE5"/>
    <w:rsid w:val="00D35C96"/>
    <w:rsid w:val="00D45C92"/>
    <w:rsid w:val="00D45CD7"/>
    <w:rsid w:val="00D56C50"/>
    <w:rsid w:val="00D724D8"/>
    <w:rsid w:val="00D74004"/>
    <w:rsid w:val="00D91991"/>
    <w:rsid w:val="00DB50E6"/>
    <w:rsid w:val="00DC2F14"/>
    <w:rsid w:val="00DC5B5E"/>
    <w:rsid w:val="00DD303E"/>
    <w:rsid w:val="00DD6923"/>
    <w:rsid w:val="00DE28D4"/>
    <w:rsid w:val="00DE4109"/>
    <w:rsid w:val="00DE45F4"/>
    <w:rsid w:val="00E0725D"/>
    <w:rsid w:val="00E079FC"/>
    <w:rsid w:val="00E07AA6"/>
    <w:rsid w:val="00E1320D"/>
    <w:rsid w:val="00E514F2"/>
    <w:rsid w:val="00E52C2A"/>
    <w:rsid w:val="00E666A2"/>
    <w:rsid w:val="00E7111A"/>
    <w:rsid w:val="00E766F3"/>
    <w:rsid w:val="00E959CA"/>
    <w:rsid w:val="00E97934"/>
    <w:rsid w:val="00EA0D73"/>
    <w:rsid w:val="00EA1E4D"/>
    <w:rsid w:val="00EA49CC"/>
    <w:rsid w:val="00EC2671"/>
    <w:rsid w:val="00EC6158"/>
    <w:rsid w:val="00ED2DDF"/>
    <w:rsid w:val="00EE68F5"/>
    <w:rsid w:val="00EF1E8A"/>
    <w:rsid w:val="00F02AE5"/>
    <w:rsid w:val="00F03920"/>
    <w:rsid w:val="00F0551C"/>
    <w:rsid w:val="00F072BE"/>
    <w:rsid w:val="00F1620F"/>
    <w:rsid w:val="00F213C9"/>
    <w:rsid w:val="00F340CD"/>
    <w:rsid w:val="00F40210"/>
    <w:rsid w:val="00F71B6F"/>
    <w:rsid w:val="00F72438"/>
    <w:rsid w:val="00F75FB3"/>
    <w:rsid w:val="00F8455F"/>
    <w:rsid w:val="00F86C5C"/>
    <w:rsid w:val="00F92A6A"/>
    <w:rsid w:val="00F93859"/>
    <w:rsid w:val="00F93DFF"/>
    <w:rsid w:val="00FA1C92"/>
    <w:rsid w:val="00FB1058"/>
    <w:rsid w:val="00FB50A3"/>
    <w:rsid w:val="00FC29E2"/>
    <w:rsid w:val="00FC3FAE"/>
    <w:rsid w:val="00FD33D9"/>
    <w:rsid w:val="00FD43FC"/>
    <w:rsid w:val="00FD708C"/>
    <w:rsid w:val="00FE1C37"/>
    <w:rsid w:val="00FE1E54"/>
    <w:rsid w:val="00FE5A1D"/>
    <w:rsid w:val="00FE76CA"/>
    <w:rsid w:val="00FE7E8F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1A583D2B"/>
  <w15:docId w15:val="{7052B3C9-7A55-4C36-93CD-242A3440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9"/>
    <w:rPr>
      <w:rFonts w:ascii="Arial" w:hAnsi="Arial" w:cs="Arial"/>
      <w:sz w:val="22"/>
      <w:lang w:val="fr-FR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4729"/>
    <w:pPr>
      <w:keepNext/>
      <w:spacing w:before="240" w:after="60"/>
      <w:outlineLvl w:val="1"/>
    </w:pPr>
    <w:rPr>
      <w:rFonts w:eastAsia="SimSun"/>
      <w:bCs/>
      <w:iCs/>
      <w:caps/>
      <w:sz w:val="17"/>
      <w:szCs w:val="17"/>
      <w:lang w:val="fr-CH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14729"/>
    <w:rPr>
      <w:rFonts w:ascii="Arial" w:eastAsia="SimSun" w:hAnsi="Arial" w:cs="Arial"/>
      <w:bCs/>
      <w:iCs/>
      <w:caps/>
      <w:sz w:val="17"/>
      <w:szCs w:val="17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D724D8"/>
    <w:rPr>
      <w:rFonts w:ascii="Arial" w:eastAsia="SimSun" w:hAnsi="Arial" w:cs="Arial"/>
      <w:bCs/>
      <w:sz w:val="22"/>
      <w:szCs w:val="26"/>
      <w:u w:val="single"/>
    </w:rPr>
  </w:style>
  <w:style w:type="paragraph" w:styleId="NormalWeb">
    <w:name w:val="Normal (Web)"/>
    <w:basedOn w:val="Normal"/>
    <w:uiPriority w:val="99"/>
    <w:unhideWhenUsed/>
    <w:rsid w:val="00D724D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24D8"/>
    <w:rPr>
      <w:i/>
      <w:iCs/>
    </w:rPr>
  </w:style>
  <w:style w:type="paragraph" w:styleId="ListParagraph">
    <w:name w:val="List Paragraph"/>
    <w:basedOn w:val="Normal"/>
    <w:uiPriority w:val="34"/>
    <w:qFormat/>
    <w:rsid w:val="00D724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065B4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A065B4"/>
    <w:rPr>
      <w:rFonts w:ascii="Tahoma" w:hAnsi="Tahoma" w:cs="Tahoma"/>
      <w:sz w:val="22"/>
      <w:szCs w:val="16"/>
    </w:rPr>
  </w:style>
  <w:style w:type="character" w:styleId="CommentReference">
    <w:name w:val="annotation reference"/>
    <w:basedOn w:val="DefaultParagraphFont"/>
    <w:rsid w:val="005A3F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A3F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3F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A3F0F"/>
    <w:rPr>
      <w:rFonts w:ascii="Arial" w:hAnsi="Arial" w:cs="Arial"/>
      <w:b/>
      <w:bCs/>
      <w:sz w:val="18"/>
    </w:rPr>
  </w:style>
  <w:style w:type="paragraph" w:customStyle="1" w:styleId="TitleCAPS">
    <w:name w:val="Title CAPS"/>
    <w:basedOn w:val="Normal"/>
    <w:next w:val="Normal"/>
    <w:rsid w:val="003C714E"/>
    <w:pPr>
      <w:spacing w:after="340"/>
      <w:jc w:val="center"/>
    </w:pPr>
    <w:rPr>
      <w:rFonts w:cs="Times New Roman"/>
      <w:caps/>
      <w:sz w:val="17"/>
    </w:rPr>
  </w:style>
  <w:style w:type="paragraph" w:customStyle="1" w:styleId="List0">
    <w:name w:val="List0"/>
    <w:basedOn w:val="Normal"/>
    <w:link w:val="List0Char"/>
    <w:rsid w:val="003C714E"/>
    <w:pPr>
      <w:keepLines/>
      <w:spacing w:after="170"/>
    </w:pPr>
    <w:rPr>
      <w:rFonts w:cs="Times New Roman"/>
      <w:sz w:val="17"/>
    </w:rPr>
  </w:style>
  <w:style w:type="character" w:customStyle="1" w:styleId="List0Char">
    <w:name w:val="List0 Char"/>
    <w:basedOn w:val="DefaultParagraphFont"/>
    <w:link w:val="List0"/>
    <w:rsid w:val="003C714E"/>
    <w:rPr>
      <w:rFonts w:ascii="Arial" w:hAnsi="Arial"/>
      <w:sz w:val="17"/>
    </w:rPr>
  </w:style>
  <w:style w:type="paragraph" w:styleId="TOC1">
    <w:name w:val="toc 1"/>
    <w:basedOn w:val="Normal"/>
    <w:next w:val="Normal"/>
    <w:autoRedefine/>
    <w:uiPriority w:val="39"/>
    <w:rsid w:val="003C714E"/>
    <w:pPr>
      <w:widowControl w:val="0"/>
      <w:kinsoku w:val="0"/>
      <w:spacing w:after="100"/>
    </w:pPr>
    <w:rPr>
      <w:rFonts w:eastAsia="SimSun"/>
      <w:sz w:val="24"/>
      <w:szCs w:val="24"/>
      <w:lang w:eastAsia="zh-CN"/>
    </w:rPr>
  </w:style>
  <w:style w:type="paragraph" w:styleId="TOC2">
    <w:name w:val="toc 2"/>
    <w:basedOn w:val="Normal"/>
    <w:next w:val="Normal"/>
    <w:autoRedefine/>
    <w:uiPriority w:val="39"/>
    <w:rsid w:val="00714729"/>
    <w:pPr>
      <w:widowControl w:val="0"/>
      <w:tabs>
        <w:tab w:val="right" w:leader="dot" w:pos="9345"/>
      </w:tabs>
      <w:kinsoku w:val="0"/>
      <w:spacing w:after="100"/>
      <w:ind w:left="238" w:right="283"/>
    </w:pPr>
    <w:rPr>
      <w:rFonts w:eastAsia="SimSun"/>
      <w:sz w:val="17"/>
      <w:szCs w:val="24"/>
      <w:lang w:eastAsia="zh-CN"/>
    </w:rPr>
  </w:style>
  <w:style w:type="paragraph" w:customStyle="1" w:styleId="Paragraph">
    <w:name w:val="Paragraph"/>
    <w:basedOn w:val="Normal"/>
    <w:next w:val="Normal"/>
    <w:rsid w:val="003C714E"/>
    <w:pPr>
      <w:widowControl w:val="0"/>
      <w:numPr>
        <w:numId w:val="15"/>
      </w:numPr>
      <w:kinsoku w:val="0"/>
      <w:spacing w:before="240" w:after="240"/>
      <w:ind w:left="567"/>
    </w:pPr>
    <w:rPr>
      <w:rFonts w:eastAsia="SimSun"/>
      <w:sz w:val="20"/>
      <w:szCs w:val="17"/>
      <w:lang w:eastAsia="zh-CN"/>
    </w:rPr>
  </w:style>
  <w:style w:type="character" w:customStyle="1" w:styleId="Heading1Char">
    <w:name w:val="Heading 1 Char"/>
    <w:link w:val="Heading1"/>
    <w:rsid w:val="003C714E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customStyle="1" w:styleId="List0R">
    <w:name w:val="List0R"/>
    <w:basedOn w:val="List0"/>
    <w:rsid w:val="003C714E"/>
    <w:pPr>
      <w:ind w:firstLine="567"/>
    </w:pPr>
  </w:style>
  <w:style w:type="paragraph" w:styleId="TOC3">
    <w:name w:val="toc 3"/>
    <w:basedOn w:val="Normal"/>
    <w:next w:val="Normal"/>
    <w:autoRedefine/>
    <w:uiPriority w:val="39"/>
    <w:rsid w:val="003D69A0"/>
    <w:pPr>
      <w:spacing w:after="100"/>
      <w:ind w:left="440"/>
    </w:pPr>
  </w:style>
  <w:style w:type="character" w:styleId="FootnoteReference">
    <w:name w:val="footnote reference"/>
    <w:basedOn w:val="DefaultParagraphFont"/>
    <w:unhideWhenUsed/>
    <w:rsid w:val="00A065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66F3"/>
    <w:rPr>
      <w:color w:val="0000FF"/>
      <w:u w:val="single"/>
    </w:rPr>
  </w:style>
  <w:style w:type="paragraph" w:styleId="Revision">
    <w:name w:val="Revision"/>
    <w:hidden/>
    <w:uiPriority w:val="99"/>
    <w:semiHidden/>
    <w:rsid w:val="0055771C"/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1C01"/>
    <w:rPr>
      <w:rFonts w:ascii="Arial" w:hAnsi="Arial" w:cs="Arial"/>
      <w:sz w:val="22"/>
    </w:rPr>
  </w:style>
  <w:style w:type="paragraph" w:customStyle="1" w:styleId="Default">
    <w:name w:val="Default"/>
    <w:rsid w:val="006672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C4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F02A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tandards/fr/pdf/03-68-01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export/sites/www/standards/fr/pdf/03-68-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standards/fr/pdf/03-68-0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6CB34-9E79-4108-8E4B-0250325F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2038</Words>
  <Characters>11785</Characters>
  <Application>Microsoft Office Word</Application>
  <DocSecurity>0</DocSecurity>
  <Lines>186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CWS/8/3 Annex</dc:title>
  <dc:subject>Wipo Templates</dc:subject>
  <dc:creator>WIPO</dc:creator>
  <cp:keywords>FOR OFFICIAL USE ONLY</cp:keywords>
  <cp:lastModifiedBy>CHAVAS Louison</cp:lastModifiedBy>
  <cp:revision>2</cp:revision>
  <cp:lastPrinted>2020-11-17T17:04:00Z</cp:lastPrinted>
  <dcterms:created xsi:type="dcterms:W3CDTF">2020-11-17T17:07:00Z</dcterms:created>
  <dcterms:modified xsi:type="dcterms:W3CDTF">2020-11-17T17:07:00Z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dae4be4b-da48-461a-ab62-a6f45d3853ba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