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8BEA" w14:textId="77777777" w:rsidR="008B2CC1" w:rsidRPr="0040540C" w:rsidRDefault="0040540C" w:rsidP="005E774D">
      <w:pPr>
        <w:pBdr>
          <w:bottom w:val="single" w:sz="4" w:space="11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758EACB2" wp14:editId="7D84232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4A9B" w14:textId="3299225F" w:rsidR="00B1090C" w:rsidRDefault="005E774D" w:rsidP="0040540C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WILD/1/</w:t>
      </w:r>
      <w:bookmarkStart w:id="0" w:name="Code"/>
      <w:bookmarkEnd w:id="0"/>
      <w:r w:rsidR="00CF301E">
        <w:rPr>
          <w:rFonts w:ascii="Arial Black" w:hAnsi="Arial Black"/>
          <w:caps/>
          <w:sz w:val="15"/>
        </w:rPr>
        <w:t>1 Prov.</w:t>
      </w:r>
    </w:p>
    <w:p w14:paraId="4854D16F" w14:textId="55C0D79F"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8A74CE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CF301E">
        <w:rPr>
          <w:rFonts w:ascii="Arial Black" w:hAnsi="Arial Black"/>
          <w:caps/>
          <w:sz w:val="15"/>
        </w:rPr>
        <w:t>anglais</w:t>
      </w:r>
    </w:p>
    <w:bookmarkEnd w:id="1"/>
    <w:p w14:paraId="78F360D8" w14:textId="213F86D9"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8A74CE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CF301E">
        <w:rPr>
          <w:rFonts w:ascii="Arial Black" w:hAnsi="Arial Black"/>
          <w:caps/>
          <w:sz w:val="15"/>
        </w:rPr>
        <w:t>23</w:t>
      </w:r>
      <w:r w:rsidR="008A74CE">
        <w:rPr>
          <w:rFonts w:ascii="Arial Black" w:hAnsi="Arial Black"/>
          <w:caps/>
          <w:sz w:val="15"/>
        </w:rPr>
        <w:t> décembre 20</w:t>
      </w:r>
      <w:r w:rsidR="00CF301E">
        <w:rPr>
          <w:rFonts w:ascii="Arial Black" w:hAnsi="Arial Black"/>
          <w:caps/>
          <w:sz w:val="15"/>
        </w:rPr>
        <w:t>24</w:t>
      </w:r>
    </w:p>
    <w:bookmarkEnd w:id="2"/>
    <w:p w14:paraId="2BD73049" w14:textId="69BBD1C5" w:rsidR="003845C1" w:rsidRPr="00B1090C" w:rsidRDefault="005E774D" w:rsidP="00B1090C">
      <w:pPr>
        <w:pStyle w:val="Heading1"/>
        <w:spacing w:before="0" w:after="480"/>
      </w:pPr>
      <w:r>
        <w:rPr>
          <w:caps w:val="0"/>
          <w:sz w:val="28"/>
        </w:rPr>
        <w:t>D</w:t>
      </w:r>
      <w:r w:rsidRPr="005E774D">
        <w:rPr>
          <w:caps w:val="0"/>
          <w:sz w:val="28"/>
        </w:rPr>
        <w:t>ialogue de haut niveau de l</w:t>
      </w:r>
      <w:r w:rsidR="008A74CE">
        <w:rPr>
          <w:caps w:val="0"/>
          <w:sz w:val="28"/>
        </w:rPr>
        <w:t>’</w:t>
      </w:r>
      <w:r>
        <w:rPr>
          <w:caps w:val="0"/>
          <w:sz w:val="28"/>
        </w:rPr>
        <w:t>OMPI</w:t>
      </w:r>
      <w:r w:rsidRPr="005E774D">
        <w:rPr>
          <w:caps w:val="0"/>
          <w:sz w:val="28"/>
        </w:rPr>
        <w:t xml:space="preserve"> sur le numérique </w:t>
      </w:r>
      <w:r w:rsidRPr="005E774D">
        <w:rPr>
          <w:sz w:val="28"/>
        </w:rPr>
        <w:t>(WILD)</w:t>
      </w:r>
    </w:p>
    <w:p w14:paraId="7964370F" w14:textId="77777777" w:rsidR="00FE19E9" w:rsidRDefault="005E774D" w:rsidP="00FE19E9">
      <w:pPr>
        <w:outlineLvl w:val="1"/>
        <w:rPr>
          <w:b/>
          <w:sz w:val="24"/>
          <w:szCs w:val="24"/>
        </w:rPr>
      </w:pPr>
      <w:r w:rsidRPr="005E774D">
        <w:rPr>
          <w:b/>
          <w:sz w:val="24"/>
          <w:szCs w:val="24"/>
        </w:rPr>
        <w:t>Première session</w:t>
      </w:r>
    </w:p>
    <w:p w14:paraId="14A132C9" w14:textId="507FBB59" w:rsidR="008B2CC1" w:rsidRDefault="005E774D" w:rsidP="00844F62">
      <w:pPr>
        <w:spacing w:after="240"/>
        <w:outlineLvl w:val="1"/>
        <w:rPr>
          <w:b/>
          <w:sz w:val="24"/>
          <w:szCs w:val="24"/>
        </w:rPr>
      </w:pPr>
      <w:r w:rsidRPr="005E774D">
        <w:rPr>
          <w:b/>
          <w:sz w:val="24"/>
          <w:szCs w:val="24"/>
        </w:rPr>
        <w:t xml:space="preserve">Genève, 14 </w:t>
      </w:r>
      <w:r w:rsidR="008A74CE">
        <w:rPr>
          <w:b/>
          <w:sz w:val="24"/>
          <w:szCs w:val="24"/>
        </w:rPr>
        <w:t xml:space="preserve">– </w:t>
      </w:r>
      <w:r w:rsidRPr="005E774D">
        <w:rPr>
          <w:b/>
          <w:sz w:val="24"/>
          <w:szCs w:val="24"/>
        </w:rPr>
        <w:t>16</w:t>
      </w:r>
      <w:r w:rsidR="008A74CE">
        <w:rPr>
          <w:b/>
          <w:sz w:val="24"/>
          <w:szCs w:val="24"/>
        </w:rPr>
        <w:t> </w:t>
      </w:r>
      <w:r w:rsidR="008A74CE" w:rsidRPr="005E774D">
        <w:rPr>
          <w:b/>
          <w:sz w:val="24"/>
          <w:szCs w:val="24"/>
        </w:rPr>
        <w:t>avril</w:t>
      </w:r>
      <w:r w:rsidR="008A74CE">
        <w:rPr>
          <w:b/>
          <w:sz w:val="24"/>
          <w:szCs w:val="24"/>
        </w:rPr>
        <w:t> </w:t>
      </w:r>
      <w:r w:rsidR="008A74CE" w:rsidRPr="005E774D">
        <w:rPr>
          <w:b/>
          <w:sz w:val="24"/>
          <w:szCs w:val="24"/>
        </w:rPr>
        <w:t>20</w:t>
      </w:r>
      <w:r w:rsidRPr="005E774D">
        <w:rPr>
          <w:b/>
          <w:sz w:val="24"/>
          <w:szCs w:val="24"/>
        </w:rPr>
        <w:t>25</w:t>
      </w:r>
    </w:p>
    <w:p w14:paraId="544E743B" w14:textId="77777777" w:rsidR="00DF456C" w:rsidRDefault="00DF456C" w:rsidP="00844F62">
      <w:pPr>
        <w:spacing w:before="240" w:after="360"/>
        <w:rPr>
          <w:caps/>
          <w:sz w:val="24"/>
        </w:rPr>
      </w:pPr>
      <w:bookmarkStart w:id="3" w:name="TitleOfDoc"/>
    </w:p>
    <w:p w14:paraId="5FDB3F88" w14:textId="1856C84A" w:rsidR="00844F62" w:rsidRPr="00842A13" w:rsidRDefault="00844F62" w:rsidP="00844F62">
      <w:pPr>
        <w:spacing w:before="240" w:after="360"/>
        <w:rPr>
          <w:caps/>
          <w:sz w:val="24"/>
        </w:rPr>
      </w:pPr>
      <w:r>
        <w:rPr>
          <w:caps/>
          <w:sz w:val="24"/>
        </w:rPr>
        <w:t>Projet d’ordre du jour</w:t>
      </w:r>
    </w:p>
    <w:p w14:paraId="79211F11" w14:textId="77777777" w:rsidR="00844F62" w:rsidRPr="001876F0" w:rsidRDefault="00844F62" w:rsidP="00844F62">
      <w:pPr>
        <w:spacing w:after="480"/>
        <w:rPr>
          <w:i/>
        </w:rPr>
      </w:pPr>
      <w:bookmarkStart w:id="4" w:name="Prepared"/>
      <w:bookmarkEnd w:id="3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bookmarkEnd w:id="4"/>
    <w:p w14:paraId="0C56C7EB" w14:textId="388EDB38" w:rsidR="008A74CE" w:rsidRDefault="00CF301E" w:rsidP="00DF456C">
      <w:pPr>
        <w:spacing w:before="600" w:after="220"/>
        <w:ind w:left="2268" w:hanging="2268"/>
      </w:pPr>
      <w:r>
        <w:rPr>
          <w:b/>
          <w:u w:val="single"/>
        </w:rPr>
        <w:t>Lundi 14 </w:t>
      </w:r>
      <w:r w:rsidR="008A74CE">
        <w:rPr>
          <w:b/>
          <w:u w:val="single"/>
        </w:rPr>
        <w:t>avril 20</w:t>
      </w:r>
      <w:r>
        <w:rPr>
          <w:b/>
          <w:u w:val="single"/>
        </w:rPr>
        <w:t>25</w:t>
      </w:r>
      <w:r w:rsidR="008A74CE">
        <w:rPr>
          <w:b/>
          <w:u w:val="single"/>
        </w:rPr>
        <w:t> :</w:t>
      </w:r>
      <w:r>
        <w:rPr>
          <w:b/>
          <w:u w:val="single"/>
        </w:rPr>
        <w:t xml:space="preserve"> Préparer le terrain pour la transformation numérique</w:t>
      </w:r>
    </w:p>
    <w:p w14:paraId="0FBC487C" w14:textId="6569A962" w:rsidR="00CF301E" w:rsidRPr="007C6B25" w:rsidRDefault="00CF301E" w:rsidP="008A74CE">
      <w:pPr>
        <w:spacing w:before="60" w:after="120"/>
        <w:ind w:left="2268" w:hanging="2268"/>
        <w:rPr>
          <w:rFonts w:eastAsia="Malgun Gothic"/>
          <w:b/>
        </w:rPr>
      </w:pPr>
      <w:r>
        <w:t xml:space="preserve">9 h 30 – 9 h 40 </w:t>
      </w:r>
      <w:r>
        <w:tab/>
      </w:r>
      <w:r>
        <w:rPr>
          <w:b/>
          <w:bCs/>
        </w:rPr>
        <w:t>Discours d</w:t>
      </w:r>
      <w:r w:rsidR="008A74CE">
        <w:rPr>
          <w:b/>
          <w:bCs/>
        </w:rPr>
        <w:t>’</w:t>
      </w:r>
      <w:r>
        <w:rPr>
          <w:b/>
          <w:bCs/>
        </w:rPr>
        <w:t>ouverture</w:t>
      </w:r>
    </w:p>
    <w:p w14:paraId="5ED1F352" w14:textId="4787A4AC" w:rsidR="008A74CE" w:rsidRDefault="00CF301E" w:rsidP="008A74CE">
      <w:pPr>
        <w:tabs>
          <w:tab w:val="left" w:pos="2268"/>
        </w:tabs>
        <w:spacing w:before="60" w:after="120"/>
        <w:ind w:left="2268" w:hanging="2268"/>
        <w:rPr>
          <w:b/>
        </w:rPr>
      </w:pPr>
      <w:r>
        <w:t>9 h 40 – 10 h 10</w:t>
      </w:r>
      <w:r>
        <w:tab/>
      </w:r>
      <w:r>
        <w:rPr>
          <w:b/>
          <w:bCs/>
        </w:rPr>
        <w:t>Thématique</w:t>
      </w:r>
      <w:r w:rsidR="008A74CE">
        <w:rPr>
          <w:b/>
          <w:bCs/>
        </w:rPr>
        <w:t> </w:t>
      </w:r>
      <w:r>
        <w:rPr>
          <w:b/>
          <w:bCs/>
        </w:rPr>
        <w:t>1</w:t>
      </w:r>
      <w:r w:rsidR="008A74CE">
        <w:rPr>
          <w:b/>
          <w:bCs/>
        </w:rPr>
        <w:t> :</w:t>
      </w:r>
      <w:r>
        <w:t xml:space="preserve"> </w:t>
      </w:r>
      <w:r>
        <w:rPr>
          <w:b/>
        </w:rPr>
        <w:t>L</w:t>
      </w:r>
      <w:r w:rsidR="008A74CE">
        <w:rPr>
          <w:b/>
        </w:rPr>
        <w:t>’</w:t>
      </w:r>
      <w:r>
        <w:rPr>
          <w:b/>
        </w:rPr>
        <w:t>évolution du numérique et ses conséquences sur les activités et les services</w:t>
      </w:r>
    </w:p>
    <w:p w14:paraId="2C8CA8FA" w14:textId="62BD72B0" w:rsidR="00CF301E" w:rsidRPr="00ED3A59" w:rsidRDefault="00CF301E" w:rsidP="008A74CE">
      <w:pPr>
        <w:tabs>
          <w:tab w:val="left" w:pos="2268"/>
        </w:tabs>
        <w:spacing w:before="60" w:after="120"/>
        <w:ind w:left="2275" w:hanging="2275"/>
        <w:contextualSpacing/>
        <w:rPr>
          <w:b/>
        </w:rPr>
      </w:pPr>
      <w:bookmarkStart w:id="5" w:name="_Hlk166579999"/>
      <w:r>
        <w:t>10 h 10 – 12 h 30</w:t>
      </w:r>
      <w:r>
        <w:tab/>
      </w:r>
      <w:r>
        <w:rPr>
          <w:b/>
          <w:bCs/>
        </w:rPr>
        <w:t>Session</w:t>
      </w:r>
      <w:r w:rsidR="008A74CE">
        <w:rPr>
          <w:b/>
          <w:bCs/>
        </w:rPr>
        <w:t> </w:t>
      </w:r>
      <w:r>
        <w:rPr>
          <w:b/>
          <w:bCs/>
        </w:rPr>
        <w:t>1</w:t>
      </w:r>
      <w:r w:rsidR="008A74CE">
        <w:rPr>
          <w:b/>
          <w:bCs/>
        </w:rPr>
        <w:t> :</w:t>
      </w:r>
      <w:r>
        <w:rPr>
          <w:b/>
        </w:rPr>
        <w:t xml:space="preserve"> Stratégie numérique et tendances technologiques</w:t>
      </w:r>
    </w:p>
    <w:p w14:paraId="2B3B43D5" w14:textId="4FD7A73B" w:rsidR="00CF301E" w:rsidRPr="000B6534" w:rsidRDefault="00CF301E" w:rsidP="008A74CE">
      <w:pPr>
        <w:pStyle w:val="ListParagraph"/>
        <w:numPr>
          <w:ilvl w:val="0"/>
          <w:numId w:val="8"/>
        </w:numPr>
        <w:tabs>
          <w:tab w:val="left" w:pos="2268"/>
        </w:tabs>
        <w:spacing w:before="60" w:after="120"/>
        <w:rPr>
          <w:rFonts w:eastAsia="Malgun Gothic"/>
        </w:rPr>
      </w:pPr>
      <w:r>
        <w:t>Les technologies émergentes</w:t>
      </w:r>
      <w:r w:rsidR="008A74CE">
        <w:t> :</w:t>
      </w:r>
      <w:r>
        <w:t xml:space="preserve"> principaux enjeux et perspectives</w:t>
      </w:r>
    </w:p>
    <w:p w14:paraId="1BA60106" w14:textId="5FD96A47" w:rsidR="00CF301E" w:rsidRPr="000B6534" w:rsidRDefault="00CF301E" w:rsidP="008A74CE">
      <w:pPr>
        <w:pStyle w:val="ListParagraph"/>
        <w:numPr>
          <w:ilvl w:val="0"/>
          <w:numId w:val="8"/>
        </w:numPr>
        <w:tabs>
          <w:tab w:val="left" w:pos="2268"/>
        </w:tabs>
        <w:spacing w:before="60" w:after="120"/>
        <w:rPr>
          <w:rFonts w:eastAsia="Malgun Gothic"/>
        </w:rPr>
      </w:pPr>
      <w:r>
        <w:t>Stratégie d</w:t>
      </w:r>
      <w:r w:rsidR="008A74CE">
        <w:t>’</w:t>
      </w:r>
      <w:r>
        <w:t>entreprise en matière de numérique et pratiques optimales</w:t>
      </w:r>
    </w:p>
    <w:p w14:paraId="4A81F0F6" w14:textId="4ACFD469" w:rsidR="00CF301E" w:rsidRDefault="00CF301E" w:rsidP="008A74CE">
      <w:pPr>
        <w:pStyle w:val="ListParagraph"/>
        <w:numPr>
          <w:ilvl w:val="0"/>
          <w:numId w:val="8"/>
        </w:numPr>
        <w:tabs>
          <w:tab w:val="left" w:pos="2268"/>
        </w:tabs>
        <w:spacing w:before="60" w:after="120"/>
        <w:rPr>
          <w:rFonts w:eastAsia="Malgun Gothic"/>
        </w:rPr>
      </w:pPr>
      <w:r>
        <w:t>Partage des responsabilités avec les dirigeants d</w:t>
      </w:r>
      <w:r w:rsidR="008A74CE">
        <w:t>’</w:t>
      </w:r>
      <w:r>
        <w:t>entreprise</w:t>
      </w:r>
    </w:p>
    <w:p w14:paraId="7605E687" w14:textId="77777777" w:rsidR="00CF301E" w:rsidRPr="000B6534" w:rsidRDefault="00CF301E" w:rsidP="008A74CE">
      <w:pPr>
        <w:pStyle w:val="ListParagraph"/>
        <w:numPr>
          <w:ilvl w:val="0"/>
          <w:numId w:val="8"/>
        </w:numPr>
        <w:tabs>
          <w:tab w:val="left" w:pos="2268"/>
        </w:tabs>
        <w:spacing w:before="60" w:after="120"/>
        <w:rPr>
          <w:rFonts w:eastAsia="Malgun Gothic"/>
        </w:rPr>
      </w:pPr>
      <w:r>
        <w:t>Transformation numérique et défis clés</w:t>
      </w:r>
    </w:p>
    <w:p w14:paraId="5B69CF17" w14:textId="77777777" w:rsidR="00CF301E" w:rsidRPr="000B6534" w:rsidRDefault="00CF301E" w:rsidP="008A74CE">
      <w:pPr>
        <w:pStyle w:val="ListParagraph"/>
        <w:numPr>
          <w:ilvl w:val="0"/>
          <w:numId w:val="8"/>
        </w:numPr>
        <w:tabs>
          <w:tab w:val="left" w:pos="2268"/>
        </w:tabs>
        <w:spacing w:before="60" w:after="120"/>
        <w:rPr>
          <w:rFonts w:eastAsia="Malgun Gothic"/>
        </w:rPr>
      </w:pPr>
      <w:r>
        <w:t>Stratégie et gouvernance en matière de données</w:t>
      </w:r>
    </w:p>
    <w:p w14:paraId="72F60346" w14:textId="77777777" w:rsidR="008A74CE" w:rsidRDefault="00CF301E" w:rsidP="008A74CE">
      <w:pPr>
        <w:pStyle w:val="ListParagraph"/>
        <w:numPr>
          <w:ilvl w:val="0"/>
          <w:numId w:val="8"/>
        </w:numPr>
        <w:tabs>
          <w:tab w:val="left" w:pos="2268"/>
        </w:tabs>
        <w:spacing w:before="60" w:after="120"/>
      </w:pPr>
      <w:proofErr w:type="spellStart"/>
      <w:r>
        <w:t>Cyberrésilience</w:t>
      </w:r>
      <w:proofErr w:type="spellEnd"/>
      <w:r>
        <w:t xml:space="preserve"> et pratiques optimales</w:t>
      </w:r>
    </w:p>
    <w:p w14:paraId="2FEF35AF" w14:textId="377086F4" w:rsidR="00CF301E" w:rsidRPr="00017335" w:rsidRDefault="00CF301E" w:rsidP="008A74CE">
      <w:pPr>
        <w:tabs>
          <w:tab w:val="left" w:pos="2268"/>
        </w:tabs>
        <w:spacing w:before="60" w:after="120"/>
        <w:ind w:left="2268" w:hanging="2268"/>
        <w:rPr>
          <w:rFonts w:eastAsia="Malgun Gothic"/>
          <w:bCs/>
        </w:rPr>
      </w:pPr>
      <w:r>
        <w:t>12 h 30 – 14 h 30</w:t>
      </w:r>
      <w:r>
        <w:tab/>
        <w:t>Pause déjeuner</w:t>
      </w:r>
    </w:p>
    <w:p w14:paraId="06EB3B8A" w14:textId="2BF542EB" w:rsidR="00CF301E" w:rsidRPr="00ED3A59" w:rsidRDefault="00CF301E" w:rsidP="008A74CE">
      <w:pPr>
        <w:tabs>
          <w:tab w:val="left" w:pos="2268"/>
        </w:tabs>
        <w:spacing w:before="60" w:after="120"/>
        <w:ind w:left="2268" w:hanging="2268"/>
        <w:rPr>
          <w:b/>
        </w:rPr>
      </w:pPr>
      <w:r>
        <w:t xml:space="preserve">14 h 30 – 16 h 20 </w:t>
      </w:r>
      <w:r>
        <w:tab/>
      </w:r>
      <w:r>
        <w:rPr>
          <w:b/>
          <w:bCs/>
        </w:rPr>
        <w:t>Session</w:t>
      </w:r>
      <w:r w:rsidR="008A74CE">
        <w:rPr>
          <w:b/>
          <w:bCs/>
        </w:rPr>
        <w:t> </w:t>
      </w:r>
      <w:r>
        <w:rPr>
          <w:b/>
          <w:bCs/>
        </w:rPr>
        <w:t>1 (suite)</w:t>
      </w:r>
      <w:r w:rsidR="008A74CE">
        <w:rPr>
          <w:b/>
          <w:bCs/>
        </w:rPr>
        <w:t> :</w:t>
      </w:r>
      <w:r>
        <w:t xml:space="preserve"> </w:t>
      </w:r>
      <w:r>
        <w:rPr>
          <w:b/>
        </w:rPr>
        <w:t>Stratégie numérique et tendances technologiques</w:t>
      </w:r>
    </w:p>
    <w:p w14:paraId="0957E31F" w14:textId="70C94EE2" w:rsidR="00CF301E" w:rsidRPr="00C87BF2" w:rsidRDefault="00CF301E" w:rsidP="008A74CE">
      <w:pPr>
        <w:tabs>
          <w:tab w:val="left" w:pos="2268"/>
        </w:tabs>
        <w:spacing w:before="60" w:after="120"/>
        <w:ind w:left="2268" w:hanging="2268"/>
        <w:rPr>
          <w:rFonts w:eastAsia="Malgun Gothic"/>
          <w:b/>
          <w:bCs/>
        </w:rPr>
      </w:pPr>
      <w:r>
        <w:t>16 h 20 – 17 h 20</w:t>
      </w:r>
      <w:r>
        <w:tab/>
      </w:r>
      <w:r>
        <w:rPr>
          <w:b/>
          <w:bCs/>
        </w:rPr>
        <w:t>Débat</w:t>
      </w:r>
      <w:r w:rsidR="008A74CE">
        <w:rPr>
          <w:b/>
          <w:bCs/>
        </w:rPr>
        <w:t> </w:t>
      </w:r>
      <w:r>
        <w:rPr>
          <w:b/>
          <w:bCs/>
        </w:rPr>
        <w:t>1</w:t>
      </w:r>
      <w:r w:rsidR="008A74CE">
        <w:rPr>
          <w:b/>
          <w:bCs/>
        </w:rPr>
        <w:t> :</w:t>
      </w:r>
      <w:r>
        <w:rPr>
          <w:b/>
        </w:rPr>
        <w:t xml:space="preserve"> Incidence des tendances de la technologie</w:t>
      </w:r>
    </w:p>
    <w:p w14:paraId="07D67046" w14:textId="77777777" w:rsidR="008A74CE" w:rsidRDefault="00CF301E" w:rsidP="008A74CE">
      <w:pPr>
        <w:tabs>
          <w:tab w:val="left" w:pos="2268"/>
        </w:tabs>
        <w:spacing w:before="60" w:after="120"/>
        <w:rPr>
          <w:b/>
          <w:bCs/>
        </w:rPr>
      </w:pPr>
      <w:r>
        <w:t>17 h 20 – 17 h 30</w:t>
      </w:r>
      <w:r>
        <w:tab/>
      </w:r>
      <w:r>
        <w:rPr>
          <w:b/>
          <w:bCs/>
        </w:rPr>
        <w:t>Clôture de la première journée</w:t>
      </w:r>
    </w:p>
    <w:p w14:paraId="0F1390BC" w14:textId="77777777" w:rsidR="00CF301E" w:rsidRDefault="00CF301E" w:rsidP="00CF301E">
      <w:pPr>
        <w:rPr>
          <w:rFonts w:eastAsia="Malgun Gothic"/>
          <w:b/>
          <w:szCs w:val="26"/>
          <w:u w:val="single"/>
        </w:rPr>
      </w:pPr>
      <w:r>
        <w:br w:type="page"/>
      </w:r>
    </w:p>
    <w:p w14:paraId="7CA42E32" w14:textId="513A04EB" w:rsidR="00CF301E" w:rsidRPr="00313AB9" w:rsidRDefault="00CF301E" w:rsidP="00CF301E">
      <w:pPr>
        <w:tabs>
          <w:tab w:val="left" w:pos="567"/>
          <w:tab w:val="left" w:pos="1134"/>
        </w:tabs>
        <w:spacing w:before="220" w:after="220"/>
        <w:rPr>
          <w:b/>
          <w:szCs w:val="26"/>
          <w:u w:val="single"/>
        </w:rPr>
      </w:pPr>
      <w:r>
        <w:rPr>
          <w:b/>
          <w:u w:val="single"/>
        </w:rPr>
        <w:lastRenderedPageBreak/>
        <w:t>Mardi 15 </w:t>
      </w:r>
      <w:r w:rsidR="008A74CE">
        <w:rPr>
          <w:b/>
          <w:u w:val="single"/>
        </w:rPr>
        <w:t>avril 20</w:t>
      </w:r>
      <w:r>
        <w:rPr>
          <w:b/>
          <w:u w:val="single"/>
        </w:rPr>
        <w:t>25</w:t>
      </w:r>
      <w:r w:rsidR="008A74CE">
        <w:rPr>
          <w:b/>
          <w:u w:val="single"/>
        </w:rPr>
        <w:t> :</w:t>
      </w:r>
      <w:r>
        <w:rPr>
          <w:b/>
          <w:u w:val="single"/>
        </w:rPr>
        <w:t xml:space="preserve"> Mettre les technologies émergentes au service de la propriété intellectuelle</w:t>
      </w:r>
    </w:p>
    <w:p w14:paraId="539DA926" w14:textId="0BDA04EB" w:rsidR="008A74CE" w:rsidRDefault="00CF301E" w:rsidP="008A74CE">
      <w:pPr>
        <w:tabs>
          <w:tab w:val="left" w:pos="2268"/>
        </w:tabs>
        <w:spacing w:before="120" w:after="120"/>
        <w:ind w:left="2268" w:hanging="2268"/>
        <w:rPr>
          <w:b/>
        </w:rPr>
      </w:pPr>
      <w:r>
        <w:t>9 h 30 – 10 h</w:t>
      </w:r>
      <w:r w:rsidR="008A74CE">
        <w:t> </w:t>
      </w:r>
      <w:r>
        <w:t>00</w:t>
      </w:r>
      <w:r>
        <w:tab/>
      </w:r>
      <w:r>
        <w:tab/>
      </w:r>
      <w:r>
        <w:rPr>
          <w:b/>
          <w:bCs/>
        </w:rPr>
        <w:t>Thématique</w:t>
      </w:r>
      <w:r w:rsidR="008A74CE">
        <w:rPr>
          <w:b/>
          <w:bCs/>
        </w:rPr>
        <w:t> </w:t>
      </w:r>
      <w:r>
        <w:rPr>
          <w:b/>
          <w:bCs/>
        </w:rPr>
        <w:t>2</w:t>
      </w:r>
      <w:r w:rsidR="008A74CE">
        <w:rPr>
          <w:b/>
          <w:bCs/>
        </w:rPr>
        <w:t> :</w:t>
      </w:r>
      <w:r>
        <w:rPr>
          <w:b/>
        </w:rPr>
        <w:t xml:space="preserve"> L</w:t>
      </w:r>
      <w:r w:rsidR="008A74CE">
        <w:rPr>
          <w:b/>
        </w:rPr>
        <w:t>’</w:t>
      </w:r>
      <w:r>
        <w:rPr>
          <w:b/>
        </w:rPr>
        <w:t>incidence des technologies émergentes sur la transformation des activités et des services de propriété intellectuelle</w:t>
      </w:r>
    </w:p>
    <w:p w14:paraId="0C0E8578" w14:textId="5ACDF5D6" w:rsidR="008A74CE" w:rsidRDefault="00CF301E" w:rsidP="008A74CE">
      <w:pPr>
        <w:tabs>
          <w:tab w:val="left" w:pos="2268"/>
        </w:tabs>
        <w:spacing w:before="120" w:after="120"/>
        <w:ind w:left="2268" w:hanging="2268"/>
        <w:rPr>
          <w:b/>
        </w:rPr>
      </w:pPr>
      <w:r>
        <w:t>10 h 00 – 12 h 30</w:t>
      </w:r>
      <w:r>
        <w:tab/>
      </w:r>
      <w:r>
        <w:rPr>
          <w:b/>
          <w:bCs/>
        </w:rPr>
        <w:t>Session</w:t>
      </w:r>
      <w:r w:rsidR="008A74CE">
        <w:rPr>
          <w:b/>
          <w:bCs/>
        </w:rPr>
        <w:t> </w:t>
      </w:r>
      <w:r>
        <w:rPr>
          <w:b/>
          <w:bCs/>
        </w:rPr>
        <w:t>2</w:t>
      </w:r>
      <w:r w:rsidR="008A74CE">
        <w:rPr>
          <w:b/>
          <w:bCs/>
        </w:rPr>
        <w:t> :</w:t>
      </w:r>
      <w:r>
        <w:rPr>
          <w:b/>
        </w:rPr>
        <w:t xml:space="preserve"> Technologies émergentes et panorama de l</w:t>
      </w:r>
      <w:r w:rsidR="008A74CE">
        <w:rPr>
          <w:b/>
        </w:rPr>
        <w:t>’</w:t>
      </w:r>
      <w:r>
        <w:rPr>
          <w:b/>
        </w:rPr>
        <w:t>activité en matière de propriété intellectuelle</w:t>
      </w:r>
    </w:p>
    <w:p w14:paraId="6DA72614" w14:textId="62E87CF4" w:rsidR="00CF301E" w:rsidRPr="004E1979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120"/>
        <w:ind w:left="2835" w:hanging="567"/>
      </w:pPr>
      <w:r>
        <w:t>Répercussions des technologies émergentes sur les écosystèmes de propriété intellectuelle</w:t>
      </w:r>
    </w:p>
    <w:p w14:paraId="406CB87D" w14:textId="492C4A77" w:rsidR="00CF301E" w:rsidRPr="00817B91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120"/>
        <w:ind w:left="2835" w:hanging="567"/>
      </w:pPr>
      <w:r>
        <w:t>Outils d</w:t>
      </w:r>
      <w:r w:rsidR="008A74CE">
        <w:t>’</w:t>
      </w:r>
      <w:r>
        <w:t>intelligence artificielle pour les activités de propriété intellectuelle</w:t>
      </w:r>
    </w:p>
    <w:p w14:paraId="55747737" w14:textId="02A2E438" w:rsidR="008A74CE" w:rsidRDefault="00CF301E" w:rsidP="00D3542F">
      <w:pPr>
        <w:pStyle w:val="ListParagraph"/>
        <w:numPr>
          <w:ilvl w:val="0"/>
          <w:numId w:val="7"/>
        </w:numPr>
        <w:tabs>
          <w:tab w:val="left" w:pos="2268"/>
        </w:tabs>
        <w:spacing w:before="60" w:after="120"/>
        <w:ind w:left="2835" w:hanging="567"/>
      </w:pPr>
      <w:r>
        <w:t>Technologies émergentes pour les petits offices de propriété intellectuelle</w:t>
      </w:r>
      <w:r w:rsidR="008A74CE">
        <w:t> :</w:t>
      </w:r>
      <w:r>
        <w:t xml:space="preserve"> des approches sur mesure afin d</w:t>
      </w:r>
      <w:r w:rsidR="008A74CE">
        <w:t>’</w:t>
      </w:r>
      <w:r>
        <w:t>autonomiser les petits offices de propriété intellectuelle à l</w:t>
      </w:r>
      <w:r w:rsidR="008A74CE">
        <w:t>’</w:t>
      </w:r>
      <w:r>
        <w:t>ère numérique</w:t>
      </w:r>
    </w:p>
    <w:p w14:paraId="467A8694" w14:textId="626EF331" w:rsidR="00CF301E" w:rsidRPr="00017335" w:rsidRDefault="00CF301E" w:rsidP="008A74CE">
      <w:pPr>
        <w:tabs>
          <w:tab w:val="left" w:pos="2268"/>
        </w:tabs>
        <w:spacing w:before="120" w:after="120"/>
        <w:ind w:left="2268" w:hanging="2268"/>
        <w:rPr>
          <w:rFonts w:eastAsia="Malgun Gothic"/>
          <w:bCs/>
        </w:rPr>
      </w:pPr>
      <w:r>
        <w:t>12 h 30 – 14 h 30</w:t>
      </w:r>
      <w:r>
        <w:tab/>
        <w:t>Pause déjeuner</w:t>
      </w:r>
    </w:p>
    <w:p w14:paraId="6E701C94" w14:textId="02F74EC9" w:rsidR="008A74CE" w:rsidRDefault="00CF301E" w:rsidP="008A74CE">
      <w:pPr>
        <w:tabs>
          <w:tab w:val="left" w:pos="2268"/>
        </w:tabs>
        <w:spacing w:before="120" w:after="120"/>
        <w:ind w:left="2268" w:hanging="2268"/>
        <w:rPr>
          <w:b/>
        </w:rPr>
      </w:pPr>
      <w:r>
        <w:t>14 h 30 – 16 h 20</w:t>
      </w:r>
      <w:r>
        <w:tab/>
      </w:r>
      <w:r>
        <w:rPr>
          <w:b/>
          <w:bCs/>
        </w:rPr>
        <w:t>Session</w:t>
      </w:r>
      <w:r w:rsidR="008A74CE">
        <w:rPr>
          <w:b/>
          <w:bCs/>
        </w:rPr>
        <w:t> </w:t>
      </w:r>
      <w:r>
        <w:rPr>
          <w:b/>
          <w:bCs/>
        </w:rPr>
        <w:t>2 (suite)</w:t>
      </w:r>
      <w:r w:rsidR="008A74CE">
        <w:rPr>
          <w:b/>
          <w:bCs/>
        </w:rPr>
        <w:t> :</w:t>
      </w:r>
      <w:r>
        <w:t xml:space="preserve"> </w:t>
      </w:r>
      <w:r>
        <w:rPr>
          <w:b/>
        </w:rPr>
        <w:t>Technologies émergentes et panorama de l</w:t>
      </w:r>
      <w:r w:rsidR="008A74CE">
        <w:rPr>
          <w:b/>
        </w:rPr>
        <w:t>’</w:t>
      </w:r>
      <w:r>
        <w:rPr>
          <w:b/>
        </w:rPr>
        <w:t>activité en matière de propriété intellectuelle</w:t>
      </w:r>
    </w:p>
    <w:p w14:paraId="6E34168C" w14:textId="4E8CAC37" w:rsidR="00CF301E" w:rsidRPr="00711EBD" w:rsidRDefault="00CF301E" w:rsidP="008A74CE">
      <w:pPr>
        <w:tabs>
          <w:tab w:val="left" w:pos="2268"/>
        </w:tabs>
        <w:spacing w:before="120" w:after="120"/>
        <w:ind w:left="2265" w:hanging="2265"/>
        <w:rPr>
          <w:rFonts w:eastAsia="Malgun Gothic"/>
        </w:rPr>
      </w:pPr>
      <w:r>
        <w:t>16 h 20 – 17 h 20</w:t>
      </w:r>
      <w:r>
        <w:tab/>
      </w:r>
      <w:r>
        <w:rPr>
          <w:b/>
          <w:bCs/>
        </w:rPr>
        <w:t>Débat</w:t>
      </w:r>
      <w:r w:rsidR="008A74CE">
        <w:rPr>
          <w:b/>
          <w:bCs/>
        </w:rPr>
        <w:t> </w:t>
      </w:r>
      <w:r>
        <w:rPr>
          <w:b/>
          <w:bCs/>
        </w:rPr>
        <w:t>2</w:t>
      </w:r>
      <w:r w:rsidR="008A74CE">
        <w:rPr>
          <w:b/>
          <w:bCs/>
        </w:rPr>
        <w:t> :</w:t>
      </w:r>
      <w:r>
        <w:rPr>
          <w:b/>
        </w:rPr>
        <w:t xml:space="preserve"> Développer la collaboration sur les technologies émergentes pour les activités de propriété intellectuelle</w:t>
      </w:r>
    </w:p>
    <w:p w14:paraId="5F51F6AA" w14:textId="77777777" w:rsidR="00CF301E" w:rsidRPr="00633B0D" w:rsidRDefault="00CF301E" w:rsidP="008A74CE">
      <w:pPr>
        <w:tabs>
          <w:tab w:val="left" w:pos="2268"/>
        </w:tabs>
        <w:spacing w:before="120" w:after="120"/>
        <w:rPr>
          <w:rFonts w:eastAsia="Malgun Gothic"/>
          <w:b/>
        </w:rPr>
      </w:pPr>
      <w:r>
        <w:t>17 h 20 – 17 h 30</w:t>
      </w:r>
      <w:r>
        <w:tab/>
      </w:r>
      <w:r>
        <w:rPr>
          <w:b/>
          <w:bCs/>
        </w:rPr>
        <w:t>Clôture de la deuxième journée</w:t>
      </w:r>
    </w:p>
    <w:p w14:paraId="0C378DCF" w14:textId="33624169" w:rsidR="00CF301E" w:rsidRPr="00313AB9" w:rsidRDefault="00CF301E" w:rsidP="00D4059B">
      <w:pPr>
        <w:tabs>
          <w:tab w:val="left" w:pos="567"/>
          <w:tab w:val="left" w:pos="1134"/>
        </w:tabs>
        <w:spacing w:before="360" w:after="220"/>
        <w:rPr>
          <w:b/>
          <w:szCs w:val="26"/>
          <w:u w:val="single"/>
        </w:rPr>
      </w:pPr>
      <w:r>
        <w:rPr>
          <w:b/>
          <w:u w:val="single"/>
        </w:rPr>
        <w:t>Mercredi 16 </w:t>
      </w:r>
      <w:r w:rsidR="008A74CE">
        <w:rPr>
          <w:b/>
          <w:u w:val="single"/>
        </w:rPr>
        <w:t>avril 20</w:t>
      </w:r>
      <w:r>
        <w:rPr>
          <w:b/>
          <w:u w:val="single"/>
        </w:rPr>
        <w:t>25</w:t>
      </w:r>
      <w:r w:rsidR="008A74CE">
        <w:rPr>
          <w:b/>
          <w:u w:val="single"/>
        </w:rPr>
        <w:t> :</w:t>
      </w:r>
      <w:r>
        <w:rPr>
          <w:b/>
          <w:u w:val="single"/>
        </w:rPr>
        <w:t xml:space="preserve"> Renforcer la coopération mondiale et l</w:t>
      </w:r>
      <w:r w:rsidR="008A74CE">
        <w:rPr>
          <w:b/>
          <w:u w:val="single"/>
        </w:rPr>
        <w:t>’</w:t>
      </w:r>
      <w:r>
        <w:rPr>
          <w:b/>
          <w:u w:val="single"/>
        </w:rPr>
        <w:t>harmonisation</w:t>
      </w:r>
    </w:p>
    <w:p w14:paraId="4A47FC51" w14:textId="3D42622D" w:rsidR="00CF301E" w:rsidRPr="00ED3A59" w:rsidRDefault="00CF301E" w:rsidP="008A74CE">
      <w:pPr>
        <w:tabs>
          <w:tab w:val="left" w:pos="2268"/>
        </w:tabs>
        <w:spacing w:before="120" w:after="60"/>
        <w:ind w:left="2268" w:hanging="2268"/>
        <w:rPr>
          <w:b/>
        </w:rPr>
      </w:pPr>
      <w:r>
        <w:t>9 h 30 – 12 h 30</w:t>
      </w:r>
      <w:r>
        <w:tab/>
      </w:r>
      <w:r>
        <w:rPr>
          <w:b/>
          <w:bCs/>
        </w:rPr>
        <w:t>Session</w:t>
      </w:r>
      <w:r w:rsidR="008A74CE">
        <w:rPr>
          <w:b/>
          <w:bCs/>
        </w:rPr>
        <w:t> </w:t>
      </w:r>
      <w:r>
        <w:rPr>
          <w:b/>
          <w:bCs/>
        </w:rPr>
        <w:t>3</w:t>
      </w:r>
      <w:r w:rsidR="008A74CE">
        <w:rPr>
          <w:b/>
          <w:bCs/>
        </w:rPr>
        <w:t> :</w:t>
      </w:r>
      <w:r>
        <w:rPr>
          <w:b/>
        </w:rPr>
        <w:t xml:space="preserve"> Systèmes mondiaux d</w:t>
      </w:r>
      <w:r w:rsidR="008A74CE">
        <w:rPr>
          <w:b/>
        </w:rPr>
        <w:t>’</w:t>
      </w:r>
      <w:r>
        <w:rPr>
          <w:b/>
        </w:rPr>
        <w:t>information en matière de propriété intellectuelle et collaborations numériques</w:t>
      </w:r>
    </w:p>
    <w:p w14:paraId="727A7DB7" w14:textId="1C7168C5" w:rsidR="008A74CE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60"/>
        <w:ind w:left="2835" w:hanging="570"/>
      </w:pPr>
      <w:r>
        <w:t>Utiliser les normes de l</w:t>
      </w:r>
      <w:r w:rsidR="008A74CE">
        <w:t>’</w:t>
      </w:r>
      <w:r>
        <w:t>OMPI pour promouvoir l</w:t>
      </w:r>
      <w:r w:rsidR="008A74CE">
        <w:t>’</w:t>
      </w:r>
      <w:r>
        <w:t>harmonisation et la numérisation des systèmes d</w:t>
      </w:r>
      <w:r w:rsidR="008A74CE">
        <w:t>’</w:t>
      </w:r>
      <w:r>
        <w:t>information en matière de propriété intellectuelle</w:t>
      </w:r>
    </w:p>
    <w:p w14:paraId="21DFC32F" w14:textId="697F0AD2" w:rsidR="00CF301E" w:rsidRPr="00461A1F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60"/>
        <w:ind w:left="2835" w:hanging="570"/>
      </w:pPr>
      <w:r>
        <w:t>Plateformes mondiales d</w:t>
      </w:r>
      <w:r w:rsidR="008A74CE">
        <w:t>’</w:t>
      </w:r>
      <w:r>
        <w:t>échange et de partage de données sur la propriété intellectuelle</w:t>
      </w:r>
    </w:p>
    <w:p w14:paraId="204F98C6" w14:textId="290187E7" w:rsidR="00CF301E" w:rsidRPr="00461A1F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60"/>
        <w:ind w:left="2835" w:hanging="570"/>
      </w:pPr>
      <w:r>
        <w:t>Modernisation des services mondiaux d</w:t>
      </w:r>
      <w:r w:rsidR="008A74CE">
        <w:t>’</w:t>
      </w:r>
      <w:r>
        <w:t>information en matière de propriété intellectuelle</w:t>
      </w:r>
    </w:p>
    <w:p w14:paraId="28A4AE56" w14:textId="7E335C5C" w:rsidR="00CF301E" w:rsidRPr="00817B91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60"/>
        <w:ind w:left="2835" w:hanging="570"/>
      </w:pPr>
      <w:r>
        <w:t>Projets et collaborations transfrontières dans le domaine</w:t>
      </w:r>
      <w:r w:rsidR="008A74CE">
        <w:t xml:space="preserve"> des TIC :</w:t>
      </w:r>
      <w:r>
        <w:t xml:space="preserve"> possibilités de partenariats multilatéraux et de partage des ressources</w:t>
      </w:r>
    </w:p>
    <w:p w14:paraId="50C0DAE1" w14:textId="77777777" w:rsidR="00CF301E" w:rsidRPr="00461A1F" w:rsidRDefault="00CF301E" w:rsidP="00D3542F">
      <w:pPr>
        <w:pStyle w:val="ListParagraph"/>
        <w:numPr>
          <w:ilvl w:val="0"/>
          <w:numId w:val="9"/>
        </w:numPr>
        <w:tabs>
          <w:tab w:val="left" w:pos="2268"/>
        </w:tabs>
        <w:spacing w:before="60" w:after="60"/>
        <w:ind w:left="2835" w:hanging="570"/>
      </w:pPr>
      <w:r>
        <w:t>Combler le fossé numérique</w:t>
      </w:r>
    </w:p>
    <w:p w14:paraId="1199C813" w14:textId="77777777" w:rsidR="00CF301E" w:rsidRPr="00017335" w:rsidRDefault="00CF301E" w:rsidP="008A74CE">
      <w:pPr>
        <w:tabs>
          <w:tab w:val="left" w:pos="2268"/>
        </w:tabs>
        <w:spacing w:before="120" w:after="60"/>
        <w:ind w:left="2268" w:hanging="2268"/>
        <w:rPr>
          <w:rFonts w:eastAsia="Malgun Gothic"/>
          <w:bCs/>
        </w:rPr>
      </w:pPr>
      <w:r>
        <w:t xml:space="preserve">12 h 30 – 14 h 30 </w:t>
      </w:r>
      <w:r>
        <w:tab/>
        <w:t>Pause déjeuner</w:t>
      </w:r>
    </w:p>
    <w:p w14:paraId="539D4EAD" w14:textId="131B3C36" w:rsidR="00CF301E" w:rsidRPr="00ED3A59" w:rsidRDefault="00CF301E" w:rsidP="008A74CE">
      <w:pPr>
        <w:tabs>
          <w:tab w:val="left" w:pos="2268"/>
        </w:tabs>
        <w:spacing w:before="120" w:after="60"/>
        <w:ind w:left="2268" w:hanging="2268"/>
        <w:rPr>
          <w:b/>
        </w:rPr>
      </w:pPr>
      <w:r>
        <w:t>14 h 30 – 15 h 30</w:t>
      </w:r>
      <w:r>
        <w:tab/>
      </w:r>
      <w:r>
        <w:rPr>
          <w:b/>
          <w:bCs/>
        </w:rPr>
        <w:t>Session</w:t>
      </w:r>
      <w:r w:rsidR="008A74CE">
        <w:rPr>
          <w:b/>
          <w:bCs/>
        </w:rPr>
        <w:t> </w:t>
      </w:r>
      <w:r>
        <w:rPr>
          <w:b/>
          <w:bCs/>
        </w:rPr>
        <w:t>3 (suite)</w:t>
      </w:r>
      <w:r w:rsidR="008A74CE">
        <w:rPr>
          <w:b/>
          <w:bCs/>
        </w:rPr>
        <w:t> :</w:t>
      </w:r>
      <w:r>
        <w:rPr>
          <w:b/>
        </w:rPr>
        <w:t xml:space="preserve"> Systèmes mondiaux d</w:t>
      </w:r>
      <w:r w:rsidR="008A74CE">
        <w:rPr>
          <w:b/>
        </w:rPr>
        <w:t>’</w:t>
      </w:r>
      <w:r>
        <w:rPr>
          <w:b/>
        </w:rPr>
        <w:t>information en matière de propriété intellectuelle et collaborations numériques</w:t>
      </w:r>
    </w:p>
    <w:p w14:paraId="54E03184" w14:textId="058EAE38" w:rsidR="00CF301E" w:rsidRPr="00711EBD" w:rsidRDefault="00CF301E" w:rsidP="008A74CE">
      <w:pPr>
        <w:tabs>
          <w:tab w:val="left" w:pos="2268"/>
        </w:tabs>
        <w:spacing w:before="120" w:after="60"/>
        <w:ind w:left="2265" w:hanging="2265"/>
        <w:rPr>
          <w:rFonts w:eastAsia="Malgun Gothic"/>
        </w:rPr>
      </w:pPr>
      <w:r>
        <w:t>15 h 30 – 16 h 30</w:t>
      </w:r>
      <w:r>
        <w:tab/>
      </w:r>
      <w:r>
        <w:rPr>
          <w:b/>
          <w:bCs/>
        </w:rPr>
        <w:t>Débat</w:t>
      </w:r>
      <w:r w:rsidR="008A74CE">
        <w:rPr>
          <w:b/>
          <w:bCs/>
        </w:rPr>
        <w:t> </w:t>
      </w:r>
      <w:r>
        <w:rPr>
          <w:b/>
          <w:bCs/>
        </w:rPr>
        <w:t>3</w:t>
      </w:r>
      <w:r w:rsidR="008A74CE">
        <w:rPr>
          <w:b/>
          <w:bCs/>
        </w:rPr>
        <w:t> :</w:t>
      </w:r>
      <w:r>
        <w:rPr>
          <w:b/>
        </w:rPr>
        <w:t xml:space="preserve"> Renforcer la collaboration numérique entre les États membres</w:t>
      </w:r>
    </w:p>
    <w:p w14:paraId="098A8C66" w14:textId="69990C6E" w:rsidR="008A74CE" w:rsidRDefault="00CF301E" w:rsidP="008A74CE">
      <w:pPr>
        <w:tabs>
          <w:tab w:val="left" w:pos="2268"/>
        </w:tabs>
        <w:spacing w:before="120" w:after="60"/>
        <w:ind w:left="2268" w:hanging="2268"/>
        <w:rPr>
          <w:b/>
        </w:rPr>
      </w:pPr>
      <w:r>
        <w:t>16 h 30 – 17 h 20</w:t>
      </w:r>
      <w:r>
        <w:tab/>
      </w:r>
      <w:r>
        <w:rPr>
          <w:b/>
          <w:bCs/>
        </w:rPr>
        <w:t>Prochaines étapes</w:t>
      </w:r>
      <w:r w:rsidR="008A74CE">
        <w:rPr>
          <w:b/>
          <w:bCs/>
        </w:rPr>
        <w:t> :</w:t>
      </w:r>
      <w:r>
        <w:rPr>
          <w:b/>
        </w:rPr>
        <w:t xml:space="preserve"> les mesures essentielles à prendre par les offices de propriété intellectuelle et l</w:t>
      </w:r>
      <w:r w:rsidR="008A74CE">
        <w:rPr>
          <w:b/>
        </w:rPr>
        <w:t>’</w:t>
      </w:r>
      <w:r>
        <w:rPr>
          <w:b/>
        </w:rPr>
        <w:t>OMPI</w:t>
      </w:r>
    </w:p>
    <w:p w14:paraId="06C000AB" w14:textId="6035C319" w:rsidR="00CF301E" w:rsidRPr="00E36ACC" w:rsidRDefault="00CF301E" w:rsidP="008A74CE">
      <w:pPr>
        <w:tabs>
          <w:tab w:val="left" w:pos="2268"/>
        </w:tabs>
        <w:spacing w:before="120" w:after="220"/>
        <w:rPr>
          <w:rFonts w:eastAsia="Malgun Gothic"/>
          <w:b/>
        </w:rPr>
      </w:pPr>
      <w:r>
        <w:t>17 h 20 – 17 h 30</w:t>
      </w:r>
      <w:r>
        <w:tab/>
      </w:r>
      <w:r>
        <w:rPr>
          <w:b/>
          <w:bCs/>
        </w:rPr>
        <w:t>Discours de clôture</w:t>
      </w:r>
    </w:p>
    <w:bookmarkEnd w:id="5"/>
    <w:p w14:paraId="0EE66369" w14:textId="77777777" w:rsidR="00CF301E" w:rsidRPr="00D3542F" w:rsidRDefault="00CF301E" w:rsidP="00D4059B">
      <w:pPr>
        <w:pStyle w:val="Endofdocument-Annex"/>
        <w:spacing w:before="720"/>
        <w:rPr>
          <w:rFonts w:eastAsia="Malgun Gothic"/>
          <w:lang w:val="fr-FR"/>
        </w:rPr>
      </w:pPr>
      <w:r w:rsidRPr="00D3542F">
        <w:rPr>
          <w:lang w:val="fr-FR"/>
        </w:rPr>
        <w:t>[Fin du document]</w:t>
      </w:r>
    </w:p>
    <w:sectPr w:rsidR="00CF301E" w:rsidRPr="00D3542F" w:rsidSect="00CF301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997A1" w14:textId="77777777" w:rsidR="00CB6C41" w:rsidRDefault="00CB6C41">
      <w:r>
        <w:separator/>
      </w:r>
    </w:p>
  </w:endnote>
  <w:endnote w:type="continuationSeparator" w:id="0">
    <w:p w14:paraId="4255A4EB" w14:textId="77777777" w:rsidR="00CB6C41" w:rsidRPr="009D30E6" w:rsidRDefault="00CB6C4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AA4B637" w14:textId="77777777" w:rsidR="00CB6C41" w:rsidRPr="009D30E6" w:rsidRDefault="00CB6C4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8CD0774" w14:textId="77777777" w:rsidR="00CB6C41" w:rsidRPr="009D30E6" w:rsidRDefault="00CB6C4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A843" w14:textId="77777777" w:rsidR="00CB6C41" w:rsidRDefault="00CB6C41">
      <w:r>
        <w:separator/>
      </w:r>
    </w:p>
  </w:footnote>
  <w:footnote w:type="continuationSeparator" w:id="0">
    <w:p w14:paraId="26965885" w14:textId="77777777" w:rsidR="00CB6C41" w:rsidRDefault="00CB6C41" w:rsidP="007461F1">
      <w:r>
        <w:separator/>
      </w:r>
    </w:p>
    <w:p w14:paraId="70CEAD1F" w14:textId="77777777" w:rsidR="00CB6C41" w:rsidRPr="009D30E6" w:rsidRDefault="00CB6C4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801E40D" w14:textId="77777777" w:rsidR="00CB6C41" w:rsidRPr="009D30E6" w:rsidRDefault="00CB6C4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E67C" w14:textId="3392D49A" w:rsidR="00F16975" w:rsidRPr="00B45C15" w:rsidRDefault="00CF301E" w:rsidP="00477D6B">
    <w:pPr>
      <w:jc w:val="right"/>
      <w:rPr>
        <w:caps/>
      </w:rPr>
    </w:pPr>
    <w:bookmarkStart w:id="6" w:name="Code2"/>
    <w:bookmarkEnd w:id="6"/>
    <w:r>
      <w:rPr>
        <w:caps/>
      </w:rPr>
      <w:t>WILD/1/1 </w:t>
    </w:r>
    <w:r w:rsidR="00844F62">
      <w:rPr>
        <w:caps/>
      </w:rPr>
      <w:t>PROV</w:t>
    </w:r>
    <w:r>
      <w:rPr>
        <w:caps/>
      </w:rPr>
      <w:t>.</w:t>
    </w:r>
  </w:p>
  <w:p w14:paraId="3744CE31" w14:textId="7D133C6E" w:rsidR="00574036" w:rsidRDefault="00F16975" w:rsidP="00CF301E">
    <w:pPr>
      <w:spacing w:after="480"/>
      <w:jc w:val="right"/>
    </w:pPr>
    <w:r>
      <w:t>page</w:t>
    </w:r>
    <w:r w:rsidR="00CF301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3325B3B"/>
    <w:multiLevelType w:val="hybridMultilevel"/>
    <w:tmpl w:val="22509E22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F71EC3C8">
      <w:numFmt w:val="bullet"/>
      <w:lvlText w:val="•"/>
      <w:lvlJc w:val="left"/>
      <w:pPr>
        <w:ind w:left="3345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3CF707A2"/>
    <w:multiLevelType w:val="hybridMultilevel"/>
    <w:tmpl w:val="183E6666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B70C2C"/>
    <w:multiLevelType w:val="hybridMultilevel"/>
    <w:tmpl w:val="C10EA76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AE43010">
      <w:numFmt w:val="bullet"/>
      <w:lvlText w:val="•"/>
      <w:lvlJc w:val="left"/>
      <w:pPr>
        <w:ind w:left="3348" w:hanging="360"/>
      </w:pPr>
      <w:rPr>
        <w:rFonts w:ascii="Arial" w:eastAsia="Malgun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576344">
    <w:abstractNumId w:val="2"/>
  </w:num>
  <w:num w:numId="2" w16cid:durableId="614946565">
    <w:abstractNumId w:val="6"/>
  </w:num>
  <w:num w:numId="3" w16cid:durableId="1769229248">
    <w:abstractNumId w:val="0"/>
  </w:num>
  <w:num w:numId="4" w16cid:durableId="442458561">
    <w:abstractNumId w:val="8"/>
  </w:num>
  <w:num w:numId="5" w16cid:durableId="879979028">
    <w:abstractNumId w:val="1"/>
  </w:num>
  <w:num w:numId="6" w16cid:durableId="323290238">
    <w:abstractNumId w:val="3"/>
  </w:num>
  <w:num w:numId="7" w16cid:durableId="1083114066">
    <w:abstractNumId w:val="5"/>
  </w:num>
  <w:num w:numId="8" w16cid:durableId="2039619277">
    <w:abstractNumId w:val="7"/>
  </w:num>
  <w:num w:numId="9" w16cid:durableId="152058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1E"/>
    <w:rsid w:val="00011B7D"/>
    <w:rsid w:val="00075432"/>
    <w:rsid w:val="0009458A"/>
    <w:rsid w:val="000D7ED1"/>
    <w:rsid w:val="000F5E56"/>
    <w:rsid w:val="001362EE"/>
    <w:rsid w:val="00161C20"/>
    <w:rsid w:val="001832A6"/>
    <w:rsid w:val="00195C6E"/>
    <w:rsid w:val="001B266A"/>
    <w:rsid w:val="001B488E"/>
    <w:rsid w:val="001C6508"/>
    <w:rsid w:val="001D3D56"/>
    <w:rsid w:val="0020107C"/>
    <w:rsid w:val="00240654"/>
    <w:rsid w:val="002634C4"/>
    <w:rsid w:val="00292868"/>
    <w:rsid w:val="002956DE"/>
    <w:rsid w:val="002A78CA"/>
    <w:rsid w:val="002B7F36"/>
    <w:rsid w:val="002E4D1A"/>
    <w:rsid w:val="002F1223"/>
    <w:rsid w:val="002F16BC"/>
    <w:rsid w:val="002F4E68"/>
    <w:rsid w:val="00322C0B"/>
    <w:rsid w:val="0033647E"/>
    <w:rsid w:val="00381798"/>
    <w:rsid w:val="003845C1"/>
    <w:rsid w:val="003A3E48"/>
    <w:rsid w:val="003A67A3"/>
    <w:rsid w:val="003B03D8"/>
    <w:rsid w:val="004008A2"/>
    <w:rsid w:val="004025DF"/>
    <w:rsid w:val="0040540C"/>
    <w:rsid w:val="00423E3E"/>
    <w:rsid w:val="00427AF4"/>
    <w:rsid w:val="00430DF4"/>
    <w:rsid w:val="004647DA"/>
    <w:rsid w:val="00477D6B"/>
    <w:rsid w:val="004D6471"/>
    <w:rsid w:val="0051455D"/>
    <w:rsid w:val="00525B63"/>
    <w:rsid w:val="00525E59"/>
    <w:rsid w:val="00541348"/>
    <w:rsid w:val="005421DD"/>
    <w:rsid w:val="00546F65"/>
    <w:rsid w:val="00554FA5"/>
    <w:rsid w:val="00567A4C"/>
    <w:rsid w:val="00574036"/>
    <w:rsid w:val="00595F07"/>
    <w:rsid w:val="005E6516"/>
    <w:rsid w:val="005E774D"/>
    <w:rsid w:val="00605827"/>
    <w:rsid w:val="00615352"/>
    <w:rsid w:val="00616671"/>
    <w:rsid w:val="006B0DB5"/>
    <w:rsid w:val="006C2365"/>
    <w:rsid w:val="007461F1"/>
    <w:rsid w:val="007B5234"/>
    <w:rsid w:val="007D6961"/>
    <w:rsid w:val="007E1530"/>
    <w:rsid w:val="007F07CB"/>
    <w:rsid w:val="00810CEF"/>
    <w:rsid w:val="0081208D"/>
    <w:rsid w:val="00844F62"/>
    <w:rsid w:val="008A74CE"/>
    <w:rsid w:val="008B2CC1"/>
    <w:rsid w:val="008E7930"/>
    <w:rsid w:val="0090731E"/>
    <w:rsid w:val="00966A22"/>
    <w:rsid w:val="00974CD6"/>
    <w:rsid w:val="009961FE"/>
    <w:rsid w:val="009D30E6"/>
    <w:rsid w:val="009E3F6F"/>
    <w:rsid w:val="009F499F"/>
    <w:rsid w:val="00A11D74"/>
    <w:rsid w:val="00A73D1C"/>
    <w:rsid w:val="00AC0AE4"/>
    <w:rsid w:val="00AD61DB"/>
    <w:rsid w:val="00B1090C"/>
    <w:rsid w:val="00B35AF5"/>
    <w:rsid w:val="00B45C15"/>
    <w:rsid w:val="00B84020"/>
    <w:rsid w:val="00BE0BE0"/>
    <w:rsid w:val="00C04EF3"/>
    <w:rsid w:val="00C664C8"/>
    <w:rsid w:val="00CB6C41"/>
    <w:rsid w:val="00CF0460"/>
    <w:rsid w:val="00CF301E"/>
    <w:rsid w:val="00D02B18"/>
    <w:rsid w:val="00D137D0"/>
    <w:rsid w:val="00D3542F"/>
    <w:rsid w:val="00D4059B"/>
    <w:rsid w:val="00D43E0F"/>
    <w:rsid w:val="00D45252"/>
    <w:rsid w:val="00D71B4D"/>
    <w:rsid w:val="00D75C1E"/>
    <w:rsid w:val="00D93D55"/>
    <w:rsid w:val="00DB1C48"/>
    <w:rsid w:val="00DD4917"/>
    <w:rsid w:val="00DD6A16"/>
    <w:rsid w:val="00DF456C"/>
    <w:rsid w:val="00E0091A"/>
    <w:rsid w:val="00E203AA"/>
    <w:rsid w:val="00E5217A"/>
    <w:rsid w:val="00E527A5"/>
    <w:rsid w:val="00E76456"/>
    <w:rsid w:val="00EE71CB"/>
    <w:rsid w:val="00F16975"/>
    <w:rsid w:val="00F66152"/>
    <w:rsid w:val="00FB64D5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D2D18"/>
  <w15:docId w15:val="{10B7EA1D-C77F-4FD2-8726-D24164C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CF301E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CF301E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D3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WILD_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E7B5-3DB0-4555-A2B0-47FF212C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WILD_1 (F)</Template>
  <TotalTime>19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WILD/1/Prov., Projet d'ordre du jour, Dialogue de haut niveau de l’OMPI sur le numérique (WILD), première session, 14 au 16 avril 2025</vt:lpstr>
    </vt:vector>
  </TitlesOfParts>
  <Company>WIPO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WILD/1/Prov., Projet d'ordre du jour, Dialogue de haut niveau de l’OMPI sur le numérique (WILD), première session, 14 au 16 avril 2025</dc:title>
  <dc:creator>OMPI/WIPO</dc:creator>
  <cp:keywords>WILD</cp:keywords>
  <dc:description>version française</dc:description>
  <cp:lastModifiedBy>SCHLESSINGER Caroline</cp:lastModifiedBy>
  <cp:revision>10</cp:revision>
  <cp:lastPrinted>2011-05-19T12:37:00Z</cp:lastPrinted>
  <dcterms:created xsi:type="dcterms:W3CDTF">2024-12-20T12:29:00Z</dcterms:created>
  <dcterms:modified xsi:type="dcterms:W3CDTF">2024-12-20T19:40:00Z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2024-12-20T12:30:31Z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34d1e40e-e913-4c36-9240-40b5f05e0e11</vt:lpwstr>
  </property>
  <property fmtid="{D5CDD505-2E9C-101B-9397-08002B2CF9AE}" pid="13" name="MSIP_Label_20773ee6-353b-4fb9-a59d-0b94c8c67bea_ContentBits">
    <vt:lpwstr>0</vt:lpwstr>
  </property>
</Properties>
</file>