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30C" w14:textId="01D0FDE3" w:rsidR="008B2CC1" w:rsidRPr="008B2CC1" w:rsidRDefault="00EA6E28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3ED8B1C8" wp14:editId="1A2918C1">
            <wp:extent cx="3246120" cy="1630680"/>
            <wp:effectExtent l="0" t="0" r="0" b="7620"/>
            <wp:docPr id="1842088205" name="Picture 184208820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2E41704C" wp14:editId="49A8ACC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6C586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8EBE507" w14:textId="0D0F8226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</w:rPr>
        <w:t xml:space="preserve">27 </w:t>
      </w:r>
    </w:p>
    <w:p w14:paraId="6CBE1D13" w14:textId="45057500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546E5272" w14:textId="77A32E4E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13 августа 2024 года</w:t>
      </w:r>
    </w:p>
    <w:bookmarkEnd w:id="2"/>
    <w:p w14:paraId="275DB2A9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509BCFAA" w14:textId="77777777" w:rsidR="008B2CC1" w:rsidRPr="000817DB" w:rsidRDefault="00F82EA2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047A9789" w14:textId="59753898" w:rsidR="008B2CC1" w:rsidRPr="000817DB" w:rsidRDefault="000817DB" w:rsidP="00CE65D4">
      <w:pPr>
        <w:spacing w:after="720"/>
        <w:rPr>
          <w:sz w:val="24"/>
        </w:rPr>
      </w:pPr>
      <w:r>
        <w:rPr>
          <w:b/>
          <w:sz w:val="24"/>
        </w:rPr>
        <w:t>Женева, 16–19 сентября 2024 года</w:t>
      </w:r>
    </w:p>
    <w:p w14:paraId="6E141006" w14:textId="0DC4D671" w:rsidR="008B2CC1" w:rsidRPr="009F3BF9" w:rsidRDefault="003A76CA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Рекомендации Объединенной инспекционной группы в отношении применения блокчейна в системе Организации Объединенных Наций</w:t>
      </w:r>
    </w:p>
    <w:p w14:paraId="12B7AB4C" w14:textId="0B987A62" w:rsidR="008B2CC1" w:rsidRDefault="00C40E51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Международным бюро</w:t>
      </w:r>
    </w:p>
    <w:p w14:paraId="05FE79BC" w14:textId="1922DF60" w:rsidR="00C40E51" w:rsidRDefault="00C40E51" w:rsidP="00C40E51">
      <w:pPr>
        <w:pStyle w:val="Heading2"/>
      </w:pPr>
      <w:r>
        <w:t>РЕЗЮМЕ</w:t>
      </w:r>
    </w:p>
    <w:p w14:paraId="6E9F42AB" w14:textId="27600BCA" w:rsidR="00C40E51" w:rsidRDefault="00C40E51" w:rsidP="00C40E51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 В этом документе разъясняются рекомендации в отношении применения блокчейна в системе Организации Объединенных Наций (ООН), подготовленные Объединенной инспекционной группой системы ООН (ОИГ).  Международное бюро делится информацией о ходе выполнения этих рекомендаций и предлагает Комитету по стандартам ВОИС (КСВ) призвать ведомства интеллектуальной собственности (ВИС) рассмотреть «Рекомендацию 6» и выполнить в тех случаях, когда это возможно.  </w:t>
      </w:r>
    </w:p>
    <w:p w14:paraId="4DD3417C" w14:textId="3DABDD8C" w:rsidR="00C40E51" w:rsidRDefault="00C40E51" w:rsidP="00C40E51">
      <w:pPr>
        <w:pStyle w:val="Heading2"/>
      </w:pPr>
      <w:r>
        <w:t>Справочная информация</w:t>
      </w:r>
    </w:p>
    <w:p w14:paraId="6C0E44AC" w14:textId="5592E42B" w:rsidR="003A76CA" w:rsidRDefault="00C40E51" w:rsidP="00364D43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2020 году ОИГ опубликовал доклад «</w:t>
      </w:r>
      <w:hyperlink r:id="rId9" w:tgtFrame="_blank" w:history="1">
        <w:r>
          <w:rPr>
            <w:rStyle w:val="Hyperlink"/>
          </w:rPr>
          <w:t>Применение технологии блокчейн в системе Организации Объединенных Наций: на пути к состоянию готовности</w:t>
        </w:r>
      </w:hyperlink>
      <w:r>
        <w:t>».  ОИГ заявляет, что «[Д]оклад призван внести вклад в коллективные усилия, прилагаемыми для реализации недавних всеобъемлющих стратегий в отношении новых технологиям и будущей структуры работы, в рамках котор</w:t>
      </w:r>
      <w:r w:rsidR="00EA6E28">
        <w:t>ой</w:t>
      </w:r>
      <w:r>
        <w:t xml:space="preserve"> вопрос инноваций и использования цифровых технологий системой ООН рассматривается с точки зрения ориентированного на действия подхода».  Доклад включает восемь официальных рекомендаций, адресованных участвующим организациям системы ООН, в которых ОИГ предлагает указания по внедрению блокчейна для использования в рамках стратегий и политики в области инновации, по поддержке обмена знаниями и наращивания потенциала, а также по управлению рисками.  </w:t>
      </w:r>
    </w:p>
    <w:p w14:paraId="77376398" w14:textId="5C842121" w:rsidR="008F1C01" w:rsidRDefault="00A475FF" w:rsidP="008F1C01">
      <w:pPr>
        <w:pStyle w:val="Heading2"/>
      </w:pPr>
      <w:r>
        <w:lastRenderedPageBreak/>
        <w:t>Актуальность рекомендаций для деятельности ВОИС</w:t>
      </w:r>
    </w:p>
    <w:p w14:paraId="1AFB31F4" w14:textId="7F48381C" w:rsidR="00163832" w:rsidRDefault="009E04F9" w:rsidP="00EA6E28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Международное бюро сочло, что пять следующих рекомендаций: 1, 2, 3, 4 и 6 имеют отношение к его работе, и предприняло ряд действий по их выполнению.  Международное бюро поделилось с ОИГ информацией о ходе выполнения указанных рекомендаций.</w:t>
      </w:r>
    </w:p>
    <w:p w14:paraId="59A7E4C9" w14:textId="202A89F5" w:rsidR="00823917" w:rsidRPr="008273CA" w:rsidRDefault="00823917" w:rsidP="00823917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шестой сессии в 2019 году КСВ учредил Целевую группу по блокчейну, чтобы изучить возможность использования технологии блокчейна в процедурах обеспечения охраны прав ИС, обработки информации об объектах ИС и их использования.  Международное бюро ознакомило Целевую группу с рекомендациями ОИГ, в частности с рекомендацией 6: </w:t>
      </w:r>
    </w:p>
    <w:p w14:paraId="1900D10F" w14:textId="77777777" w:rsidR="00823917" w:rsidRPr="008273CA" w:rsidRDefault="00823917" w:rsidP="00823917">
      <w:pPr>
        <w:spacing w:after="240"/>
        <w:ind w:left="567"/>
        <w:rPr>
          <w:i/>
          <w:iCs/>
          <w:u w:val="single"/>
        </w:rPr>
      </w:pPr>
      <w:r>
        <w:rPr>
          <w:i/>
          <w:u w:val="single"/>
        </w:rPr>
        <w:t>Рекомендация 6</w:t>
      </w:r>
    </w:p>
    <w:p w14:paraId="4F60E9D1" w14:textId="77777777" w:rsidR="00823917" w:rsidRPr="008273CA" w:rsidRDefault="00823917" w:rsidP="00823917">
      <w:pPr>
        <w:spacing w:after="240"/>
        <w:ind w:left="567"/>
        <w:rPr>
          <w:i/>
          <w:iCs/>
        </w:rPr>
      </w:pPr>
      <w:r>
        <w:rPr>
          <w:i/>
        </w:rPr>
        <w:t>Руководящим органам организаций системы Организации Объединенных Наций следует рекомендовать государствам-членам сотрудничать с Комиссией Организации Объединенных Наций по праву международной торговли в рамках ее исследовательской и подготовительной работы по правовым вопросам, связанным с технологией блокчейн в более широком контексте цифровой экономики и цифровой торговли, в том числе по вопросам урегулирования споров, которая направлена на уменьшение правовой незащищенности в этой области.</w:t>
      </w:r>
    </w:p>
    <w:p w14:paraId="53F6C7B3" w14:textId="6BAFB1B1" w:rsidR="00823917" w:rsidRPr="009500A7" w:rsidRDefault="00823917" w:rsidP="00823917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связи с рекомендацией 6 Международное бюро представило Целевой группе некоторые мероприятия, реализованные Комиссией Организации Объединенных Наций по праву международной торговли, а в 2022 году — свой анализ опубликованного ЮНСИТРАЛ в 2017 году </w:t>
      </w:r>
      <w:hyperlink r:id="rId10" w:tgtFrame="_blank" w:history="1">
        <w:r>
          <w:rPr>
            <w:rStyle w:val="Hyperlink"/>
          </w:rPr>
          <w:t>Типового закона ЮНСИТРАЛ об электронных передаваемых записях</w:t>
        </w:r>
      </w:hyperlink>
      <w:r>
        <w:t>, призванного обеспечить возможность законного использования электронных передаваемых записей как внутри стран, так и между ними.  </w:t>
      </w:r>
    </w:p>
    <w:p w14:paraId="511795AA" w14:textId="66F93ACA" w:rsidR="00921C3F" w:rsidRDefault="009E04F9" w:rsidP="00921C3F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качестве связанного с этим вопросом мероприятия Международное бюро рассмотрело сферы потенциального применения технологий блокчейн и возможности, предоставляемые этими технологиями для экосистем ИС. В 2022 году Международное бюро опубликовало материал «</w:t>
      </w:r>
      <w:hyperlink r:id="rId11" w:history="1">
        <w:r>
          <w:rPr>
            <w:rStyle w:val="Hyperlink"/>
          </w:rPr>
          <w:t>Значение блокчейна для экосистемы ИС:</w:t>
        </w:r>
      </w:hyperlink>
      <w:r w:rsidR="00EA6E28">
        <w:rPr>
          <w:rStyle w:val="Hyperlink"/>
        </w:rPr>
        <w:t xml:space="preserve"> </w:t>
      </w:r>
      <w:hyperlink r:id="rId12" w:history="1">
        <w:r>
          <w:rPr>
            <w:rStyle w:val="Hyperlink"/>
          </w:rPr>
          <w:t>информационный документ ВОИС</w:t>
        </w:r>
      </w:hyperlink>
      <w:r>
        <w:t>», в котором были определены 13 потенциальных вариантов использования упомянутых технологий в экосистемах ИС, а также задачи и вопросы, которые необходимо решить, чтобы оценить осуществимость и экономическую эффективность использования таких технологий на благо всех заинтересованных сторон в области ИС.  Этот документ нацелен на оказание помощи ведомствам ИС и другим заинтересованным сторонам в разработке их стратегической политики и на содействие в принятии решений о внедрении технологии блокчейн в рамках их операционной деятельности.</w:t>
      </w:r>
    </w:p>
    <w:p w14:paraId="1401F098" w14:textId="679D0E24" w:rsidR="00BB4E34" w:rsidRDefault="008273CA" w:rsidP="00BB4E34">
      <w:pPr>
        <w:pStyle w:val="Heading2"/>
      </w:pPr>
      <w:r>
        <w:t>Ход выполнения рекомендаций и предлагаемых действий</w:t>
      </w:r>
    </w:p>
    <w:p w14:paraId="404877EE" w14:textId="561F48FB" w:rsidR="00EA6E28" w:rsidRDefault="009E04F9" w:rsidP="0002035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 сентября 2021 года Международное бюро отчитывается о ходе выполнения рекомендаций перед Комитетом по программе и бюджету (КПБ).  КПБ принял к сведению, что рекомендации 1, 2, 3 и 4 были выполнены, а рекомендация 6 находится в процессе выполнения.</w:t>
      </w:r>
    </w:p>
    <w:p w14:paraId="56FD7FDE" w14:textId="6BEF1661" w:rsidR="008273CA" w:rsidRDefault="00EA6E28" w:rsidP="00EA6E28">
      <w:r>
        <w:br w:type="page"/>
      </w:r>
    </w:p>
    <w:p w14:paraId="66A9277C" w14:textId="4B53C3BE" w:rsidR="0002035B" w:rsidRDefault="009E04F9" w:rsidP="0002035B">
      <w:pPr>
        <w:spacing w:after="24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Международное бюро представило на тридцать седьмой сессии КПБ, которая состоялась в июне 2024 года, отчет о ходе выполнения рекомендаций и проинформировало КПБ о своих планах в отношении рекомендации 6, предусматривающих поощрение государств-членов ВОИС к взаимодействию с ЮНСИТРАЛ в рамках ее исследовательской и подготовительной работы по правовым вопросам, связанным с блокчейном в более широком контексте цифровой экономики и цифровой торговли, как это было рекомендовано на двенадцатой сессии КСВ (см. приложение I к документу </w:t>
      </w:r>
      <w:hyperlink r:id="rId13" w:history="1">
        <w:r>
          <w:rPr>
            <w:rStyle w:val="Hyperlink"/>
          </w:rPr>
          <w:t>WO/PBC/37/6 Rev.</w:t>
        </w:r>
      </w:hyperlink>
      <w:r>
        <w:t>).</w:t>
      </w:r>
    </w:p>
    <w:p w14:paraId="5E6EB848" w14:textId="34AA5FF9" w:rsidR="00163832" w:rsidRDefault="009E04F9" w:rsidP="00EA6E28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Следует отметить, что в 2023 году ЮНСИТРАЛ опубликовала документ «</w:t>
      </w:r>
      <w:hyperlink r:id="rId14" w:history="1">
        <w:r>
          <w:rPr>
            <w:rStyle w:val="Hyperlink"/>
          </w:rPr>
          <w:t>Таксономия правовых вопросов, связанных с цифровой экономикой</w:t>
        </w:r>
      </w:hyperlink>
      <w:r>
        <w:t>».  Кроме того, недавно, на своей пятьдесят седьмой сессии, которая прошла с 24 июня по 12 июля 2024 года, она представила новый документ A/CN.9/1175 («</w:t>
      </w:r>
      <w:hyperlink r:id="rId15" w:history="1">
        <w:r>
          <w:rPr>
            <w:rStyle w:val="Hyperlink"/>
          </w:rPr>
          <w:t>Правовые вопросы, связанные с использованием технологии распределенного реестра в торговле</w:t>
        </w:r>
      </w:hyperlink>
      <w:r>
        <w:t xml:space="preserve">»). </w:t>
      </w:r>
      <w:bookmarkEnd w:id="4"/>
    </w:p>
    <w:p w14:paraId="70635A60" w14:textId="74F7B885" w:rsidR="005E611E" w:rsidRDefault="009E04F9" w:rsidP="00376266">
      <w:r>
        <w:fldChar w:fldCharType="begin"/>
      </w:r>
      <w:r>
        <w:instrText xml:space="preserve"> AUTONUM  </w:instrText>
      </w:r>
      <w:r>
        <w:fldChar w:fldCharType="end"/>
      </w:r>
      <w:r>
        <w:tab/>
        <w:t>КСВ предлагается рекомендовать ВИС — в тех случаях, когда это применимо, — сотрудничать с ЮНСИТРАЛ в рамках ее исследовательской и подготовительной работы по правовым вопросам, связанным с технологией блокчейн в более широком контексте цифровой экономики и цифровой торговли, в том числе по вопросам урегулирования споров, которая направлена на уменьшение правовой незащищенности в этой области.</w:t>
      </w:r>
    </w:p>
    <w:p w14:paraId="6B8A342F" w14:textId="77777777" w:rsidR="00DD41E6" w:rsidRDefault="00DD41E6" w:rsidP="00376266"/>
    <w:p w14:paraId="660C5171" w14:textId="77777777" w:rsidR="00376266" w:rsidRDefault="00376266" w:rsidP="00376266"/>
    <w:p w14:paraId="0A4299CF" w14:textId="566F3D2A" w:rsidR="00376266" w:rsidRPr="00733DA0" w:rsidRDefault="00376266" w:rsidP="000531A5">
      <w:pPr>
        <w:spacing w:after="160" w:line="259" w:lineRule="auto"/>
        <w:ind w:left="5490"/>
        <w:rPr>
          <w:rFonts w:eastAsiaTheme="minorEastAsia" w:cstheme="minorBidi"/>
          <w:i/>
          <w:szCs w:val="22"/>
        </w:rPr>
      </w:pPr>
      <w:r w:rsidRPr="00733DA0">
        <w:rPr>
          <w:rFonts w:eastAsiaTheme="minorEastAsia" w:cstheme="minorBidi"/>
          <w:i/>
        </w:rPr>
        <w:fldChar w:fldCharType="begin"/>
      </w:r>
      <w:r w:rsidRPr="00CF6DD8">
        <w:rPr>
          <w:rFonts w:eastAsiaTheme="minorEastAsia" w:cstheme="minorBidi"/>
          <w:i/>
        </w:rPr>
        <w:instrText xml:space="preserve"> AUTONUM  </w:instrText>
      </w:r>
      <w:r w:rsidRPr="00733DA0">
        <w:rPr>
          <w:rFonts w:eastAsiaTheme="minorEastAsia" w:cstheme="minorBidi"/>
          <w:i/>
        </w:rPr>
        <w:fldChar w:fldCharType="end"/>
      </w:r>
      <w:r>
        <w:rPr>
          <w:i/>
        </w:rPr>
        <w:tab/>
        <w:t>КСВ предлагается:</w:t>
      </w:r>
    </w:p>
    <w:p w14:paraId="125DD586" w14:textId="05B3F302" w:rsidR="00376266" w:rsidRPr="00733DA0" w:rsidRDefault="00376266" w:rsidP="000531A5">
      <w:pPr>
        <w:pStyle w:val="ONUME"/>
        <w:numPr>
          <w:ilvl w:val="0"/>
          <w:numId w:val="9"/>
        </w:numPr>
        <w:tabs>
          <w:tab w:val="num" w:pos="1134"/>
          <w:tab w:val="num" w:pos="6101"/>
        </w:tabs>
        <w:ind w:left="5490" w:firstLine="0"/>
        <w:rPr>
          <w:i/>
          <w:szCs w:val="22"/>
        </w:rPr>
      </w:pPr>
      <w:r>
        <w:rPr>
          <w:i/>
        </w:rPr>
        <w:t xml:space="preserve">принять к сведению содержание настоящего документа; и </w:t>
      </w:r>
    </w:p>
    <w:p w14:paraId="28B08AD5" w14:textId="4D63CCE2" w:rsidR="00AE2012" w:rsidRPr="00AE2012" w:rsidRDefault="00364D43" w:rsidP="000531A5">
      <w:pPr>
        <w:pStyle w:val="ONUME"/>
        <w:numPr>
          <w:ilvl w:val="0"/>
          <w:numId w:val="9"/>
        </w:numPr>
        <w:tabs>
          <w:tab w:val="num" w:pos="1134"/>
          <w:tab w:val="num" w:pos="6101"/>
        </w:tabs>
        <w:ind w:left="5490" w:firstLine="0"/>
        <w:rPr>
          <w:i/>
          <w:iCs/>
        </w:rPr>
      </w:pPr>
      <w:r>
        <w:rPr>
          <w:i/>
        </w:rPr>
        <w:t xml:space="preserve">принять к сведению рекомендацию 6 и призвать ВИС реализовать ее, как это указано в пункте 10 выше. </w:t>
      </w:r>
    </w:p>
    <w:p w14:paraId="5D79E770" w14:textId="77777777" w:rsidR="00AE2012" w:rsidRDefault="00AE2012" w:rsidP="000531A5">
      <w:pPr>
        <w:spacing w:after="240"/>
        <w:ind w:left="5490"/>
        <w:jc w:val="right"/>
        <w:rPr>
          <w:i/>
          <w:iCs/>
        </w:rPr>
      </w:pPr>
    </w:p>
    <w:p w14:paraId="6BCD6D22" w14:textId="1E266E90" w:rsidR="00AE2012" w:rsidRPr="00AE2012" w:rsidRDefault="00AE2012" w:rsidP="000531A5">
      <w:pPr>
        <w:spacing w:after="240"/>
        <w:ind w:left="5490" w:right="550"/>
      </w:pPr>
      <w:r>
        <w:t>[Конец документа]</w:t>
      </w:r>
    </w:p>
    <w:sectPr w:rsidR="00AE2012" w:rsidRPr="00AE2012" w:rsidSect="00C40E5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4C09" w14:textId="77777777" w:rsidR="00440788" w:rsidRDefault="00440788">
      <w:r>
        <w:separator/>
      </w:r>
    </w:p>
  </w:endnote>
  <w:endnote w:type="continuationSeparator" w:id="0">
    <w:p w14:paraId="6F94FDE2" w14:textId="77777777" w:rsidR="00440788" w:rsidRDefault="00440788" w:rsidP="003B38C1">
      <w:r>
        <w:separator/>
      </w:r>
    </w:p>
    <w:p w14:paraId="41DCAAC2" w14:textId="77777777" w:rsidR="00440788" w:rsidRPr="00EA6E28" w:rsidRDefault="00440788" w:rsidP="003B38C1">
      <w:pPr>
        <w:spacing w:after="60"/>
        <w:rPr>
          <w:sz w:val="17"/>
          <w:lang w:val="en-US"/>
        </w:rPr>
      </w:pPr>
      <w:r w:rsidRPr="00EA6E28">
        <w:rPr>
          <w:sz w:val="17"/>
          <w:lang w:val="en-US"/>
        </w:rPr>
        <w:t>[Endnote continued from previous page]</w:t>
      </w:r>
    </w:p>
  </w:endnote>
  <w:endnote w:type="continuationNotice" w:id="1">
    <w:p w14:paraId="25BDC684" w14:textId="77777777" w:rsidR="00440788" w:rsidRPr="00EA6E28" w:rsidRDefault="00440788" w:rsidP="003B38C1">
      <w:pPr>
        <w:spacing w:before="60"/>
        <w:jc w:val="right"/>
        <w:rPr>
          <w:sz w:val="17"/>
          <w:szCs w:val="17"/>
          <w:lang w:val="en-US"/>
        </w:rPr>
      </w:pPr>
      <w:r w:rsidRPr="00EA6E2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F56D" w14:textId="710F3BF7" w:rsidR="00237381" w:rsidRDefault="0023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32BA" w14:textId="37DE9537" w:rsidR="00237381" w:rsidRDefault="0023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AF9F" w14:textId="77777777" w:rsidR="00440788" w:rsidRDefault="00440788">
      <w:r>
        <w:separator/>
      </w:r>
    </w:p>
  </w:footnote>
  <w:footnote w:type="continuationSeparator" w:id="0">
    <w:p w14:paraId="670349D4" w14:textId="77777777" w:rsidR="00440788" w:rsidRDefault="00440788" w:rsidP="008B60B2">
      <w:r>
        <w:separator/>
      </w:r>
    </w:p>
    <w:p w14:paraId="04342668" w14:textId="77777777" w:rsidR="00440788" w:rsidRPr="00EA6E28" w:rsidRDefault="00440788" w:rsidP="008B60B2">
      <w:pPr>
        <w:spacing w:after="60"/>
        <w:rPr>
          <w:sz w:val="17"/>
          <w:szCs w:val="17"/>
          <w:lang w:val="en-US"/>
        </w:rPr>
      </w:pPr>
      <w:r w:rsidRPr="00EA6E2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DFC731B" w14:textId="77777777" w:rsidR="00440788" w:rsidRPr="00EA6E28" w:rsidRDefault="00440788" w:rsidP="008B60B2">
      <w:pPr>
        <w:spacing w:before="60"/>
        <w:jc w:val="right"/>
        <w:rPr>
          <w:sz w:val="17"/>
          <w:szCs w:val="17"/>
          <w:lang w:val="en-US"/>
        </w:rPr>
      </w:pPr>
      <w:r w:rsidRPr="00EA6E2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8BFA" w14:textId="3CE8B45E" w:rsidR="00EC4E49" w:rsidRDefault="00C40E51" w:rsidP="00477D6B">
    <w:pPr>
      <w:jc w:val="right"/>
    </w:pPr>
    <w:bookmarkStart w:id="5" w:name="Code2"/>
    <w:bookmarkEnd w:id="5"/>
    <w:r>
      <w:t>CWS/12/27</w:t>
    </w:r>
  </w:p>
  <w:p w14:paraId="4137CAB7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F65686">
      <w:t>1</w:t>
    </w:r>
    <w:r>
      <w:fldChar w:fldCharType="end"/>
    </w:r>
  </w:p>
  <w:p w14:paraId="1468A09B" w14:textId="77777777" w:rsidR="00EC4E49" w:rsidRDefault="00EC4E49" w:rsidP="00477D6B">
    <w:pPr>
      <w:jc w:val="right"/>
    </w:pPr>
  </w:p>
  <w:p w14:paraId="0CE610C9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B561B5"/>
    <w:multiLevelType w:val="hybridMultilevel"/>
    <w:tmpl w:val="22A0E116"/>
    <w:lvl w:ilvl="0" w:tplc="36E66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1A7990"/>
    <w:multiLevelType w:val="hybridMultilevel"/>
    <w:tmpl w:val="7C66CDEE"/>
    <w:lvl w:ilvl="0" w:tplc="32A8D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F1"/>
    <w:multiLevelType w:val="hybridMultilevel"/>
    <w:tmpl w:val="3E164D10"/>
    <w:lvl w:ilvl="0" w:tplc="085CF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3354C"/>
    <w:multiLevelType w:val="hybridMultilevel"/>
    <w:tmpl w:val="DB6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62436"/>
    <w:multiLevelType w:val="hybridMultilevel"/>
    <w:tmpl w:val="EC540456"/>
    <w:lvl w:ilvl="0" w:tplc="7F14A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62A15"/>
    <w:multiLevelType w:val="hybridMultilevel"/>
    <w:tmpl w:val="AF4EE80E"/>
    <w:lvl w:ilvl="0" w:tplc="E1783A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20CA"/>
    <w:multiLevelType w:val="hybridMultilevel"/>
    <w:tmpl w:val="DB6A15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22876">
    <w:abstractNumId w:val="3"/>
  </w:num>
  <w:num w:numId="2" w16cid:durableId="599603977">
    <w:abstractNumId w:val="7"/>
  </w:num>
  <w:num w:numId="3" w16cid:durableId="1552880796">
    <w:abstractNumId w:val="0"/>
  </w:num>
  <w:num w:numId="4" w16cid:durableId="600527977">
    <w:abstractNumId w:val="8"/>
  </w:num>
  <w:num w:numId="5" w16cid:durableId="512451798">
    <w:abstractNumId w:val="1"/>
  </w:num>
  <w:num w:numId="6" w16cid:durableId="1888832616">
    <w:abstractNumId w:val="6"/>
  </w:num>
  <w:num w:numId="7" w16cid:durableId="88893962">
    <w:abstractNumId w:val="9"/>
  </w:num>
  <w:num w:numId="8" w16cid:durableId="705905910">
    <w:abstractNumId w:val="12"/>
  </w:num>
  <w:num w:numId="9" w16cid:durableId="1542860849">
    <w:abstractNumId w:val="5"/>
  </w:num>
  <w:num w:numId="10" w16cid:durableId="250354800">
    <w:abstractNumId w:val="4"/>
  </w:num>
  <w:num w:numId="11" w16cid:durableId="1926302389">
    <w:abstractNumId w:val="11"/>
  </w:num>
  <w:num w:numId="12" w16cid:durableId="65079139">
    <w:abstractNumId w:val="2"/>
  </w:num>
  <w:num w:numId="13" w16cid:durableId="497501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1"/>
    <w:rsid w:val="000131A4"/>
    <w:rsid w:val="0001647B"/>
    <w:rsid w:val="0002035B"/>
    <w:rsid w:val="00032CC7"/>
    <w:rsid w:val="00043CAA"/>
    <w:rsid w:val="000531A5"/>
    <w:rsid w:val="00053DF8"/>
    <w:rsid w:val="00075432"/>
    <w:rsid w:val="000817DB"/>
    <w:rsid w:val="000968ED"/>
    <w:rsid w:val="000B351D"/>
    <w:rsid w:val="000F5E56"/>
    <w:rsid w:val="001012DB"/>
    <w:rsid w:val="001024FE"/>
    <w:rsid w:val="00124F4A"/>
    <w:rsid w:val="001270D8"/>
    <w:rsid w:val="001362EE"/>
    <w:rsid w:val="00142868"/>
    <w:rsid w:val="0014433B"/>
    <w:rsid w:val="00155E7F"/>
    <w:rsid w:val="00163832"/>
    <w:rsid w:val="00167AC4"/>
    <w:rsid w:val="001832A6"/>
    <w:rsid w:val="001C6808"/>
    <w:rsid w:val="001C6ABD"/>
    <w:rsid w:val="001F4262"/>
    <w:rsid w:val="002121FA"/>
    <w:rsid w:val="002335CE"/>
    <w:rsid w:val="00237381"/>
    <w:rsid w:val="00245CC9"/>
    <w:rsid w:val="002573C9"/>
    <w:rsid w:val="002634C4"/>
    <w:rsid w:val="002928D3"/>
    <w:rsid w:val="00296132"/>
    <w:rsid w:val="002B49C8"/>
    <w:rsid w:val="002E3AF0"/>
    <w:rsid w:val="002F1FE6"/>
    <w:rsid w:val="002F4E68"/>
    <w:rsid w:val="00310BA5"/>
    <w:rsid w:val="00312F7F"/>
    <w:rsid w:val="003228B7"/>
    <w:rsid w:val="00325C07"/>
    <w:rsid w:val="00335331"/>
    <w:rsid w:val="0034294A"/>
    <w:rsid w:val="00345606"/>
    <w:rsid w:val="003508A3"/>
    <w:rsid w:val="00354A4E"/>
    <w:rsid w:val="00364D43"/>
    <w:rsid w:val="003673CF"/>
    <w:rsid w:val="00376266"/>
    <w:rsid w:val="003845C1"/>
    <w:rsid w:val="003908F1"/>
    <w:rsid w:val="00391508"/>
    <w:rsid w:val="00397623"/>
    <w:rsid w:val="003A6839"/>
    <w:rsid w:val="003A6F89"/>
    <w:rsid w:val="003A76CA"/>
    <w:rsid w:val="003B38C1"/>
    <w:rsid w:val="003C00D8"/>
    <w:rsid w:val="003C41E3"/>
    <w:rsid w:val="003D10A9"/>
    <w:rsid w:val="003D352A"/>
    <w:rsid w:val="003D46BA"/>
    <w:rsid w:val="003F55BF"/>
    <w:rsid w:val="00413BA8"/>
    <w:rsid w:val="00423E3E"/>
    <w:rsid w:val="00427AF4"/>
    <w:rsid w:val="00431892"/>
    <w:rsid w:val="004400E2"/>
    <w:rsid w:val="00440788"/>
    <w:rsid w:val="00461632"/>
    <w:rsid w:val="004647DA"/>
    <w:rsid w:val="00466930"/>
    <w:rsid w:val="00472977"/>
    <w:rsid w:val="00472A37"/>
    <w:rsid w:val="00474062"/>
    <w:rsid w:val="00477D6B"/>
    <w:rsid w:val="00484F2D"/>
    <w:rsid w:val="00496D69"/>
    <w:rsid w:val="004B0999"/>
    <w:rsid w:val="004B727A"/>
    <w:rsid w:val="004C5EB4"/>
    <w:rsid w:val="004D21A4"/>
    <w:rsid w:val="004D39C4"/>
    <w:rsid w:val="004F0CB6"/>
    <w:rsid w:val="004F3A7E"/>
    <w:rsid w:val="0050633C"/>
    <w:rsid w:val="00506FB6"/>
    <w:rsid w:val="0053057A"/>
    <w:rsid w:val="00541E2F"/>
    <w:rsid w:val="00542200"/>
    <w:rsid w:val="0055145E"/>
    <w:rsid w:val="00560932"/>
    <w:rsid w:val="00560A29"/>
    <w:rsid w:val="005734AB"/>
    <w:rsid w:val="00575E5C"/>
    <w:rsid w:val="00590E3E"/>
    <w:rsid w:val="00594D27"/>
    <w:rsid w:val="00596FD8"/>
    <w:rsid w:val="005A4F29"/>
    <w:rsid w:val="005B42D8"/>
    <w:rsid w:val="005C2693"/>
    <w:rsid w:val="005E611E"/>
    <w:rsid w:val="005E791B"/>
    <w:rsid w:val="00601760"/>
    <w:rsid w:val="00605827"/>
    <w:rsid w:val="00624DE2"/>
    <w:rsid w:val="00626862"/>
    <w:rsid w:val="006373CE"/>
    <w:rsid w:val="00645380"/>
    <w:rsid w:val="00646050"/>
    <w:rsid w:val="006657DA"/>
    <w:rsid w:val="006713CA"/>
    <w:rsid w:val="00676C5C"/>
    <w:rsid w:val="006833CF"/>
    <w:rsid w:val="00695558"/>
    <w:rsid w:val="006A1E69"/>
    <w:rsid w:val="006B0EC8"/>
    <w:rsid w:val="006D5E0F"/>
    <w:rsid w:val="006E0D8A"/>
    <w:rsid w:val="006F1DB0"/>
    <w:rsid w:val="006F3404"/>
    <w:rsid w:val="007058FB"/>
    <w:rsid w:val="00733DA0"/>
    <w:rsid w:val="00740634"/>
    <w:rsid w:val="007609A1"/>
    <w:rsid w:val="00785442"/>
    <w:rsid w:val="007957FB"/>
    <w:rsid w:val="007B6A58"/>
    <w:rsid w:val="007C4C18"/>
    <w:rsid w:val="007C78E5"/>
    <w:rsid w:val="007D1613"/>
    <w:rsid w:val="008174BA"/>
    <w:rsid w:val="00823917"/>
    <w:rsid w:val="008273CA"/>
    <w:rsid w:val="00840DDB"/>
    <w:rsid w:val="00846583"/>
    <w:rsid w:val="008478A4"/>
    <w:rsid w:val="00850C8F"/>
    <w:rsid w:val="00851075"/>
    <w:rsid w:val="0086054E"/>
    <w:rsid w:val="00873EE5"/>
    <w:rsid w:val="00876EB4"/>
    <w:rsid w:val="008811DB"/>
    <w:rsid w:val="00881F99"/>
    <w:rsid w:val="008B2CC1"/>
    <w:rsid w:val="008B4B5E"/>
    <w:rsid w:val="008B60B2"/>
    <w:rsid w:val="008E082E"/>
    <w:rsid w:val="008F1C01"/>
    <w:rsid w:val="0090731E"/>
    <w:rsid w:val="00914903"/>
    <w:rsid w:val="00915ED7"/>
    <w:rsid w:val="00916EE2"/>
    <w:rsid w:val="00921C3F"/>
    <w:rsid w:val="0093589A"/>
    <w:rsid w:val="00937AF0"/>
    <w:rsid w:val="009500A7"/>
    <w:rsid w:val="009544B8"/>
    <w:rsid w:val="00966A22"/>
    <w:rsid w:val="0096722F"/>
    <w:rsid w:val="00980843"/>
    <w:rsid w:val="009A497A"/>
    <w:rsid w:val="009B325A"/>
    <w:rsid w:val="009B360E"/>
    <w:rsid w:val="009E04F9"/>
    <w:rsid w:val="009E2791"/>
    <w:rsid w:val="009E3F6F"/>
    <w:rsid w:val="009E4649"/>
    <w:rsid w:val="009F18C0"/>
    <w:rsid w:val="009F3BF9"/>
    <w:rsid w:val="009F499F"/>
    <w:rsid w:val="00A00DCD"/>
    <w:rsid w:val="00A03851"/>
    <w:rsid w:val="00A42871"/>
    <w:rsid w:val="00A42DAF"/>
    <w:rsid w:val="00A45BD8"/>
    <w:rsid w:val="00A475FF"/>
    <w:rsid w:val="00A75E9E"/>
    <w:rsid w:val="00A778BF"/>
    <w:rsid w:val="00A824AF"/>
    <w:rsid w:val="00A85B8E"/>
    <w:rsid w:val="00A9401B"/>
    <w:rsid w:val="00AC205C"/>
    <w:rsid w:val="00AD064C"/>
    <w:rsid w:val="00AD292B"/>
    <w:rsid w:val="00AD3B67"/>
    <w:rsid w:val="00AD65F8"/>
    <w:rsid w:val="00AE2012"/>
    <w:rsid w:val="00AF5C73"/>
    <w:rsid w:val="00B0394D"/>
    <w:rsid w:val="00B05A69"/>
    <w:rsid w:val="00B14FF1"/>
    <w:rsid w:val="00B40598"/>
    <w:rsid w:val="00B50B99"/>
    <w:rsid w:val="00B55910"/>
    <w:rsid w:val="00B62CD9"/>
    <w:rsid w:val="00B66483"/>
    <w:rsid w:val="00B66588"/>
    <w:rsid w:val="00B77562"/>
    <w:rsid w:val="00B9734B"/>
    <w:rsid w:val="00BB4E34"/>
    <w:rsid w:val="00BC6A27"/>
    <w:rsid w:val="00C11BFE"/>
    <w:rsid w:val="00C40E51"/>
    <w:rsid w:val="00C511D8"/>
    <w:rsid w:val="00C85F98"/>
    <w:rsid w:val="00C94629"/>
    <w:rsid w:val="00CB1FDC"/>
    <w:rsid w:val="00CE65D4"/>
    <w:rsid w:val="00CF6DD8"/>
    <w:rsid w:val="00D17C84"/>
    <w:rsid w:val="00D45252"/>
    <w:rsid w:val="00D52732"/>
    <w:rsid w:val="00D71B4D"/>
    <w:rsid w:val="00D93D55"/>
    <w:rsid w:val="00DA0B40"/>
    <w:rsid w:val="00DD41E6"/>
    <w:rsid w:val="00DF18B1"/>
    <w:rsid w:val="00E049CB"/>
    <w:rsid w:val="00E161A2"/>
    <w:rsid w:val="00E24B5A"/>
    <w:rsid w:val="00E306D6"/>
    <w:rsid w:val="00E335FE"/>
    <w:rsid w:val="00E37870"/>
    <w:rsid w:val="00E5021F"/>
    <w:rsid w:val="00E56D22"/>
    <w:rsid w:val="00E671A6"/>
    <w:rsid w:val="00EA6E28"/>
    <w:rsid w:val="00EC4E49"/>
    <w:rsid w:val="00ED77FB"/>
    <w:rsid w:val="00EE3E76"/>
    <w:rsid w:val="00EF030A"/>
    <w:rsid w:val="00EF4B21"/>
    <w:rsid w:val="00F021A6"/>
    <w:rsid w:val="00F11D94"/>
    <w:rsid w:val="00F16112"/>
    <w:rsid w:val="00F16591"/>
    <w:rsid w:val="00F401D9"/>
    <w:rsid w:val="00F5605B"/>
    <w:rsid w:val="00F65686"/>
    <w:rsid w:val="00F66152"/>
    <w:rsid w:val="00F82EA2"/>
    <w:rsid w:val="00F93A87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B54C7"/>
  <w15:docId w15:val="{922BC981-A166-4AD2-BA3C-D538E664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37626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7623"/>
    <w:rPr>
      <w:i/>
      <w:iCs/>
    </w:rPr>
  </w:style>
  <w:style w:type="paragraph" w:styleId="Revision">
    <w:name w:val="Revision"/>
    <w:hidden/>
    <w:uiPriority w:val="99"/>
    <w:semiHidden/>
    <w:rsid w:val="006E0D8A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6E0D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D8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D8A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E0D8A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733DA0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3A7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ru/doc_details.jsp?doc_id=63187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export/sites/www/cws/en/pdf/blockchain-for-ip-ecosystem-whitepaper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export/sites/www/cws/en/pdf/blockchain-for-ip-ecosystem-whitepap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ments.un.org/doc/undoc/gen/v24/037/37/pdf/v2403737.pdf" TargetMode="External"/><Relationship Id="rId10" Type="http://schemas.openxmlformats.org/officeDocument/2006/relationships/hyperlink" Target="https://uncitral.un.org/en/texts/ecommerce/modellaw/electronic_transferable_record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jiu.org/news/blockchain-applications-united-nations-system-towards-state-readiness-jiurep20207" TargetMode="External"/><Relationship Id="rId14" Type="http://schemas.openxmlformats.org/officeDocument/2006/relationships/hyperlink" Target="https://uncitral.un.org/sites/uncitral.un.org/files/media-documents/uncitral/en/digitaleconomytaxonom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template-E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2F71-A26A-465F-8293-AD5DBAD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template-E (1).dotm</Template>
  <TotalTime>57</TotalTime>
  <Pages>3</Pages>
  <Words>767</Words>
  <Characters>5965</Characters>
  <Application>Microsoft Office Word</Application>
  <DocSecurity>0</DocSecurity>
  <Lines>121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WIPO ST.26</vt:lpstr>
    </vt:vector>
  </TitlesOfParts>
  <Company>WIPO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CWS/12/27</dc:title>
  <dc:subject>12th Session Committee on WIPO Standards</dc:subject>
  <dc:creator>WIPO</dc:creator>
  <cp:keywords>Комитет по стандартам ВОИС (КСВ) Двенадцатая сессия</cp:keywords>
  <dc:description/>
  <cp:lastModifiedBy>BLANCHET Gaspard</cp:lastModifiedBy>
  <cp:revision>12</cp:revision>
  <cp:lastPrinted>2011-02-15T11:56:00Z</cp:lastPrinted>
  <dcterms:created xsi:type="dcterms:W3CDTF">2024-08-07T14:22:00Z</dcterms:created>
  <dcterms:modified xsi:type="dcterms:W3CDTF">2024-08-20T15:09:00Z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2024-08-13T12:36:18Z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2f35c70d-036f-4887-a2ad-27e0990add4c</vt:lpwstr>
  </property>
  <property fmtid="{D5CDD505-2E9C-101B-9397-08002B2CF9AE}" pid="14" name="MSIP_Label_20773ee6-353b-4fb9-a59d-0b94c8c67bea_ContentBits">
    <vt:lpwstr>0</vt:lpwstr>
  </property>
</Properties>
</file>