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BB0A" w14:textId="5F1465AD" w:rsidR="008B2CC1" w:rsidRPr="008B2CC1" w:rsidRDefault="00F211ED" w:rsidP="00F11D94">
      <w:pPr>
        <w:spacing w:after="120"/>
        <w:jc w:val="right"/>
      </w:pPr>
      <w:r w:rsidRPr="0042194C">
        <w:rPr>
          <w:noProof/>
          <w:lang w:val="en-US"/>
        </w:rPr>
        <w:drawing>
          <wp:inline distT="0" distB="0" distL="0" distR="0" wp14:anchorId="2C8D8BFE" wp14:editId="4D406990">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601760">
        <w:rPr>
          <w:rFonts w:ascii="Arial Black" w:hAnsi="Arial Black"/>
          <w:caps/>
          <w:noProof/>
          <w:sz w:val="15"/>
          <w:szCs w:val="15"/>
        </w:rPr>
        <mc:AlternateContent>
          <mc:Choice Requires="wps">
            <w:drawing>
              <wp:inline distT="0" distB="0" distL="0" distR="0" wp14:anchorId="7358D312" wp14:editId="1A48348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088B9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60A2CF9" w14:textId="2BCCFCB0" w:rsidR="008B2CC1" w:rsidRPr="001024FE" w:rsidRDefault="000817DB" w:rsidP="001024FE">
      <w:pPr>
        <w:jc w:val="right"/>
        <w:rPr>
          <w:rFonts w:ascii="Arial Black" w:hAnsi="Arial Black"/>
          <w:caps/>
          <w:sz w:val="15"/>
          <w:szCs w:val="15"/>
        </w:rPr>
      </w:pPr>
      <w:r>
        <w:rPr>
          <w:rFonts w:ascii="Arial Black" w:hAnsi="Arial Black"/>
          <w:caps/>
          <w:sz w:val="15"/>
          <w:szCs w:val="15"/>
        </w:rPr>
        <w:t>CWS/12/</w:t>
      </w:r>
      <w:bookmarkStart w:id="0" w:name="Code"/>
      <w:bookmarkEnd w:id="0"/>
      <w:r>
        <w:rPr>
          <w:rFonts w:ascii="Arial Black" w:hAnsi="Arial Black"/>
          <w:caps/>
          <w:sz w:val="15"/>
          <w:szCs w:val="15"/>
        </w:rPr>
        <w:t xml:space="preserve">3 </w:t>
      </w:r>
    </w:p>
    <w:p w14:paraId="0F6C2B18" w14:textId="77777777" w:rsidR="00CE65D4" w:rsidRPr="00CE65D4" w:rsidRDefault="00CE65D4" w:rsidP="00CE65D4">
      <w:pPr>
        <w:jc w:val="right"/>
        <w:rPr>
          <w:rFonts w:ascii="Arial Black" w:hAnsi="Arial Black"/>
          <w:caps/>
          <w:sz w:val="15"/>
          <w:szCs w:val="15"/>
        </w:rPr>
      </w:pPr>
      <w:r>
        <w:rPr>
          <w:rFonts w:ascii="Arial Black" w:hAnsi="Arial Black"/>
          <w:caps/>
          <w:sz w:val="15"/>
          <w:szCs w:val="15"/>
        </w:rPr>
        <w:t xml:space="preserve">ОРИГИНАЛ: </w:t>
      </w:r>
      <w:bookmarkStart w:id="1" w:name="Original"/>
      <w:r>
        <w:rPr>
          <w:rFonts w:ascii="Arial Black" w:hAnsi="Arial Black"/>
          <w:caps/>
          <w:sz w:val="15"/>
          <w:szCs w:val="15"/>
        </w:rPr>
        <w:t>английский</w:t>
      </w:r>
    </w:p>
    <w:bookmarkEnd w:id="1"/>
    <w:p w14:paraId="43BDFB01" w14:textId="74C1C090" w:rsidR="008B2CC1" w:rsidRPr="00CE65D4" w:rsidRDefault="00CE65D4" w:rsidP="00CE65D4">
      <w:pPr>
        <w:spacing w:after="1200"/>
        <w:jc w:val="right"/>
        <w:rPr>
          <w:rFonts w:ascii="Arial Black" w:hAnsi="Arial Black"/>
          <w:caps/>
          <w:sz w:val="15"/>
          <w:szCs w:val="15"/>
        </w:rPr>
      </w:pPr>
      <w:r>
        <w:rPr>
          <w:rFonts w:ascii="Arial Black" w:hAnsi="Arial Black"/>
          <w:caps/>
          <w:sz w:val="15"/>
          <w:szCs w:val="15"/>
        </w:rPr>
        <w:t xml:space="preserve">ДАТА: </w:t>
      </w:r>
      <w:bookmarkStart w:id="2" w:name="Date"/>
      <w:r>
        <w:rPr>
          <w:rFonts w:ascii="Arial Black" w:hAnsi="Arial Black"/>
          <w:caps/>
          <w:sz w:val="15"/>
          <w:szCs w:val="15"/>
        </w:rPr>
        <w:t>12 августа 2024 года</w:t>
      </w:r>
    </w:p>
    <w:bookmarkEnd w:id="2"/>
    <w:p w14:paraId="6A53338C" w14:textId="77777777" w:rsidR="008B2CC1" w:rsidRPr="000817DB" w:rsidRDefault="000817DB" w:rsidP="00CE65D4">
      <w:pPr>
        <w:spacing w:after="600"/>
        <w:rPr>
          <w:b/>
          <w:sz w:val="28"/>
          <w:szCs w:val="28"/>
        </w:rPr>
      </w:pPr>
      <w:r>
        <w:rPr>
          <w:b/>
          <w:sz w:val="28"/>
          <w:szCs w:val="28"/>
        </w:rPr>
        <w:t>Комитет по стандартам ВОИС (КСВ)</w:t>
      </w:r>
    </w:p>
    <w:p w14:paraId="14ED6811" w14:textId="466C8936" w:rsidR="008B2CC1" w:rsidRPr="000817DB" w:rsidRDefault="00B45179" w:rsidP="008B2CC1">
      <w:pPr>
        <w:rPr>
          <w:b/>
          <w:sz w:val="28"/>
          <w:szCs w:val="24"/>
        </w:rPr>
      </w:pPr>
      <w:r>
        <w:rPr>
          <w:b/>
          <w:sz w:val="24"/>
        </w:rPr>
        <w:t>Двенадцатая сессия</w:t>
      </w:r>
    </w:p>
    <w:p w14:paraId="72BDFE5C" w14:textId="5CB3CEC9" w:rsidR="008B2CC1" w:rsidRPr="000817DB" w:rsidRDefault="000817DB" w:rsidP="00CE65D4">
      <w:pPr>
        <w:spacing w:after="720"/>
        <w:rPr>
          <w:sz w:val="24"/>
        </w:rPr>
      </w:pPr>
      <w:r>
        <w:rPr>
          <w:b/>
          <w:sz w:val="24"/>
        </w:rPr>
        <w:t>Женева, 16–19 сентября 2024 года</w:t>
      </w:r>
    </w:p>
    <w:p w14:paraId="7DD3F35F" w14:textId="7E552FD0" w:rsidR="008B2CC1" w:rsidRPr="009F3BF9" w:rsidRDefault="003A5D49" w:rsidP="00CE65D4">
      <w:pPr>
        <w:spacing w:after="360"/>
        <w:rPr>
          <w:caps/>
          <w:sz w:val="24"/>
        </w:rPr>
      </w:pPr>
      <w:bookmarkStart w:id="3" w:name="TitleOfDoc"/>
      <w:r>
        <w:rPr>
          <w:caps/>
          <w:sz w:val="24"/>
        </w:rPr>
        <w:t>Анкета по определению приоритетности задач КСВ</w:t>
      </w:r>
    </w:p>
    <w:p w14:paraId="2641EA20" w14:textId="1AE27CCD" w:rsidR="00935EA8" w:rsidRDefault="002D1D52" w:rsidP="00E2056B">
      <w:pPr>
        <w:spacing w:after="960"/>
        <w:rPr>
          <w:i/>
        </w:rPr>
      </w:pPr>
      <w:bookmarkStart w:id="4" w:name="Prepared"/>
      <w:bookmarkEnd w:id="3"/>
      <w:r>
        <w:rPr>
          <w:i/>
        </w:rPr>
        <w:t>Документ подготовлен Секретариатом</w:t>
      </w:r>
    </w:p>
    <w:p w14:paraId="6DA7F99F" w14:textId="30F65400" w:rsidR="00FC21D4" w:rsidRDefault="00694924" w:rsidP="003A5D49">
      <w:pPr>
        <w:pStyle w:val="Heading2"/>
        <w:spacing w:before="0" w:after="0"/>
        <w:rPr>
          <w:caps w:val="0"/>
        </w:rPr>
      </w:pPr>
      <w:r>
        <w:rPr>
          <w:caps w:val="0"/>
        </w:rPr>
        <w:t>РЕЗЮМЕ</w:t>
      </w:r>
    </w:p>
    <w:p w14:paraId="603ED1E2" w14:textId="6BD3B09A" w:rsidR="00694924" w:rsidRDefault="00694924" w:rsidP="00694924">
      <w:pPr>
        <w:pStyle w:val="ONUME"/>
        <w:numPr>
          <w:ilvl w:val="0"/>
          <w:numId w:val="0"/>
        </w:numPr>
      </w:pPr>
      <w:r w:rsidRPr="007C4727">
        <w:fldChar w:fldCharType="begin"/>
      </w:r>
      <w:r w:rsidRPr="007C4727">
        <w:instrText xml:space="preserve"> AUTONUM  </w:instrText>
      </w:r>
      <w:r w:rsidRPr="007C4727">
        <w:fldChar w:fldCharType="end"/>
      </w:r>
      <w:r>
        <w:tab/>
        <w:t xml:space="preserve">В настоящем документе предлагаются последующие шаги в отношении анкеты для проведения официального обследования, касающегося определения приоритетности задач в составе программы работы Комитета по стандартам ВОИС (КСВ). Секретариат считает, что результаты неофициального обследования, проведенного в июле 2024 года, были достаточными для достижения целей, поставленных на предыдущих сессиях КСВ.  </w:t>
      </w:r>
    </w:p>
    <w:p w14:paraId="66CE4077" w14:textId="06E2939E" w:rsidR="003A5D49" w:rsidRPr="007C4727" w:rsidRDefault="00E828FD" w:rsidP="003A5D49">
      <w:pPr>
        <w:pStyle w:val="Heading2"/>
        <w:spacing w:before="0" w:after="0"/>
      </w:pPr>
      <w:r>
        <w:rPr>
          <w:caps w:val="0"/>
        </w:rPr>
        <w:t>СПРАВОЧНАЯ ИНФОРМАЦИЯ</w:t>
      </w:r>
    </w:p>
    <w:p w14:paraId="787EF6E7" w14:textId="138E87ED" w:rsidR="00711233" w:rsidRDefault="003A5D49" w:rsidP="00711233">
      <w:pPr>
        <w:pStyle w:val="ONUME"/>
        <w:numPr>
          <w:ilvl w:val="0"/>
          <w:numId w:val="0"/>
        </w:numPr>
      </w:pPr>
      <w:r w:rsidRPr="007C4727">
        <w:fldChar w:fldCharType="begin"/>
      </w:r>
      <w:r w:rsidRPr="007C4727">
        <w:instrText xml:space="preserve"> AUTONUM  </w:instrText>
      </w:r>
      <w:r w:rsidRPr="007C4727">
        <w:fldChar w:fldCharType="end"/>
      </w:r>
      <w:r>
        <w:tab/>
        <w:t>На своей десятой сессии, состоявшейся в 2022 году, Комитет по стандартам ВОИС (КСВ) обсудил вопрос об определении приоритетности задач, составляющих его программу работы. Отметив, что у ведомств интеллектуальной собственности (ВИС) могут быть разные приоритеты, КСВ пришел к выводу, что при определении приоритетности задач Секретариату необходимо будет учесть несколько соображений, включая запланированные действия, которые должны быть выполнены Целевой группой, готовность участвующих ведомств к активному участию и уровень опыта этих ведомств.</w:t>
      </w:r>
      <w:r w:rsidR="00E828FD">
        <w:t xml:space="preserve"> </w:t>
      </w:r>
      <w:r>
        <w:t xml:space="preserve">(См. пункт 26 документа CWS/10/22). </w:t>
      </w:r>
    </w:p>
    <w:p w14:paraId="6EF6C7B6" w14:textId="5E0157DA" w:rsidR="00694924" w:rsidRDefault="006A28D1" w:rsidP="00711233">
      <w:pPr>
        <w:pStyle w:val="ONUME"/>
        <w:numPr>
          <w:ilvl w:val="0"/>
          <w:numId w:val="0"/>
        </w:numPr>
      </w:pPr>
      <w:r>
        <w:fldChar w:fldCharType="begin"/>
      </w:r>
      <w:r>
        <w:instrText xml:space="preserve"> AUTONUM  </w:instrText>
      </w:r>
      <w:r>
        <w:fldChar w:fldCharType="end"/>
      </w:r>
      <w:r>
        <w:tab/>
        <w:t>В ходе той же сессии Секретариат препроводил на рассмотрение КСВ ряд вопросов, относящихся к определению приоритетности задач и подготовке программы работы. Эти вопросы приведены ниже (см. пункт 13 документа CWS/10/3).</w:t>
      </w:r>
    </w:p>
    <w:p w14:paraId="3761B7EB" w14:textId="1700DE90" w:rsidR="00694924" w:rsidRPr="00746180" w:rsidRDefault="00694924" w:rsidP="00746180">
      <w:pPr>
        <w:pStyle w:val="ONUME"/>
        <w:numPr>
          <w:ilvl w:val="0"/>
          <w:numId w:val="29"/>
        </w:numPr>
        <w:ind w:left="450" w:hanging="63"/>
        <w:rPr>
          <w:i/>
          <w:iCs/>
        </w:rPr>
      </w:pPr>
      <w:r>
        <w:rPr>
          <w:i/>
          <w:iCs/>
        </w:rPr>
        <w:t xml:space="preserve">Что означает высокий уровень приоритетности задачи? Означает ли это, что все члены КСВ должны направить все свои усилия на решение высокоприоритетных задач в ущерб задач с более низким приоритетом? </w:t>
      </w:r>
      <w:r>
        <w:rPr>
          <w:i/>
          <w:iCs/>
        </w:rPr>
        <w:lastRenderedPageBreak/>
        <w:t xml:space="preserve">Означает ли это, что все члены Целевой группы должны предпринять определенные действия по данной задаче? Секретариат заметил, что большинство </w:t>
      </w:r>
      <w:r w:rsidR="00E828FD">
        <w:rPr>
          <w:i/>
          <w:iCs/>
        </w:rPr>
        <w:t>ц</w:t>
      </w:r>
      <w:r>
        <w:rPr>
          <w:i/>
          <w:iCs/>
        </w:rPr>
        <w:t>елевых групп состоит из небольшого числа высокомотивированных членов, иногда всего одного члена, которые в значительной степени продвигают работу; большего числа участвующих членов, которые участвуют в обзоре и представляют комментарии; и еще большего числа малоактивных членов, которые редко посещают заседания или представляют комментарии.</w:t>
      </w:r>
    </w:p>
    <w:p w14:paraId="57D7D232" w14:textId="5809AEEA" w:rsidR="00694924" w:rsidRPr="00746180" w:rsidRDefault="00694924" w:rsidP="00746180">
      <w:pPr>
        <w:pStyle w:val="ONUME"/>
        <w:numPr>
          <w:ilvl w:val="0"/>
          <w:numId w:val="0"/>
        </w:numPr>
        <w:ind w:left="450" w:hanging="63"/>
        <w:rPr>
          <w:i/>
          <w:iCs/>
        </w:rPr>
      </w:pPr>
      <w:r>
        <w:rPr>
          <w:i/>
          <w:iCs/>
        </w:rPr>
        <w:t>(b)</w:t>
      </w:r>
      <w:r w:rsidR="00E828FD">
        <w:rPr>
          <w:i/>
          <w:iCs/>
        </w:rPr>
        <w:tab/>
      </w:r>
      <w:r>
        <w:rPr>
          <w:i/>
          <w:iCs/>
        </w:rPr>
        <w:t xml:space="preserve">Целесообразно ли ограничение числа высокоприоритетных задач КСВ во избежание перегрузки его членов работой, которую будет невозможно выполнить своевременно? Если такое ограничение целесообразно, то каким образом следует ограничивать число высокоприоритетных задач с учетом того, что для выполнения разных задач требуется разное количество ресурсов и усилий? Так, пять простых задач могут быть реально выполнимы, в то время как </w:t>
      </w:r>
      <w:r w:rsidR="00E828FD">
        <w:rPr>
          <w:i/>
          <w:iCs/>
        </w:rPr>
        <w:t>обеспечить достижение прогресса по пяти сложным задачам может быть непросто</w:t>
      </w:r>
      <w:r>
        <w:rPr>
          <w:i/>
          <w:iCs/>
        </w:rPr>
        <w:t>.</w:t>
      </w:r>
    </w:p>
    <w:p w14:paraId="394AF0E3" w14:textId="2EABDEA7" w:rsidR="00694924" w:rsidRPr="00746180" w:rsidRDefault="00694924" w:rsidP="00746180">
      <w:pPr>
        <w:pStyle w:val="ONUME"/>
        <w:numPr>
          <w:ilvl w:val="0"/>
          <w:numId w:val="0"/>
        </w:numPr>
        <w:ind w:left="450" w:hanging="63"/>
        <w:rPr>
          <w:i/>
          <w:iCs/>
        </w:rPr>
      </w:pPr>
      <w:r>
        <w:rPr>
          <w:i/>
          <w:iCs/>
        </w:rPr>
        <w:t>(c)</w:t>
      </w:r>
      <w:r w:rsidR="00E828FD">
        <w:rPr>
          <w:i/>
          <w:iCs/>
        </w:rPr>
        <w:tab/>
      </w:r>
      <w:r>
        <w:rPr>
          <w:i/>
          <w:iCs/>
        </w:rPr>
        <w:t>Как следует поступать КСВ в случае выполнения выдвинувшими предложение ведомствами задачи с низким приоритетом? Следует ли отсрочить рассмотрение и принятие КСВ задач с низким приоритетом до тех пор, пока не будут выполнены задачи с более высоким приоритетом, или необходимо добиться по ним существенного прогресса?</w:t>
      </w:r>
    </w:p>
    <w:p w14:paraId="27E4B9EA" w14:textId="78B96E9C" w:rsidR="008722DE" w:rsidRDefault="006A28D1" w:rsidP="008722DE">
      <w:pPr>
        <w:pStyle w:val="ONUME"/>
        <w:numPr>
          <w:ilvl w:val="0"/>
          <w:numId w:val="0"/>
        </w:numPr>
      </w:pPr>
      <w:r>
        <w:fldChar w:fldCharType="begin"/>
      </w:r>
      <w:r>
        <w:instrText xml:space="preserve"> AUTONUM  </w:instrText>
      </w:r>
      <w:r>
        <w:fldChar w:fldCharType="end"/>
      </w:r>
      <w:r>
        <w:tab/>
        <w:t>На одиннадцатой сессии КСВ, как было согласовано на предыдущей сессии, Секретариат представил на рассмотрение КСВ проект анкеты для проведения обследования. Он был подготовлен Секретариатом на основе консультаций с руководителями целевых групп КСВ с целью определения приоритетности задач КСВ.  Некоторые делегации отметили отсутствие ясности в вопросе о том, на какой период времени рассчитана данная анкета и каковы дальнейшие шаги после получения ответов от ведомств. Несколько делегаций поинтересовались, повлияют ли на статус той или иной задачи их ответы на вопросы анкеты для проведения обследования. (См. пункты 34 и 36 документа CWS/11/28).</w:t>
      </w:r>
    </w:p>
    <w:p w14:paraId="028D114E" w14:textId="60C396EC" w:rsidR="008E478C" w:rsidRDefault="003673EA" w:rsidP="00711233">
      <w:pPr>
        <w:pStyle w:val="ONUME"/>
        <w:numPr>
          <w:ilvl w:val="0"/>
          <w:numId w:val="0"/>
        </w:numPr>
      </w:pPr>
      <w:r>
        <w:fldChar w:fldCharType="begin"/>
      </w:r>
      <w:r>
        <w:instrText xml:space="preserve"> AUTONUM  </w:instrText>
      </w:r>
      <w:r>
        <w:fldChar w:fldCharType="end"/>
      </w:r>
      <w:r>
        <w:tab/>
        <w:t>На той же сессии вместо утверждения проекта анкеты для проведения обследования КСВ согласовал следующее: членам целевых групп КСВ будет предложено совместно разработать упрощенную и улучшенную версию анкеты; новый пересмотренный проект анкеты будет представлен для рассмотрения на двенадцатой сессии; и информация о приоритизации задач членами целевых групп должна быть собрана</w:t>
      </w:r>
      <w:r w:rsidR="00E828FD" w:rsidRPr="00E828FD">
        <w:t xml:space="preserve"> </w:t>
      </w:r>
      <w:r w:rsidR="00E828FD">
        <w:t>в неофициальном порядке</w:t>
      </w:r>
      <w:r>
        <w:t>, и эти результаты должны быть представлены также на двенадцатой сессии. (См. пункт 40 документа CWS/11/28).</w:t>
      </w:r>
    </w:p>
    <w:p w14:paraId="5B19A0DD" w14:textId="46F0D2CD" w:rsidR="003A5D49" w:rsidRPr="007C4727" w:rsidRDefault="008E478C" w:rsidP="003A5D49">
      <w:pPr>
        <w:pStyle w:val="Heading2"/>
        <w:keepLines/>
        <w:spacing w:before="0" w:after="0"/>
      </w:pPr>
      <w:r>
        <w:rPr>
          <w:caps w:val="0"/>
        </w:rPr>
        <w:t>РЕЗУЛЬТАТЫ НЕОФИЦИАЛЬНОГО ОБСЛЕДОВАНИЯ ОБ ОПРЕДЕЛЕНИИ ПРИОРИТЕТНОСТИ</w:t>
      </w:r>
    </w:p>
    <w:p w14:paraId="20444823" w14:textId="4A604609" w:rsidR="008E478C" w:rsidRDefault="006A28D1" w:rsidP="003A5D49">
      <w:pPr>
        <w:pStyle w:val="ONUME"/>
        <w:keepLines/>
        <w:numPr>
          <w:ilvl w:val="0"/>
          <w:numId w:val="0"/>
        </w:numPr>
      </w:pPr>
      <w:r>
        <w:fldChar w:fldCharType="begin"/>
      </w:r>
      <w:r>
        <w:instrText xml:space="preserve"> AUTONUM  </w:instrText>
      </w:r>
      <w:r>
        <w:fldChar w:fldCharType="end"/>
      </w:r>
      <w:r>
        <w:tab/>
        <w:t xml:space="preserve">Как было решено на одиннадцатой сессии КСВ, Секретариат предложил всем членам целевых групп КСВ принять участие в неофициальном обследовании </w:t>
      </w:r>
      <w:r w:rsidR="00E828FD">
        <w:t>по</w:t>
      </w:r>
      <w:r>
        <w:t xml:space="preserve"> определени</w:t>
      </w:r>
      <w:r w:rsidR="00E828FD">
        <w:t>ю</w:t>
      </w:r>
      <w:r>
        <w:t xml:space="preserve"> приоритетности задач КСВ через общее вики-пространство для всех целевых групп КСВ. Анкета состояла из двух основных разделов: в первом ведомствам было предложено указать, какие из задач или видов деятельности КСВ, работа по которым ведется в настоящее время, они считают приоритетными, а во втором им нужно было указать, считают ли они, что результаты этого неформального обследования отвечают их целям. </w:t>
      </w:r>
    </w:p>
    <w:p w14:paraId="434540F6" w14:textId="709B4B41" w:rsidR="003673EA" w:rsidRDefault="00746180" w:rsidP="00846120">
      <w:pPr>
        <w:pStyle w:val="ONUME"/>
        <w:keepLines/>
        <w:numPr>
          <w:ilvl w:val="0"/>
          <w:numId w:val="0"/>
        </w:numPr>
      </w:pPr>
      <w:r>
        <w:fldChar w:fldCharType="begin"/>
      </w:r>
      <w:r>
        <w:instrText xml:space="preserve"> AUTONUM  </w:instrText>
      </w:r>
      <w:r>
        <w:fldChar w:fldCharType="end"/>
      </w:r>
      <w:r>
        <w:tab/>
        <w:t>Секретариат провел анализ ответов, полученных от 21 участвующего ведомства, в результате чего была определена следующая приоритетность задач КСВ, работа по которым ведется в настоящее время: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50"/>
        <w:gridCol w:w="2285"/>
      </w:tblGrid>
      <w:tr w:rsidR="00533EDF" w:rsidRPr="00533EDF" w14:paraId="0798A095" w14:textId="77777777" w:rsidTr="00E14A74">
        <w:trPr>
          <w:trHeight w:val="330"/>
        </w:trPr>
        <w:tc>
          <w:tcPr>
            <w:tcW w:w="14760" w:type="dxa"/>
            <w:shd w:val="clear" w:color="000000" w:fill="D9D9D9" w:themeFill="background1" w:themeFillShade="D9"/>
            <w:noWrap/>
            <w:vAlign w:val="center"/>
            <w:hideMark/>
          </w:tcPr>
          <w:p w14:paraId="28D7CC31" w14:textId="56FCA0E9" w:rsidR="00533EDF" w:rsidRPr="00533EDF" w:rsidRDefault="00533EDF" w:rsidP="00533EDF">
            <w:pPr>
              <w:rPr>
                <w:rFonts w:eastAsia="Times New Roman"/>
                <w:b/>
                <w:bCs/>
                <w:szCs w:val="22"/>
              </w:rPr>
            </w:pPr>
            <w:r>
              <w:rPr>
                <w:b/>
                <w:bCs/>
                <w:szCs w:val="22"/>
              </w:rPr>
              <w:lastRenderedPageBreak/>
              <w:t>Задач</w:t>
            </w:r>
            <w:r w:rsidR="00E828FD">
              <w:rPr>
                <w:b/>
                <w:bCs/>
                <w:szCs w:val="22"/>
              </w:rPr>
              <w:t>а</w:t>
            </w:r>
            <w:r>
              <w:rPr>
                <w:b/>
                <w:bCs/>
                <w:szCs w:val="22"/>
              </w:rPr>
              <w:t xml:space="preserve"> КСВ, работа по котор</w:t>
            </w:r>
            <w:r w:rsidR="00E828FD">
              <w:rPr>
                <w:b/>
                <w:bCs/>
                <w:szCs w:val="22"/>
              </w:rPr>
              <w:t>ой</w:t>
            </w:r>
            <w:r>
              <w:rPr>
                <w:b/>
                <w:bCs/>
                <w:szCs w:val="22"/>
              </w:rPr>
              <w:t xml:space="preserve"> ведется в настоящее время</w:t>
            </w:r>
          </w:p>
        </w:tc>
        <w:tc>
          <w:tcPr>
            <w:tcW w:w="4620" w:type="dxa"/>
            <w:shd w:val="clear" w:color="000000" w:fill="D9D9D9" w:themeFill="background1" w:themeFillShade="D9"/>
            <w:noWrap/>
            <w:vAlign w:val="center"/>
            <w:hideMark/>
          </w:tcPr>
          <w:p w14:paraId="79C14C4A" w14:textId="77777777" w:rsidR="00533EDF" w:rsidRPr="00533EDF" w:rsidRDefault="00533EDF" w:rsidP="00533EDF">
            <w:pPr>
              <w:rPr>
                <w:rFonts w:eastAsia="Times New Roman"/>
                <w:b/>
                <w:bCs/>
                <w:szCs w:val="22"/>
              </w:rPr>
            </w:pPr>
            <w:r>
              <w:rPr>
                <w:b/>
                <w:bCs/>
                <w:szCs w:val="22"/>
              </w:rPr>
              <w:t xml:space="preserve">Число ведомств, указавших приоритетность соответствующей задачи </w:t>
            </w:r>
          </w:p>
        </w:tc>
      </w:tr>
      <w:tr w:rsidR="00533EDF" w:rsidRPr="00533EDF" w14:paraId="3C9288F2" w14:textId="77777777" w:rsidTr="00E14A74">
        <w:trPr>
          <w:trHeight w:val="315"/>
        </w:trPr>
        <w:tc>
          <w:tcPr>
            <w:tcW w:w="14760" w:type="dxa"/>
            <w:shd w:val="clear" w:color="auto" w:fill="auto"/>
            <w:noWrap/>
            <w:vAlign w:val="center"/>
            <w:hideMark/>
          </w:tcPr>
          <w:p w14:paraId="0555249D" w14:textId="77777777" w:rsidR="00533EDF" w:rsidRPr="00533EDF" w:rsidRDefault="00533EDF" w:rsidP="00E14A74">
            <w:pPr>
              <w:spacing w:after="240"/>
              <w:rPr>
                <w:rFonts w:eastAsia="Times New Roman"/>
                <w:color w:val="000000"/>
                <w:sz w:val="20"/>
              </w:rPr>
            </w:pPr>
            <w:r>
              <w:rPr>
                <w:color w:val="000000"/>
                <w:sz w:val="20"/>
              </w:rPr>
              <w:t xml:space="preserve">Задача № 41. Поддержка необходимого пересмотра стандартов ВОИС ST.66, ST.86 и ST.96 </w:t>
            </w:r>
          </w:p>
        </w:tc>
        <w:tc>
          <w:tcPr>
            <w:tcW w:w="4620" w:type="dxa"/>
            <w:shd w:val="clear" w:color="auto" w:fill="auto"/>
            <w:noWrap/>
            <w:vAlign w:val="center"/>
            <w:hideMark/>
          </w:tcPr>
          <w:p w14:paraId="2E6A3C28" w14:textId="10A2F09B" w:rsidR="00533EDF" w:rsidRPr="00533EDF" w:rsidRDefault="00533EDF" w:rsidP="00E14A74">
            <w:pPr>
              <w:spacing w:after="240"/>
              <w:jc w:val="right"/>
              <w:rPr>
                <w:rFonts w:eastAsia="Times New Roman"/>
                <w:color w:val="000000"/>
                <w:sz w:val="20"/>
              </w:rPr>
            </w:pPr>
            <w:r>
              <w:rPr>
                <w:color w:val="000000"/>
                <w:sz w:val="20"/>
              </w:rPr>
              <w:t>11</w:t>
            </w:r>
          </w:p>
        </w:tc>
      </w:tr>
      <w:tr w:rsidR="00533EDF" w:rsidRPr="00533EDF" w14:paraId="4CA6FF3E" w14:textId="77777777" w:rsidTr="00E14A74">
        <w:trPr>
          <w:trHeight w:val="315"/>
        </w:trPr>
        <w:tc>
          <w:tcPr>
            <w:tcW w:w="14760" w:type="dxa"/>
            <w:shd w:val="clear" w:color="auto" w:fill="auto"/>
            <w:noWrap/>
            <w:vAlign w:val="center"/>
            <w:hideMark/>
          </w:tcPr>
          <w:p w14:paraId="5C9C9184" w14:textId="77777777" w:rsidR="00533EDF" w:rsidRPr="00533EDF" w:rsidRDefault="00533EDF" w:rsidP="00E14A74">
            <w:pPr>
              <w:spacing w:after="240"/>
              <w:rPr>
                <w:rFonts w:eastAsia="Times New Roman"/>
                <w:color w:val="000000"/>
                <w:sz w:val="20"/>
              </w:rPr>
            </w:pPr>
            <w:r>
              <w:rPr>
                <w:color w:val="000000"/>
                <w:sz w:val="20"/>
              </w:rPr>
              <w:t xml:space="preserve">Задача № 44. Поддержка необходимого пересмотра стандарта ВОИС ST.26 </w:t>
            </w:r>
          </w:p>
        </w:tc>
        <w:tc>
          <w:tcPr>
            <w:tcW w:w="4620" w:type="dxa"/>
            <w:shd w:val="clear" w:color="auto" w:fill="auto"/>
            <w:noWrap/>
            <w:vAlign w:val="center"/>
            <w:hideMark/>
          </w:tcPr>
          <w:p w14:paraId="7D875A7A" w14:textId="55F524AD" w:rsidR="00533EDF" w:rsidRPr="00533EDF" w:rsidRDefault="00533EDF" w:rsidP="00E14A74">
            <w:pPr>
              <w:spacing w:after="240"/>
              <w:jc w:val="right"/>
              <w:rPr>
                <w:rFonts w:eastAsia="Times New Roman"/>
                <w:color w:val="000000"/>
                <w:sz w:val="20"/>
              </w:rPr>
            </w:pPr>
            <w:r>
              <w:rPr>
                <w:color w:val="000000"/>
                <w:sz w:val="20"/>
              </w:rPr>
              <w:t>11</w:t>
            </w:r>
          </w:p>
        </w:tc>
      </w:tr>
      <w:tr w:rsidR="00533EDF" w:rsidRPr="00533EDF" w14:paraId="39EF60C6" w14:textId="77777777" w:rsidTr="00E14A74">
        <w:trPr>
          <w:trHeight w:val="315"/>
        </w:trPr>
        <w:tc>
          <w:tcPr>
            <w:tcW w:w="14760" w:type="dxa"/>
            <w:shd w:val="clear" w:color="auto" w:fill="auto"/>
            <w:noWrap/>
            <w:vAlign w:val="center"/>
            <w:hideMark/>
          </w:tcPr>
          <w:p w14:paraId="3D9AD05B" w14:textId="77777777" w:rsidR="00533EDF" w:rsidRPr="00533EDF" w:rsidRDefault="00533EDF" w:rsidP="00E14A74">
            <w:pPr>
              <w:spacing w:after="240"/>
              <w:rPr>
                <w:rFonts w:eastAsia="Times New Roman"/>
                <w:color w:val="000000"/>
                <w:sz w:val="20"/>
              </w:rPr>
            </w:pPr>
            <w:r>
              <w:rPr>
                <w:color w:val="000000"/>
                <w:sz w:val="20"/>
              </w:rPr>
              <w:t xml:space="preserve">Задача № 66. Представление или публикация ведомственного досье в соответствии со стандартом ВОИС ST.37 </w:t>
            </w:r>
          </w:p>
        </w:tc>
        <w:tc>
          <w:tcPr>
            <w:tcW w:w="4620" w:type="dxa"/>
            <w:shd w:val="clear" w:color="auto" w:fill="auto"/>
            <w:noWrap/>
            <w:vAlign w:val="center"/>
            <w:hideMark/>
          </w:tcPr>
          <w:p w14:paraId="7737FCEF" w14:textId="388CEDCB" w:rsidR="00533EDF" w:rsidRPr="00533EDF" w:rsidRDefault="00533EDF" w:rsidP="00E14A74">
            <w:pPr>
              <w:spacing w:after="240"/>
              <w:jc w:val="right"/>
              <w:rPr>
                <w:rFonts w:eastAsia="Times New Roman"/>
                <w:color w:val="000000"/>
                <w:sz w:val="20"/>
              </w:rPr>
            </w:pPr>
            <w:r>
              <w:rPr>
                <w:color w:val="000000"/>
                <w:sz w:val="20"/>
              </w:rPr>
              <w:t>11</w:t>
            </w:r>
          </w:p>
        </w:tc>
      </w:tr>
      <w:tr w:rsidR="00533EDF" w:rsidRPr="00533EDF" w14:paraId="0C7A98C5" w14:textId="77777777" w:rsidTr="00E14A74">
        <w:trPr>
          <w:trHeight w:val="315"/>
        </w:trPr>
        <w:tc>
          <w:tcPr>
            <w:tcW w:w="14760" w:type="dxa"/>
            <w:shd w:val="clear" w:color="auto" w:fill="auto"/>
            <w:noWrap/>
            <w:vAlign w:val="center"/>
            <w:hideMark/>
          </w:tcPr>
          <w:p w14:paraId="2F6060D3" w14:textId="77777777" w:rsidR="00533EDF" w:rsidRPr="00533EDF" w:rsidRDefault="00533EDF" w:rsidP="00E14A74">
            <w:pPr>
              <w:spacing w:after="240"/>
              <w:rPr>
                <w:rFonts w:eastAsia="Times New Roman"/>
                <w:color w:val="000000"/>
                <w:sz w:val="20"/>
              </w:rPr>
            </w:pPr>
            <w:r>
              <w:rPr>
                <w:color w:val="000000"/>
                <w:sz w:val="20"/>
              </w:rPr>
              <w:t xml:space="preserve">Задача № 47. Поддержка необходимого пересмотра стандартов ВОИС ST.27, ST.61 и/или ST.87 </w:t>
            </w:r>
          </w:p>
        </w:tc>
        <w:tc>
          <w:tcPr>
            <w:tcW w:w="4620" w:type="dxa"/>
            <w:shd w:val="clear" w:color="auto" w:fill="auto"/>
            <w:noWrap/>
            <w:vAlign w:val="center"/>
            <w:hideMark/>
          </w:tcPr>
          <w:p w14:paraId="1F6F50C7" w14:textId="118B62A2" w:rsidR="00533EDF" w:rsidRPr="00533EDF" w:rsidRDefault="00C76FC3" w:rsidP="00E14A74">
            <w:pPr>
              <w:spacing w:after="240"/>
              <w:jc w:val="right"/>
              <w:rPr>
                <w:rFonts w:eastAsia="Times New Roman"/>
                <w:color w:val="000000"/>
                <w:sz w:val="20"/>
              </w:rPr>
            </w:pPr>
            <w:r>
              <w:rPr>
                <w:color w:val="000000"/>
                <w:sz w:val="20"/>
              </w:rPr>
              <w:t>9</w:t>
            </w:r>
          </w:p>
        </w:tc>
      </w:tr>
      <w:tr w:rsidR="00533EDF" w:rsidRPr="00533EDF" w14:paraId="0ADF9890" w14:textId="77777777" w:rsidTr="00E14A74">
        <w:trPr>
          <w:trHeight w:val="315"/>
        </w:trPr>
        <w:tc>
          <w:tcPr>
            <w:tcW w:w="14760" w:type="dxa"/>
            <w:shd w:val="clear" w:color="auto" w:fill="auto"/>
            <w:noWrap/>
            <w:vAlign w:val="center"/>
            <w:hideMark/>
          </w:tcPr>
          <w:p w14:paraId="56437310" w14:textId="77777777" w:rsidR="00533EDF" w:rsidRPr="00533EDF" w:rsidRDefault="00533EDF" w:rsidP="00E14A74">
            <w:pPr>
              <w:spacing w:after="240"/>
              <w:rPr>
                <w:rFonts w:eastAsia="Times New Roman"/>
                <w:color w:val="000000"/>
                <w:sz w:val="20"/>
              </w:rPr>
            </w:pPr>
            <w:r>
              <w:rPr>
                <w:color w:val="000000"/>
                <w:sz w:val="20"/>
              </w:rPr>
              <w:t xml:space="preserve">Задача № 56. Популяризация и внедрение стандарта ВОИС ST.90 </w:t>
            </w:r>
          </w:p>
        </w:tc>
        <w:tc>
          <w:tcPr>
            <w:tcW w:w="4620" w:type="dxa"/>
            <w:shd w:val="clear" w:color="auto" w:fill="auto"/>
            <w:noWrap/>
            <w:vAlign w:val="center"/>
            <w:hideMark/>
          </w:tcPr>
          <w:p w14:paraId="74A2212C" w14:textId="2B53AB2F" w:rsidR="00533EDF" w:rsidRPr="00533EDF" w:rsidRDefault="00C76FC3" w:rsidP="00E14A74">
            <w:pPr>
              <w:spacing w:after="240"/>
              <w:jc w:val="right"/>
              <w:rPr>
                <w:rFonts w:eastAsia="Times New Roman"/>
                <w:color w:val="000000"/>
                <w:sz w:val="20"/>
              </w:rPr>
            </w:pPr>
            <w:r>
              <w:rPr>
                <w:color w:val="000000"/>
                <w:sz w:val="20"/>
              </w:rPr>
              <w:t>9</w:t>
            </w:r>
          </w:p>
        </w:tc>
      </w:tr>
      <w:tr w:rsidR="00533EDF" w:rsidRPr="00533EDF" w14:paraId="0412BEAB" w14:textId="77777777" w:rsidTr="00E14A74">
        <w:trPr>
          <w:trHeight w:val="315"/>
        </w:trPr>
        <w:tc>
          <w:tcPr>
            <w:tcW w:w="14760" w:type="dxa"/>
            <w:shd w:val="clear" w:color="auto" w:fill="auto"/>
            <w:noWrap/>
            <w:vAlign w:val="center"/>
            <w:hideMark/>
          </w:tcPr>
          <w:p w14:paraId="3EEC7E4A" w14:textId="77777777" w:rsidR="00533EDF" w:rsidRPr="00533EDF" w:rsidRDefault="00533EDF" w:rsidP="00E14A74">
            <w:pPr>
              <w:spacing w:after="240"/>
              <w:rPr>
                <w:rFonts w:eastAsia="Times New Roman"/>
                <w:color w:val="000000"/>
                <w:sz w:val="20"/>
              </w:rPr>
            </w:pPr>
            <w:r>
              <w:rPr>
                <w:color w:val="000000"/>
                <w:sz w:val="20"/>
              </w:rPr>
              <w:t xml:space="preserve">Задача № 41. Внедрение стандарта ВОИС ST.96 (любой компонент) </w:t>
            </w:r>
          </w:p>
        </w:tc>
        <w:tc>
          <w:tcPr>
            <w:tcW w:w="4620" w:type="dxa"/>
            <w:shd w:val="clear" w:color="auto" w:fill="auto"/>
            <w:noWrap/>
            <w:vAlign w:val="center"/>
            <w:hideMark/>
          </w:tcPr>
          <w:p w14:paraId="11B5BCA5" w14:textId="43DAE4BE" w:rsidR="00533EDF" w:rsidRPr="00533EDF" w:rsidRDefault="00C76FC3" w:rsidP="00E14A74">
            <w:pPr>
              <w:spacing w:after="240"/>
              <w:jc w:val="right"/>
              <w:rPr>
                <w:rFonts w:eastAsia="Times New Roman"/>
                <w:color w:val="000000"/>
                <w:sz w:val="20"/>
              </w:rPr>
            </w:pPr>
            <w:r>
              <w:rPr>
                <w:color w:val="000000"/>
                <w:sz w:val="20"/>
              </w:rPr>
              <w:t>8</w:t>
            </w:r>
          </w:p>
        </w:tc>
      </w:tr>
      <w:tr w:rsidR="00533EDF" w:rsidRPr="00533EDF" w14:paraId="497560E2" w14:textId="77777777" w:rsidTr="00E14A74">
        <w:trPr>
          <w:trHeight w:val="315"/>
        </w:trPr>
        <w:tc>
          <w:tcPr>
            <w:tcW w:w="14760" w:type="dxa"/>
            <w:shd w:val="clear" w:color="auto" w:fill="auto"/>
            <w:noWrap/>
            <w:vAlign w:val="center"/>
            <w:hideMark/>
          </w:tcPr>
          <w:p w14:paraId="5E29467D" w14:textId="77777777" w:rsidR="00533EDF" w:rsidRPr="00533EDF" w:rsidRDefault="00533EDF" w:rsidP="00E14A74">
            <w:pPr>
              <w:spacing w:after="240"/>
              <w:rPr>
                <w:rFonts w:eastAsia="Times New Roman"/>
                <w:color w:val="000000"/>
                <w:sz w:val="20"/>
              </w:rPr>
            </w:pPr>
            <w:r>
              <w:rPr>
                <w:color w:val="000000"/>
                <w:sz w:val="20"/>
              </w:rPr>
              <w:t xml:space="preserve">Задача № 44. Поддержка Международного бюро в обновлении пакета программных продуктов WIPO Sequence </w:t>
            </w:r>
          </w:p>
        </w:tc>
        <w:tc>
          <w:tcPr>
            <w:tcW w:w="4620" w:type="dxa"/>
            <w:shd w:val="clear" w:color="auto" w:fill="auto"/>
            <w:noWrap/>
            <w:vAlign w:val="center"/>
            <w:hideMark/>
          </w:tcPr>
          <w:p w14:paraId="7082153B" w14:textId="3F862F7B" w:rsidR="00533EDF" w:rsidRPr="00533EDF" w:rsidRDefault="00C76FC3" w:rsidP="00E14A74">
            <w:pPr>
              <w:spacing w:after="240"/>
              <w:jc w:val="right"/>
              <w:rPr>
                <w:rFonts w:eastAsia="Times New Roman"/>
                <w:color w:val="000000"/>
                <w:sz w:val="20"/>
              </w:rPr>
            </w:pPr>
            <w:r>
              <w:rPr>
                <w:color w:val="000000"/>
                <w:sz w:val="20"/>
              </w:rPr>
              <w:t>8</w:t>
            </w:r>
          </w:p>
        </w:tc>
      </w:tr>
      <w:tr w:rsidR="00533EDF" w:rsidRPr="00533EDF" w14:paraId="651E7249" w14:textId="77777777" w:rsidTr="00E14A74">
        <w:trPr>
          <w:trHeight w:val="315"/>
        </w:trPr>
        <w:tc>
          <w:tcPr>
            <w:tcW w:w="14760" w:type="dxa"/>
            <w:shd w:val="clear" w:color="auto" w:fill="auto"/>
            <w:noWrap/>
            <w:vAlign w:val="center"/>
            <w:hideMark/>
          </w:tcPr>
          <w:p w14:paraId="3712A009" w14:textId="77777777" w:rsidR="00533EDF" w:rsidRPr="00533EDF" w:rsidRDefault="00533EDF" w:rsidP="00E14A74">
            <w:pPr>
              <w:spacing w:after="240"/>
              <w:rPr>
                <w:rFonts w:eastAsia="Times New Roman"/>
                <w:color w:val="000000"/>
                <w:sz w:val="20"/>
              </w:rPr>
            </w:pPr>
            <w:r>
              <w:rPr>
                <w:color w:val="000000"/>
                <w:sz w:val="20"/>
              </w:rPr>
              <w:t xml:space="preserve">Задача № 24. Представление годовых технических отчетов по деятельности в области патентов, товарных знаков и промышленных образцов </w:t>
            </w:r>
          </w:p>
        </w:tc>
        <w:tc>
          <w:tcPr>
            <w:tcW w:w="4620" w:type="dxa"/>
            <w:shd w:val="clear" w:color="auto" w:fill="auto"/>
            <w:noWrap/>
            <w:vAlign w:val="center"/>
            <w:hideMark/>
          </w:tcPr>
          <w:p w14:paraId="60923C41" w14:textId="19D84F16" w:rsidR="00533EDF" w:rsidRPr="00533EDF" w:rsidRDefault="00C76FC3" w:rsidP="00E14A74">
            <w:pPr>
              <w:spacing w:after="240"/>
              <w:jc w:val="right"/>
              <w:rPr>
                <w:rFonts w:eastAsia="Times New Roman"/>
                <w:color w:val="000000"/>
                <w:sz w:val="20"/>
              </w:rPr>
            </w:pPr>
            <w:r>
              <w:rPr>
                <w:color w:val="000000"/>
                <w:sz w:val="20"/>
              </w:rPr>
              <w:t>7</w:t>
            </w:r>
          </w:p>
        </w:tc>
      </w:tr>
      <w:tr w:rsidR="00533EDF" w:rsidRPr="00533EDF" w14:paraId="0319D504" w14:textId="77777777" w:rsidTr="00E14A74">
        <w:trPr>
          <w:trHeight w:val="315"/>
        </w:trPr>
        <w:tc>
          <w:tcPr>
            <w:tcW w:w="14760" w:type="dxa"/>
            <w:shd w:val="clear" w:color="auto" w:fill="auto"/>
            <w:noWrap/>
            <w:vAlign w:val="center"/>
            <w:hideMark/>
          </w:tcPr>
          <w:p w14:paraId="5C135134" w14:textId="77777777" w:rsidR="00533EDF" w:rsidRPr="00533EDF" w:rsidRDefault="00533EDF" w:rsidP="00E14A74">
            <w:pPr>
              <w:spacing w:after="240"/>
              <w:rPr>
                <w:rFonts w:eastAsia="Times New Roman"/>
                <w:color w:val="000000"/>
                <w:sz w:val="20"/>
              </w:rPr>
            </w:pPr>
            <w:r>
              <w:rPr>
                <w:color w:val="000000"/>
                <w:sz w:val="20"/>
              </w:rPr>
              <w:t xml:space="preserve">Задача № 47. Внедрение стандартов ВОИС ST.27, ST.61 или ST.87 </w:t>
            </w:r>
          </w:p>
        </w:tc>
        <w:tc>
          <w:tcPr>
            <w:tcW w:w="4620" w:type="dxa"/>
            <w:shd w:val="clear" w:color="auto" w:fill="auto"/>
            <w:noWrap/>
            <w:vAlign w:val="center"/>
            <w:hideMark/>
          </w:tcPr>
          <w:p w14:paraId="6C1F2D4D" w14:textId="1A5ECAD2" w:rsidR="00533EDF" w:rsidRPr="00533EDF" w:rsidRDefault="00C76FC3" w:rsidP="00E14A74">
            <w:pPr>
              <w:spacing w:after="240"/>
              <w:jc w:val="right"/>
              <w:rPr>
                <w:rFonts w:eastAsia="Times New Roman"/>
                <w:color w:val="000000"/>
                <w:sz w:val="20"/>
              </w:rPr>
            </w:pPr>
            <w:r>
              <w:rPr>
                <w:color w:val="000000"/>
                <w:sz w:val="20"/>
              </w:rPr>
              <w:t>7</w:t>
            </w:r>
          </w:p>
        </w:tc>
      </w:tr>
      <w:tr w:rsidR="00533EDF" w:rsidRPr="00533EDF" w14:paraId="667687F0" w14:textId="77777777" w:rsidTr="00E14A74">
        <w:trPr>
          <w:trHeight w:val="315"/>
        </w:trPr>
        <w:tc>
          <w:tcPr>
            <w:tcW w:w="14760" w:type="dxa"/>
            <w:shd w:val="clear" w:color="auto" w:fill="auto"/>
            <w:noWrap/>
            <w:vAlign w:val="center"/>
            <w:hideMark/>
          </w:tcPr>
          <w:p w14:paraId="110DBF9D" w14:textId="77777777" w:rsidR="00533EDF" w:rsidRPr="00533EDF" w:rsidRDefault="00533EDF" w:rsidP="00E14A74">
            <w:pPr>
              <w:spacing w:after="240"/>
              <w:rPr>
                <w:rFonts w:eastAsia="Times New Roman"/>
                <w:color w:val="000000"/>
                <w:sz w:val="20"/>
              </w:rPr>
            </w:pPr>
            <w:r>
              <w:rPr>
                <w:color w:val="000000"/>
                <w:sz w:val="20"/>
              </w:rPr>
              <w:t xml:space="preserve">Задача № 56. Поддержка необходимого пересмотра стандарта ВОИС ST.90 </w:t>
            </w:r>
          </w:p>
        </w:tc>
        <w:tc>
          <w:tcPr>
            <w:tcW w:w="4620" w:type="dxa"/>
            <w:shd w:val="clear" w:color="auto" w:fill="auto"/>
            <w:noWrap/>
            <w:vAlign w:val="center"/>
            <w:hideMark/>
          </w:tcPr>
          <w:p w14:paraId="577CB69D" w14:textId="4197AD3C" w:rsidR="00533EDF" w:rsidRPr="00533EDF" w:rsidRDefault="00C76FC3" w:rsidP="00E14A74">
            <w:pPr>
              <w:spacing w:after="240"/>
              <w:jc w:val="right"/>
              <w:rPr>
                <w:rFonts w:eastAsia="Times New Roman"/>
                <w:color w:val="000000"/>
                <w:sz w:val="20"/>
              </w:rPr>
            </w:pPr>
            <w:r>
              <w:rPr>
                <w:color w:val="000000"/>
                <w:sz w:val="20"/>
              </w:rPr>
              <w:t>7</w:t>
            </w:r>
          </w:p>
        </w:tc>
      </w:tr>
      <w:tr w:rsidR="00533EDF" w:rsidRPr="00533EDF" w14:paraId="0B4E9EAA" w14:textId="77777777" w:rsidTr="00E14A74">
        <w:trPr>
          <w:trHeight w:val="315"/>
        </w:trPr>
        <w:tc>
          <w:tcPr>
            <w:tcW w:w="14760" w:type="dxa"/>
            <w:shd w:val="clear" w:color="auto" w:fill="auto"/>
            <w:noWrap/>
            <w:vAlign w:val="center"/>
            <w:hideMark/>
          </w:tcPr>
          <w:p w14:paraId="6C49F965" w14:textId="299D0F51" w:rsidR="00533EDF" w:rsidRPr="00533EDF" w:rsidRDefault="00533EDF" w:rsidP="00E14A74">
            <w:pPr>
              <w:spacing w:after="240"/>
              <w:rPr>
                <w:rFonts w:eastAsia="Times New Roman"/>
                <w:color w:val="000000"/>
                <w:sz w:val="20"/>
              </w:rPr>
            </w:pPr>
            <w:r>
              <w:rPr>
                <w:color w:val="000000"/>
                <w:sz w:val="20"/>
              </w:rPr>
              <w:t xml:space="preserve">Задача № 56. Поддержка разработки и </w:t>
            </w:r>
            <w:r w:rsidR="005D1870">
              <w:rPr>
                <w:color w:val="000000"/>
                <w:sz w:val="20"/>
              </w:rPr>
              <w:t>обновления</w:t>
            </w:r>
            <w:r>
              <w:rPr>
                <w:color w:val="000000"/>
                <w:sz w:val="20"/>
              </w:rPr>
              <w:t xml:space="preserve"> каталога API для ИС </w:t>
            </w:r>
          </w:p>
        </w:tc>
        <w:tc>
          <w:tcPr>
            <w:tcW w:w="4620" w:type="dxa"/>
            <w:shd w:val="clear" w:color="auto" w:fill="auto"/>
            <w:noWrap/>
            <w:vAlign w:val="center"/>
            <w:hideMark/>
          </w:tcPr>
          <w:p w14:paraId="6CF19784" w14:textId="72DDB38E" w:rsidR="00533EDF" w:rsidRPr="00533EDF" w:rsidRDefault="00C76FC3" w:rsidP="00E14A74">
            <w:pPr>
              <w:spacing w:after="240"/>
              <w:jc w:val="right"/>
              <w:rPr>
                <w:rFonts w:eastAsia="Times New Roman"/>
                <w:color w:val="000000"/>
                <w:sz w:val="20"/>
              </w:rPr>
            </w:pPr>
            <w:r>
              <w:rPr>
                <w:color w:val="000000"/>
                <w:sz w:val="20"/>
              </w:rPr>
              <w:t>7</w:t>
            </w:r>
          </w:p>
        </w:tc>
      </w:tr>
      <w:tr w:rsidR="00533EDF" w:rsidRPr="00533EDF" w14:paraId="0089491C" w14:textId="77777777" w:rsidTr="00E14A74">
        <w:trPr>
          <w:trHeight w:val="315"/>
        </w:trPr>
        <w:tc>
          <w:tcPr>
            <w:tcW w:w="14760" w:type="dxa"/>
            <w:shd w:val="clear" w:color="auto" w:fill="auto"/>
            <w:noWrap/>
            <w:vAlign w:val="center"/>
            <w:hideMark/>
          </w:tcPr>
          <w:p w14:paraId="62298F09" w14:textId="136B5599" w:rsidR="00533EDF" w:rsidRPr="00533EDF" w:rsidRDefault="00533EDF" w:rsidP="00E14A74">
            <w:pPr>
              <w:spacing w:after="240"/>
              <w:rPr>
                <w:rFonts w:eastAsia="Times New Roman"/>
                <w:color w:val="000000"/>
                <w:sz w:val="20"/>
              </w:rPr>
            </w:pPr>
            <w:r>
              <w:rPr>
                <w:color w:val="000000"/>
                <w:sz w:val="20"/>
              </w:rPr>
              <w:t xml:space="preserve">Задача № 62. Поддержка подготовки предложения по рекомендации в отношении общих технических требований к конвертеру документов из формата DOCX в формат XML (DOCX2XML) </w:t>
            </w:r>
          </w:p>
        </w:tc>
        <w:tc>
          <w:tcPr>
            <w:tcW w:w="4620" w:type="dxa"/>
            <w:shd w:val="clear" w:color="auto" w:fill="auto"/>
            <w:noWrap/>
            <w:vAlign w:val="center"/>
            <w:hideMark/>
          </w:tcPr>
          <w:p w14:paraId="6F613DB5" w14:textId="3E3E49D8" w:rsidR="00533EDF" w:rsidRPr="00533EDF" w:rsidRDefault="00C76FC3" w:rsidP="00E14A74">
            <w:pPr>
              <w:spacing w:after="240"/>
              <w:jc w:val="right"/>
              <w:rPr>
                <w:rFonts w:eastAsia="Times New Roman"/>
                <w:color w:val="000000"/>
                <w:sz w:val="20"/>
              </w:rPr>
            </w:pPr>
            <w:r>
              <w:rPr>
                <w:color w:val="000000"/>
                <w:sz w:val="20"/>
              </w:rPr>
              <w:t>7</w:t>
            </w:r>
          </w:p>
        </w:tc>
      </w:tr>
      <w:tr w:rsidR="00533EDF" w:rsidRPr="00533EDF" w14:paraId="2CA9262F" w14:textId="77777777" w:rsidTr="00E14A74">
        <w:trPr>
          <w:trHeight w:val="315"/>
        </w:trPr>
        <w:tc>
          <w:tcPr>
            <w:tcW w:w="14760" w:type="dxa"/>
            <w:shd w:val="clear" w:color="auto" w:fill="auto"/>
            <w:noWrap/>
            <w:vAlign w:val="center"/>
            <w:hideMark/>
          </w:tcPr>
          <w:p w14:paraId="2DC6707E" w14:textId="77777777" w:rsidR="00533EDF" w:rsidRPr="00533EDF" w:rsidRDefault="00533EDF" w:rsidP="00E14A74">
            <w:pPr>
              <w:spacing w:after="240"/>
              <w:rPr>
                <w:rFonts w:eastAsia="Times New Roman"/>
                <w:color w:val="000000"/>
                <w:sz w:val="20"/>
              </w:rPr>
            </w:pPr>
            <w:r>
              <w:rPr>
                <w:color w:val="000000"/>
                <w:sz w:val="20"/>
              </w:rPr>
              <w:t xml:space="preserve">Задача № 58. Поддержка подготовки предложения в отношении комплекса из 10 рекомендаций по управлению ИКТ и ИС </w:t>
            </w:r>
          </w:p>
        </w:tc>
        <w:tc>
          <w:tcPr>
            <w:tcW w:w="4620" w:type="dxa"/>
            <w:shd w:val="clear" w:color="auto" w:fill="auto"/>
            <w:noWrap/>
            <w:vAlign w:val="center"/>
            <w:hideMark/>
          </w:tcPr>
          <w:p w14:paraId="30D669E4" w14:textId="76A3B5A9" w:rsidR="00533EDF" w:rsidRPr="00533EDF" w:rsidRDefault="00C76FC3" w:rsidP="00E14A74">
            <w:pPr>
              <w:spacing w:after="240"/>
              <w:jc w:val="right"/>
              <w:rPr>
                <w:rFonts w:eastAsia="Times New Roman"/>
                <w:color w:val="000000"/>
                <w:sz w:val="20"/>
              </w:rPr>
            </w:pPr>
            <w:r>
              <w:rPr>
                <w:color w:val="000000"/>
                <w:sz w:val="20"/>
              </w:rPr>
              <w:t>6</w:t>
            </w:r>
          </w:p>
        </w:tc>
      </w:tr>
      <w:tr w:rsidR="00533EDF" w:rsidRPr="00533EDF" w14:paraId="609D129F" w14:textId="77777777" w:rsidTr="00E14A74">
        <w:trPr>
          <w:trHeight w:val="315"/>
        </w:trPr>
        <w:tc>
          <w:tcPr>
            <w:tcW w:w="14760" w:type="dxa"/>
            <w:shd w:val="clear" w:color="auto" w:fill="auto"/>
            <w:noWrap/>
            <w:vAlign w:val="center"/>
            <w:hideMark/>
          </w:tcPr>
          <w:p w14:paraId="702AACCE" w14:textId="77777777" w:rsidR="00533EDF" w:rsidRPr="00533EDF" w:rsidRDefault="00533EDF" w:rsidP="00E14A74">
            <w:pPr>
              <w:spacing w:after="240"/>
              <w:rPr>
                <w:rFonts w:eastAsia="Times New Roman"/>
                <w:color w:val="000000"/>
                <w:sz w:val="20"/>
              </w:rPr>
            </w:pPr>
            <w:r>
              <w:rPr>
                <w:color w:val="000000"/>
                <w:sz w:val="20"/>
              </w:rPr>
              <w:t xml:space="preserve">Задача № 59. Поддержка подготовки предложения в отношении нового стандарта ВОИС, поддерживающего потенциальное применение технологии блокчейна в рамках экосистемы ИС </w:t>
            </w:r>
          </w:p>
        </w:tc>
        <w:tc>
          <w:tcPr>
            <w:tcW w:w="4620" w:type="dxa"/>
            <w:shd w:val="clear" w:color="auto" w:fill="auto"/>
            <w:noWrap/>
            <w:vAlign w:val="center"/>
            <w:hideMark/>
          </w:tcPr>
          <w:p w14:paraId="30344739" w14:textId="77777777" w:rsidR="00533EDF" w:rsidRPr="00533EDF" w:rsidRDefault="00533EDF" w:rsidP="00E14A74">
            <w:pPr>
              <w:spacing w:after="240"/>
              <w:jc w:val="right"/>
              <w:rPr>
                <w:rFonts w:eastAsia="Times New Roman"/>
                <w:color w:val="000000"/>
                <w:sz w:val="20"/>
              </w:rPr>
            </w:pPr>
            <w:r>
              <w:rPr>
                <w:color w:val="000000"/>
                <w:sz w:val="20"/>
              </w:rPr>
              <w:t>5</w:t>
            </w:r>
          </w:p>
        </w:tc>
      </w:tr>
      <w:tr w:rsidR="00533EDF" w:rsidRPr="00533EDF" w14:paraId="4DB79B11" w14:textId="77777777" w:rsidTr="00E14A74">
        <w:trPr>
          <w:trHeight w:val="315"/>
        </w:trPr>
        <w:tc>
          <w:tcPr>
            <w:tcW w:w="14760" w:type="dxa"/>
            <w:shd w:val="clear" w:color="auto" w:fill="auto"/>
            <w:noWrap/>
            <w:vAlign w:val="center"/>
            <w:hideMark/>
          </w:tcPr>
          <w:p w14:paraId="04E05174" w14:textId="77777777" w:rsidR="00533EDF" w:rsidRPr="00533EDF" w:rsidRDefault="00533EDF" w:rsidP="00E14A74">
            <w:pPr>
              <w:spacing w:after="240"/>
              <w:rPr>
                <w:rFonts w:eastAsia="Times New Roman"/>
                <w:color w:val="000000"/>
                <w:sz w:val="20"/>
              </w:rPr>
            </w:pPr>
            <w:r>
              <w:rPr>
                <w:color w:val="000000"/>
                <w:sz w:val="20"/>
              </w:rPr>
              <w:t xml:space="preserve">Задача № 55. Поддержка подготовки предложения в отношении нового стандарта ВОИС по очистке данных об именах </w:t>
            </w:r>
          </w:p>
        </w:tc>
        <w:tc>
          <w:tcPr>
            <w:tcW w:w="4620" w:type="dxa"/>
            <w:shd w:val="clear" w:color="auto" w:fill="auto"/>
            <w:noWrap/>
            <w:vAlign w:val="center"/>
            <w:hideMark/>
          </w:tcPr>
          <w:p w14:paraId="2CA19400" w14:textId="77777777" w:rsidR="00533EDF" w:rsidRPr="00533EDF" w:rsidRDefault="00533EDF" w:rsidP="00E14A74">
            <w:pPr>
              <w:spacing w:after="240"/>
              <w:jc w:val="right"/>
              <w:rPr>
                <w:rFonts w:eastAsia="Times New Roman"/>
                <w:color w:val="000000"/>
                <w:sz w:val="20"/>
              </w:rPr>
            </w:pPr>
            <w:r>
              <w:rPr>
                <w:color w:val="000000"/>
                <w:sz w:val="20"/>
              </w:rPr>
              <w:t>4</w:t>
            </w:r>
          </w:p>
        </w:tc>
      </w:tr>
      <w:tr w:rsidR="00533EDF" w:rsidRPr="00533EDF" w14:paraId="0040B14D" w14:textId="77777777" w:rsidTr="00E14A74">
        <w:trPr>
          <w:trHeight w:val="315"/>
        </w:trPr>
        <w:tc>
          <w:tcPr>
            <w:tcW w:w="14760" w:type="dxa"/>
            <w:shd w:val="clear" w:color="auto" w:fill="auto"/>
            <w:noWrap/>
            <w:vAlign w:val="center"/>
            <w:hideMark/>
          </w:tcPr>
          <w:p w14:paraId="17C4B791" w14:textId="77777777" w:rsidR="00533EDF" w:rsidRPr="00533EDF" w:rsidRDefault="00533EDF" w:rsidP="00E14A74">
            <w:pPr>
              <w:spacing w:after="240"/>
              <w:rPr>
                <w:rFonts w:eastAsia="Times New Roman"/>
                <w:color w:val="000000"/>
                <w:sz w:val="20"/>
              </w:rPr>
            </w:pPr>
            <w:r>
              <w:rPr>
                <w:color w:val="000000"/>
                <w:sz w:val="20"/>
              </w:rPr>
              <w:t xml:space="preserve">Задача № 64. Поддержка необходимого пересмотра стандарта ВОИС ST.97 и внедрение этого стандарта </w:t>
            </w:r>
          </w:p>
        </w:tc>
        <w:tc>
          <w:tcPr>
            <w:tcW w:w="4620" w:type="dxa"/>
            <w:shd w:val="clear" w:color="auto" w:fill="auto"/>
            <w:noWrap/>
            <w:vAlign w:val="center"/>
            <w:hideMark/>
          </w:tcPr>
          <w:p w14:paraId="70C2E7BA" w14:textId="017D1E91" w:rsidR="00533EDF" w:rsidRPr="00533EDF" w:rsidRDefault="00C76FC3" w:rsidP="00E14A74">
            <w:pPr>
              <w:spacing w:after="240"/>
              <w:jc w:val="right"/>
              <w:rPr>
                <w:rFonts w:eastAsia="Times New Roman"/>
                <w:color w:val="000000"/>
                <w:sz w:val="20"/>
              </w:rPr>
            </w:pPr>
            <w:r>
              <w:rPr>
                <w:color w:val="000000"/>
                <w:sz w:val="20"/>
              </w:rPr>
              <w:t>5</w:t>
            </w:r>
          </w:p>
        </w:tc>
      </w:tr>
      <w:tr w:rsidR="00533EDF" w:rsidRPr="00533EDF" w14:paraId="6BF9D4CD" w14:textId="77777777" w:rsidTr="00E14A74">
        <w:trPr>
          <w:trHeight w:val="315"/>
        </w:trPr>
        <w:tc>
          <w:tcPr>
            <w:tcW w:w="14760" w:type="dxa"/>
            <w:shd w:val="clear" w:color="auto" w:fill="auto"/>
            <w:noWrap/>
            <w:vAlign w:val="center"/>
            <w:hideMark/>
          </w:tcPr>
          <w:p w14:paraId="4CDE8BA6" w14:textId="77777777" w:rsidR="00533EDF" w:rsidRPr="00533EDF" w:rsidRDefault="00533EDF" w:rsidP="00E14A74">
            <w:pPr>
              <w:spacing w:after="240"/>
              <w:rPr>
                <w:rFonts w:eastAsia="Times New Roman"/>
                <w:color w:val="000000"/>
                <w:sz w:val="20"/>
              </w:rPr>
            </w:pPr>
            <w:r>
              <w:rPr>
                <w:color w:val="000000"/>
                <w:sz w:val="20"/>
              </w:rPr>
              <w:t xml:space="preserve">Задача № 65. Внедрение нового стандарта ВОИС ST.92 </w:t>
            </w:r>
          </w:p>
        </w:tc>
        <w:tc>
          <w:tcPr>
            <w:tcW w:w="4620" w:type="dxa"/>
            <w:shd w:val="clear" w:color="auto" w:fill="auto"/>
            <w:noWrap/>
            <w:vAlign w:val="center"/>
            <w:hideMark/>
          </w:tcPr>
          <w:p w14:paraId="10A02D62" w14:textId="380A520E" w:rsidR="00533EDF" w:rsidRPr="00533EDF" w:rsidRDefault="00C76FC3" w:rsidP="00E14A74">
            <w:pPr>
              <w:spacing w:after="240"/>
              <w:jc w:val="right"/>
              <w:rPr>
                <w:rFonts w:eastAsia="Times New Roman"/>
                <w:color w:val="000000"/>
                <w:sz w:val="20"/>
              </w:rPr>
            </w:pPr>
            <w:r>
              <w:rPr>
                <w:color w:val="000000"/>
                <w:sz w:val="20"/>
              </w:rPr>
              <w:t>5</w:t>
            </w:r>
          </w:p>
        </w:tc>
      </w:tr>
      <w:tr w:rsidR="00533EDF" w:rsidRPr="00533EDF" w14:paraId="41D8EAE7" w14:textId="77777777" w:rsidTr="00E14A74">
        <w:trPr>
          <w:trHeight w:val="315"/>
        </w:trPr>
        <w:tc>
          <w:tcPr>
            <w:tcW w:w="14760" w:type="dxa"/>
            <w:shd w:val="clear" w:color="auto" w:fill="auto"/>
            <w:noWrap/>
            <w:vAlign w:val="center"/>
            <w:hideMark/>
          </w:tcPr>
          <w:p w14:paraId="6A65B242" w14:textId="77777777" w:rsidR="00533EDF" w:rsidRPr="00533EDF" w:rsidRDefault="00533EDF" w:rsidP="00E14A74">
            <w:pPr>
              <w:spacing w:after="240"/>
              <w:rPr>
                <w:rFonts w:eastAsia="Times New Roman"/>
                <w:color w:val="000000"/>
                <w:sz w:val="20"/>
              </w:rPr>
            </w:pPr>
            <w:r>
              <w:rPr>
                <w:color w:val="000000"/>
                <w:sz w:val="20"/>
              </w:rPr>
              <w:t xml:space="preserve">Задача № 61. Поддержка необходимого пересмотра стандарта ВОИС ST.91 </w:t>
            </w:r>
          </w:p>
        </w:tc>
        <w:tc>
          <w:tcPr>
            <w:tcW w:w="4620" w:type="dxa"/>
            <w:shd w:val="clear" w:color="auto" w:fill="auto"/>
            <w:noWrap/>
            <w:vAlign w:val="center"/>
            <w:hideMark/>
          </w:tcPr>
          <w:p w14:paraId="5A747C7F" w14:textId="7EFAB175" w:rsidR="00533EDF" w:rsidRPr="00533EDF" w:rsidRDefault="00C76FC3" w:rsidP="00E14A74">
            <w:pPr>
              <w:spacing w:after="240"/>
              <w:jc w:val="right"/>
              <w:rPr>
                <w:rFonts w:eastAsia="Times New Roman"/>
                <w:color w:val="000000"/>
                <w:sz w:val="20"/>
              </w:rPr>
            </w:pPr>
            <w:r>
              <w:rPr>
                <w:color w:val="000000"/>
                <w:sz w:val="20"/>
              </w:rPr>
              <w:t>4</w:t>
            </w:r>
          </w:p>
        </w:tc>
      </w:tr>
      <w:tr w:rsidR="00533EDF" w:rsidRPr="00533EDF" w14:paraId="6F2A592B" w14:textId="77777777" w:rsidTr="00E14A74">
        <w:trPr>
          <w:trHeight w:val="315"/>
        </w:trPr>
        <w:tc>
          <w:tcPr>
            <w:tcW w:w="14760" w:type="dxa"/>
            <w:shd w:val="clear" w:color="auto" w:fill="auto"/>
            <w:noWrap/>
            <w:vAlign w:val="center"/>
            <w:hideMark/>
          </w:tcPr>
          <w:p w14:paraId="39B886CC" w14:textId="77777777" w:rsidR="00533EDF" w:rsidRPr="00533EDF" w:rsidRDefault="00533EDF" w:rsidP="00E14A74">
            <w:pPr>
              <w:spacing w:after="240"/>
              <w:rPr>
                <w:rFonts w:eastAsia="Times New Roman"/>
                <w:color w:val="000000"/>
                <w:sz w:val="20"/>
              </w:rPr>
            </w:pPr>
            <w:r>
              <w:rPr>
                <w:color w:val="000000"/>
                <w:sz w:val="20"/>
              </w:rPr>
              <w:lastRenderedPageBreak/>
              <w:t xml:space="preserve">Задача № 65. Поддержка разработки нового стандарта ВОИС по пакету данных приоритетных документов (стандарт ВОИС ST.92) </w:t>
            </w:r>
          </w:p>
        </w:tc>
        <w:tc>
          <w:tcPr>
            <w:tcW w:w="4620" w:type="dxa"/>
            <w:shd w:val="clear" w:color="auto" w:fill="auto"/>
            <w:noWrap/>
            <w:vAlign w:val="center"/>
            <w:hideMark/>
          </w:tcPr>
          <w:p w14:paraId="771802A5" w14:textId="7276E105" w:rsidR="00533EDF" w:rsidRPr="00533EDF" w:rsidRDefault="00C76FC3" w:rsidP="00E14A74">
            <w:pPr>
              <w:spacing w:after="240"/>
              <w:jc w:val="right"/>
              <w:rPr>
                <w:rFonts w:eastAsia="Times New Roman"/>
                <w:color w:val="000000"/>
                <w:sz w:val="20"/>
              </w:rPr>
            </w:pPr>
            <w:r>
              <w:rPr>
                <w:color w:val="000000"/>
                <w:sz w:val="20"/>
              </w:rPr>
              <w:t>4</w:t>
            </w:r>
          </w:p>
        </w:tc>
      </w:tr>
      <w:tr w:rsidR="00533EDF" w:rsidRPr="00533EDF" w14:paraId="6E35E916" w14:textId="77777777" w:rsidTr="00E14A74">
        <w:trPr>
          <w:trHeight w:val="315"/>
        </w:trPr>
        <w:tc>
          <w:tcPr>
            <w:tcW w:w="14760" w:type="dxa"/>
            <w:shd w:val="clear" w:color="auto" w:fill="auto"/>
            <w:noWrap/>
            <w:vAlign w:val="center"/>
            <w:hideMark/>
          </w:tcPr>
          <w:p w14:paraId="46ABAFBF" w14:textId="77777777" w:rsidR="00533EDF" w:rsidRPr="00533EDF" w:rsidRDefault="00533EDF" w:rsidP="00E14A74">
            <w:pPr>
              <w:spacing w:after="240"/>
              <w:rPr>
                <w:rFonts w:eastAsia="Times New Roman"/>
                <w:color w:val="000000"/>
                <w:sz w:val="20"/>
              </w:rPr>
            </w:pPr>
            <w:r>
              <w:rPr>
                <w:color w:val="000000"/>
                <w:sz w:val="20"/>
              </w:rPr>
              <w:t xml:space="preserve">Задача № 50. Поддержка систематизации и обновления обследований, публикуемых в части 7 Справочника ВОИС </w:t>
            </w:r>
          </w:p>
        </w:tc>
        <w:tc>
          <w:tcPr>
            <w:tcW w:w="4620" w:type="dxa"/>
            <w:shd w:val="clear" w:color="auto" w:fill="auto"/>
            <w:noWrap/>
            <w:vAlign w:val="center"/>
            <w:hideMark/>
          </w:tcPr>
          <w:p w14:paraId="4382063B" w14:textId="77777777" w:rsidR="00533EDF" w:rsidRPr="00533EDF" w:rsidRDefault="00533EDF" w:rsidP="00E14A74">
            <w:pPr>
              <w:spacing w:after="240"/>
              <w:jc w:val="right"/>
              <w:rPr>
                <w:rFonts w:eastAsia="Times New Roman"/>
                <w:color w:val="000000"/>
                <w:sz w:val="20"/>
              </w:rPr>
            </w:pPr>
            <w:r>
              <w:rPr>
                <w:color w:val="000000"/>
                <w:sz w:val="20"/>
              </w:rPr>
              <w:t>2</w:t>
            </w:r>
          </w:p>
        </w:tc>
      </w:tr>
      <w:tr w:rsidR="00533EDF" w:rsidRPr="00533EDF" w14:paraId="126B3267" w14:textId="77777777" w:rsidTr="00E14A74">
        <w:trPr>
          <w:trHeight w:val="315"/>
        </w:trPr>
        <w:tc>
          <w:tcPr>
            <w:tcW w:w="14760" w:type="dxa"/>
            <w:shd w:val="clear" w:color="auto" w:fill="auto"/>
            <w:noWrap/>
            <w:vAlign w:val="center"/>
            <w:hideMark/>
          </w:tcPr>
          <w:p w14:paraId="253BE129" w14:textId="77777777" w:rsidR="00533EDF" w:rsidRPr="00533EDF" w:rsidRDefault="00533EDF" w:rsidP="00E14A74">
            <w:pPr>
              <w:spacing w:after="240"/>
              <w:rPr>
                <w:rFonts w:eastAsia="Times New Roman"/>
                <w:color w:val="000000"/>
                <w:sz w:val="20"/>
              </w:rPr>
            </w:pPr>
            <w:r>
              <w:rPr>
                <w:color w:val="000000"/>
                <w:sz w:val="20"/>
              </w:rPr>
              <w:t xml:space="preserve">Задача № 61. Внедрение стандарта ВОИС ST.91 </w:t>
            </w:r>
          </w:p>
        </w:tc>
        <w:tc>
          <w:tcPr>
            <w:tcW w:w="4620" w:type="dxa"/>
            <w:shd w:val="clear" w:color="auto" w:fill="auto"/>
            <w:noWrap/>
            <w:vAlign w:val="center"/>
            <w:hideMark/>
          </w:tcPr>
          <w:p w14:paraId="0539B897" w14:textId="55A35F0C" w:rsidR="00533EDF" w:rsidRPr="00533EDF" w:rsidRDefault="00C76FC3" w:rsidP="00E14A74">
            <w:pPr>
              <w:spacing w:after="240"/>
              <w:jc w:val="right"/>
              <w:rPr>
                <w:rFonts w:eastAsia="Times New Roman"/>
                <w:color w:val="000000"/>
                <w:sz w:val="20"/>
              </w:rPr>
            </w:pPr>
            <w:r>
              <w:rPr>
                <w:color w:val="000000"/>
                <w:sz w:val="20"/>
              </w:rPr>
              <w:t>3</w:t>
            </w:r>
          </w:p>
        </w:tc>
      </w:tr>
      <w:tr w:rsidR="00533EDF" w:rsidRPr="00533EDF" w14:paraId="7E1BE1AE" w14:textId="77777777" w:rsidTr="00E14A74">
        <w:trPr>
          <w:trHeight w:val="315"/>
        </w:trPr>
        <w:tc>
          <w:tcPr>
            <w:tcW w:w="14760" w:type="dxa"/>
            <w:shd w:val="clear" w:color="auto" w:fill="auto"/>
            <w:noWrap/>
            <w:vAlign w:val="center"/>
            <w:hideMark/>
          </w:tcPr>
          <w:p w14:paraId="35796014" w14:textId="77777777" w:rsidR="00533EDF" w:rsidRPr="00533EDF" w:rsidRDefault="00533EDF" w:rsidP="00E14A74">
            <w:pPr>
              <w:spacing w:after="240"/>
              <w:rPr>
                <w:rFonts w:eastAsia="Times New Roman"/>
                <w:color w:val="000000"/>
                <w:sz w:val="20"/>
              </w:rPr>
            </w:pPr>
            <w:r>
              <w:rPr>
                <w:color w:val="000000"/>
                <w:sz w:val="20"/>
              </w:rPr>
              <w:t xml:space="preserve">Задача № 62. Поддержка подготовки предложения о пересмотре стандартов ВОИС, разработанных для ориентированных на бумажный формат или изображения рабочих процессов и документации </w:t>
            </w:r>
          </w:p>
        </w:tc>
        <w:tc>
          <w:tcPr>
            <w:tcW w:w="4620" w:type="dxa"/>
            <w:shd w:val="clear" w:color="auto" w:fill="auto"/>
            <w:noWrap/>
            <w:vAlign w:val="center"/>
            <w:hideMark/>
          </w:tcPr>
          <w:p w14:paraId="0C679DC2" w14:textId="77777777" w:rsidR="00533EDF" w:rsidRPr="00533EDF" w:rsidRDefault="00533EDF" w:rsidP="00E14A74">
            <w:pPr>
              <w:spacing w:after="240"/>
              <w:jc w:val="right"/>
              <w:rPr>
                <w:rFonts w:eastAsia="Times New Roman"/>
                <w:color w:val="000000"/>
                <w:sz w:val="20"/>
              </w:rPr>
            </w:pPr>
            <w:r>
              <w:rPr>
                <w:color w:val="000000"/>
                <w:sz w:val="20"/>
              </w:rPr>
              <w:t>2</w:t>
            </w:r>
          </w:p>
        </w:tc>
      </w:tr>
      <w:tr w:rsidR="00533EDF" w:rsidRPr="00533EDF" w14:paraId="4209390F" w14:textId="77777777" w:rsidTr="00E14A74">
        <w:trPr>
          <w:trHeight w:val="315"/>
        </w:trPr>
        <w:tc>
          <w:tcPr>
            <w:tcW w:w="14760" w:type="dxa"/>
            <w:shd w:val="clear" w:color="auto" w:fill="auto"/>
            <w:noWrap/>
            <w:vAlign w:val="center"/>
            <w:hideMark/>
          </w:tcPr>
          <w:p w14:paraId="0EADD7FC" w14:textId="77777777" w:rsidR="00533EDF" w:rsidRPr="00533EDF" w:rsidRDefault="00533EDF" w:rsidP="00E14A74">
            <w:pPr>
              <w:spacing w:after="240"/>
              <w:rPr>
                <w:rFonts w:eastAsia="Times New Roman"/>
                <w:color w:val="000000"/>
                <w:sz w:val="20"/>
              </w:rPr>
            </w:pPr>
            <w:r>
              <w:rPr>
                <w:color w:val="000000"/>
                <w:sz w:val="20"/>
              </w:rPr>
              <w:t xml:space="preserve">Задача № 52. Поддержка подготовки предложения об обновлении части 6.1 Справочника ВОИС </w:t>
            </w:r>
          </w:p>
        </w:tc>
        <w:tc>
          <w:tcPr>
            <w:tcW w:w="4620" w:type="dxa"/>
            <w:shd w:val="clear" w:color="auto" w:fill="auto"/>
            <w:noWrap/>
            <w:vAlign w:val="center"/>
            <w:hideMark/>
          </w:tcPr>
          <w:p w14:paraId="3E43971E" w14:textId="77777777" w:rsidR="00533EDF" w:rsidRPr="00533EDF" w:rsidRDefault="00533EDF" w:rsidP="00E14A74">
            <w:pPr>
              <w:spacing w:after="240"/>
              <w:jc w:val="right"/>
              <w:rPr>
                <w:rFonts w:eastAsia="Times New Roman"/>
                <w:color w:val="000000"/>
                <w:sz w:val="20"/>
              </w:rPr>
            </w:pPr>
            <w:r>
              <w:rPr>
                <w:color w:val="000000"/>
                <w:sz w:val="20"/>
              </w:rPr>
              <w:t>1</w:t>
            </w:r>
          </w:p>
        </w:tc>
      </w:tr>
      <w:tr w:rsidR="00533EDF" w:rsidRPr="00533EDF" w14:paraId="3BB824B0" w14:textId="77777777" w:rsidTr="00E14A74">
        <w:trPr>
          <w:trHeight w:val="315"/>
        </w:trPr>
        <w:tc>
          <w:tcPr>
            <w:tcW w:w="14760" w:type="dxa"/>
            <w:shd w:val="clear" w:color="auto" w:fill="auto"/>
            <w:noWrap/>
            <w:vAlign w:val="center"/>
            <w:hideMark/>
          </w:tcPr>
          <w:p w14:paraId="76DEC226" w14:textId="77777777" w:rsidR="00533EDF" w:rsidRPr="00533EDF" w:rsidRDefault="00533EDF" w:rsidP="00E14A74">
            <w:pPr>
              <w:spacing w:after="240"/>
              <w:rPr>
                <w:rFonts w:eastAsia="Times New Roman"/>
                <w:color w:val="000000"/>
                <w:sz w:val="20"/>
              </w:rPr>
            </w:pPr>
            <w:r>
              <w:rPr>
                <w:color w:val="000000"/>
                <w:sz w:val="20"/>
              </w:rPr>
              <w:t xml:space="preserve">Задача № 63. Поддержка подготовки предложения о визуальном(-ых) представлении(-ях) XML-данных на основе XML-стандартов ВОИС для публикации в электронном виде </w:t>
            </w:r>
          </w:p>
        </w:tc>
        <w:tc>
          <w:tcPr>
            <w:tcW w:w="4620" w:type="dxa"/>
            <w:shd w:val="clear" w:color="auto" w:fill="auto"/>
            <w:noWrap/>
            <w:vAlign w:val="center"/>
            <w:hideMark/>
          </w:tcPr>
          <w:p w14:paraId="5ACB1381" w14:textId="77777777" w:rsidR="00533EDF" w:rsidRPr="00533EDF" w:rsidRDefault="00533EDF" w:rsidP="00E14A74">
            <w:pPr>
              <w:spacing w:after="240"/>
              <w:jc w:val="right"/>
              <w:rPr>
                <w:rFonts w:eastAsia="Times New Roman"/>
                <w:color w:val="000000"/>
                <w:sz w:val="20"/>
              </w:rPr>
            </w:pPr>
            <w:r>
              <w:rPr>
                <w:color w:val="000000"/>
                <w:sz w:val="20"/>
              </w:rPr>
              <w:t>1</w:t>
            </w:r>
          </w:p>
        </w:tc>
      </w:tr>
    </w:tbl>
    <w:p w14:paraId="4894E373" w14:textId="1FEBD5EA" w:rsidR="003673EA" w:rsidRDefault="003673EA" w:rsidP="00533EDF">
      <w:pPr>
        <w:pStyle w:val="ONUME"/>
        <w:keepLines/>
        <w:numPr>
          <w:ilvl w:val="0"/>
          <w:numId w:val="0"/>
        </w:numPr>
      </w:pPr>
    </w:p>
    <w:p w14:paraId="7097FCEA" w14:textId="20A1EDF6" w:rsidR="00663555" w:rsidRDefault="00533EDF" w:rsidP="003A5D49">
      <w:pPr>
        <w:pStyle w:val="ONUME"/>
        <w:keepLines/>
        <w:numPr>
          <w:ilvl w:val="0"/>
          <w:numId w:val="0"/>
        </w:numPr>
      </w:pPr>
      <w:r>
        <w:fldChar w:fldCharType="begin"/>
      </w:r>
      <w:r>
        <w:instrText xml:space="preserve"> AUTONUM  </w:instrText>
      </w:r>
      <w:r>
        <w:fldChar w:fldCharType="end"/>
      </w:r>
      <w:r>
        <w:tab/>
        <w:t>Что касается трех других сопутствующих видов деятельности КСВ, включенных в анкету, то были получены следующие ответы:</w:t>
      </w:r>
    </w:p>
    <w:tbl>
      <w:tblPr>
        <w:tblW w:w="9355" w:type="dxa"/>
        <w:tblLook w:val="04A0" w:firstRow="1" w:lastRow="0" w:firstColumn="1" w:lastColumn="0" w:noHBand="0" w:noVBand="1"/>
      </w:tblPr>
      <w:tblGrid>
        <w:gridCol w:w="7015"/>
        <w:gridCol w:w="2340"/>
      </w:tblGrid>
      <w:tr w:rsidR="00533EDF" w:rsidRPr="00663555" w14:paraId="42F7E558" w14:textId="77777777" w:rsidTr="00533EDF">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D63E93" w14:textId="2CB6AA04" w:rsidR="00533EDF" w:rsidRPr="00B27E2B" w:rsidRDefault="00533EDF" w:rsidP="00533EDF">
            <w:pPr>
              <w:rPr>
                <w:rFonts w:eastAsia="Times New Roman"/>
                <w:b/>
                <w:bCs/>
                <w:szCs w:val="22"/>
              </w:rPr>
            </w:pPr>
            <w:r>
              <w:rPr>
                <w:b/>
                <w:bCs/>
                <w:szCs w:val="22"/>
              </w:rPr>
              <w:t>Сопутствующие виды деятельности КСВ</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58C412" w14:textId="77777777" w:rsidR="00533EDF" w:rsidRPr="00B27E2B" w:rsidRDefault="00533EDF" w:rsidP="00533EDF">
            <w:pPr>
              <w:rPr>
                <w:rFonts w:eastAsia="Times New Roman"/>
                <w:b/>
                <w:bCs/>
                <w:szCs w:val="22"/>
              </w:rPr>
            </w:pPr>
            <w:r>
              <w:rPr>
                <w:b/>
                <w:bCs/>
                <w:szCs w:val="22"/>
              </w:rPr>
              <w:t>Число ведомств, указавших приоритетность</w:t>
            </w:r>
          </w:p>
          <w:p w14:paraId="7B2B30B1" w14:textId="1017D72E" w:rsidR="00533EDF" w:rsidRPr="00B27E2B" w:rsidRDefault="00533EDF" w:rsidP="00533EDF">
            <w:pPr>
              <w:rPr>
                <w:rFonts w:eastAsia="Times New Roman"/>
                <w:b/>
                <w:bCs/>
                <w:szCs w:val="22"/>
              </w:rPr>
            </w:pPr>
          </w:p>
        </w:tc>
      </w:tr>
      <w:tr w:rsidR="00533EDF" w:rsidRPr="00663555" w14:paraId="1F84068C" w14:textId="77777777" w:rsidTr="00533EDF">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CA94C" w14:textId="3B1FB84D" w:rsidR="00533EDF" w:rsidRPr="00663555" w:rsidRDefault="00533EDF" w:rsidP="00E14A74">
            <w:pPr>
              <w:spacing w:after="240"/>
              <w:rPr>
                <w:rFonts w:eastAsia="Times New Roman"/>
                <w:sz w:val="20"/>
              </w:rPr>
            </w:pPr>
            <w:r>
              <w:rPr>
                <w:sz w:val="20"/>
              </w:rPr>
              <w:t xml:space="preserve">Обмен данными по ИС с другими ведомствами </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6587A2F9" w14:textId="77822E4A" w:rsidR="00533EDF" w:rsidRPr="00663555" w:rsidRDefault="00533EDF" w:rsidP="00E14A74">
            <w:pPr>
              <w:spacing w:after="240"/>
              <w:jc w:val="right"/>
              <w:rPr>
                <w:rFonts w:eastAsia="Times New Roman"/>
                <w:sz w:val="20"/>
              </w:rPr>
            </w:pPr>
            <w:r>
              <w:rPr>
                <w:sz w:val="20"/>
              </w:rPr>
              <w:t>13</w:t>
            </w:r>
          </w:p>
        </w:tc>
      </w:tr>
      <w:tr w:rsidR="00533EDF" w:rsidRPr="00663555" w14:paraId="2FFE11E6" w14:textId="77777777" w:rsidTr="00533EDF">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60CA2" w14:textId="01B79E5E" w:rsidR="00533EDF" w:rsidRPr="00663555" w:rsidRDefault="00533EDF" w:rsidP="00E14A74">
            <w:pPr>
              <w:spacing w:after="240"/>
              <w:rPr>
                <w:rFonts w:eastAsia="Times New Roman"/>
                <w:sz w:val="20"/>
              </w:rPr>
            </w:pPr>
            <w:r>
              <w:rPr>
                <w:sz w:val="20"/>
              </w:rPr>
              <w:t xml:space="preserve">Участие в обучающих мероприятиях, посвященных стандартам ВОИС или продуктам, </w:t>
            </w:r>
            <w:r w:rsidR="005D1870">
              <w:rPr>
                <w:sz w:val="20"/>
              </w:rPr>
              <w:t xml:space="preserve">таким </w:t>
            </w:r>
            <w:r>
              <w:rPr>
                <w:sz w:val="20"/>
              </w:rPr>
              <w:t xml:space="preserve">как пакет программ WIPO Sequence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6D12179" w14:textId="77777777" w:rsidR="00533EDF" w:rsidRPr="00663555" w:rsidRDefault="00533EDF" w:rsidP="00E14A74">
            <w:pPr>
              <w:spacing w:after="240"/>
              <w:jc w:val="right"/>
              <w:rPr>
                <w:rFonts w:eastAsia="Times New Roman"/>
                <w:sz w:val="20"/>
              </w:rPr>
            </w:pPr>
            <w:r>
              <w:rPr>
                <w:sz w:val="20"/>
              </w:rPr>
              <w:t>6</w:t>
            </w:r>
          </w:p>
        </w:tc>
      </w:tr>
      <w:tr w:rsidR="00533EDF" w:rsidRPr="00663555" w14:paraId="49C055EF" w14:textId="77777777" w:rsidTr="00533EDF">
        <w:trPr>
          <w:trHeight w:val="255"/>
        </w:trPr>
        <w:tc>
          <w:tcPr>
            <w:tcW w:w="7015" w:type="dxa"/>
            <w:tcBorders>
              <w:top w:val="nil"/>
              <w:left w:val="single" w:sz="4" w:space="0" w:color="auto"/>
              <w:bottom w:val="single" w:sz="4" w:space="0" w:color="auto"/>
              <w:right w:val="single" w:sz="4" w:space="0" w:color="auto"/>
            </w:tcBorders>
            <w:shd w:val="clear" w:color="auto" w:fill="auto"/>
            <w:noWrap/>
            <w:vAlign w:val="bottom"/>
            <w:hideMark/>
          </w:tcPr>
          <w:p w14:paraId="41017075" w14:textId="77777777" w:rsidR="00533EDF" w:rsidRPr="00663555" w:rsidRDefault="00533EDF" w:rsidP="00E14A74">
            <w:pPr>
              <w:spacing w:after="240"/>
              <w:rPr>
                <w:rFonts w:eastAsia="Times New Roman"/>
                <w:sz w:val="20"/>
              </w:rPr>
            </w:pPr>
            <w:r>
              <w:rPr>
                <w:sz w:val="20"/>
              </w:rPr>
              <w:t xml:space="preserve">Внедрение других стандартов ВОИС, которые не упомянуты выше </w:t>
            </w:r>
          </w:p>
        </w:tc>
        <w:tc>
          <w:tcPr>
            <w:tcW w:w="2340" w:type="dxa"/>
            <w:tcBorders>
              <w:top w:val="nil"/>
              <w:left w:val="nil"/>
              <w:bottom w:val="single" w:sz="4" w:space="0" w:color="auto"/>
              <w:right w:val="single" w:sz="4" w:space="0" w:color="auto"/>
            </w:tcBorders>
            <w:shd w:val="clear" w:color="auto" w:fill="auto"/>
            <w:noWrap/>
            <w:vAlign w:val="bottom"/>
            <w:hideMark/>
          </w:tcPr>
          <w:p w14:paraId="21836B83" w14:textId="77777777" w:rsidR="00533EDF" w:rsidRPr="00663555" w:rsidRDefault="00533EDF" w:rsidP="00E14A74">
            <w:pPr>
              <w:spacing w:after="240"/>
              <w:jc w:val="right"/>
              <w:rPr>
                <w:rFonts w:eastAsia="Times New Roman"/>
                <w:sz w:val="20"/>
              </w:rPr>
            </w:pPr>
            <w:r>
              <w:rPr>
                <w:sz w:val="20"/>
              </w:rPr>
              <w:t>5</w:t>
            </w:r>
          </w:p>
        </w:tc>
      </w:tr>
    </w:tbl>
    <w:p w14:paraId="1079EFA1" w14:textId="77777777" w:rsidR="00663555" w:rsidRDefault="00663555" w:rsidP="003A5D49">
      <w:pPr>
        <w:pStyle w:val="ONUME"/>
        <w:keepLines/>
        <w:numPr>
          <w:ilvl w:val="0"/>
          <w:numId w:val="0"/>
        </w:numPr>
      </w:pPr>
    </w:p>
    <w:p w14:paraId="75EDDAE3" w14:textId="7C4339BC" w:rsidR="003673EA" w:rsidRDefault="00A34694" w:rsidP="003A5D49">
      <w:pPr>
        <w:pStyle w:val="ONUME"/>
        <w:keepLines/>
        <w:numPr>
          <w:ilvl w:val="0"/>
          <w:numId w:val="0"/>
        </w:numPr>
      </w:pPr>
      <w:r>
        <w:fldChar w:fldCharType="begin"/>
      </w:r>
      <w:r>
        <w:instrText xml:space="preserve"> AUTONUM  </w:instrText>
      </w:r>
      <w:r>
        <w:fldChar w:fldCharType="end"/>
      </w:r>
      <w:r>
        <w:tab/>
        <w:t>Наконец, 17 ведомств из 21 (81 процент) указали, что упрощенное обследование учитывает их замечания, выдвинутые на последней сессии КСВ. При этом два ведомства представили замечания в отношении того, как усовершенствовать анкету:</w:t>
      </w:r>
    </w:p>
    <w:p w14:paraId="46ED04AE" w14:textId="262B9765" w:rsidR="003673EA" w:rsidRDefault="00E14A74" w:rsidP="003673EA">
      <w:pPr>
        <w:pStyle w:val="ONUME"/>
        <w:keepLines/>
        <w:numPr>
          <w:ilvl w:val="0"/>
          <w:numId w:val="34"/>
        </w:numPr>
      </w:pPr>
      <w:r>
        <w:rPr>
          <w:i/>
        </w:rPr>
        <w:t>«В анкете учитываются подзадачи для различных задач КСВ.</w:t>
      </w:r>
      <w:r>
        <w:rPr>
          <w:i/>
          <w:iCs/>
        </w:rPr>
        <w:t xml:space="preserve"> Это положительное улучшение. В анкете отсутствует ранжирование или порядок подзадач, поддерживаемых каждым ведомством. </w:t>
      </w:r>
      <w:r>
        <w:rPr>
          <w:i/>
        </w:rPr>
        <w:t>Возможно, это помогло бы составить окончательный список подзадач</w:t>
      </w:r>
      <w:r w:rsidR="005D1870">
        <w:rPr>
          <w:i/>
        </w:rPr>
        <w:t xml:space="preserve">, расположенных </w:t>
      </w:r>
      <w:r>
        <w:rPr>
          <w:i/>
        </w:rPr>
        <w:t>от наиболее до наименее приоритетных».</w:t>
      </w:r>
      <w:r>
        <w:t xml:space="preserve">  </w:t>
      </w:r>
    </w:p>
    <w:p w14:paraId="23F5B72E" w14:textId="25DD7F47" w:rsidR="003673EA" w:rsidRDefault="00E14A74" w:rsidP="003673EA">
      <w:pPr>
        <w:pStyle w:val="ONUME"/>
        <w:keepLines/>
        <w:numPr>
          <w:ilvl w:val="0"/>
          <w:numId w:val="34"/>
        </w:numPr>
      </w:pPr>
      <w:r>
        <w:rPr>
          <w:i/>
        </w:rPr>
        <w:t>«[Э]то обследование — хорошее начало для того, чтобы лучше понять, в каких областях находятся приоритеты различных ВИС.</w:t>
      </w:r>
      <w:r>
        <w:rPr>
          <w:i/>
          <w:iCs/>
        </w:rPr>
        <w:t xml:space="preserve"> </w:t>
      </w:r>
      <w:r>
        <w:rPr>
          <w:i/>
        </w:rPr>
        <w:t xml:space="preserve">Ключевым моментом будет использование этой информации для поиска общих приоритетов, достижения консенсуса по этим избранным ключевым приоритетам и </w:t>
      </w:r>
      <w:r w:rsidR="005D1870">
        <w:rPr>
          <w:i/>
        </w:rPr>
        <w:t>обеспечения</w:t>
      </w:r>
      <w:r>
        <w:rPr>
          <w:i/>
        </w:rPr>
        <w:t xml:space="preserve"> результатов».</w:t>
      </w:r>
      <w:r>
        <w:t xml:space="preserve">  </w:t>
      </w:r>
    </w:p>
    <w:p w14:paraId="5A5E9DA7" w14:textId="071D42C7" w:rsidR="00E500A8" w:rsidRPr="007C4727" w:rsidRDefault="00E500A8" w:rsidP="001F27AF">
      <w:pPr>
        <w:pStyle w:val="Heading2"/>
        <w:keepLines/>
        <w:spacing w:after="0"/>
      </w:pPr>
      <w:r>
        <w:rPr>
          <w:caps w:val="0"/>
        </w:rPr>
        <w:lastRenderedPageBreak/>
        <w:t>ПРЕДЛОЖЕНИЕ В ОТНОШЕНИИ СЛЕДУЮЩЕГО ШАГА</w:t>
      </w:r>
    </w:p>
    <w:p w14:paraId="0ECCF930" w14:textId="29DA6D38" w:rsidR="00EE6DF0" w:rsidRDefault="008E3412" w:rsidP="00E500A8">
      <w:pPr>
        <w:pStyle w:val="ONUME"/>
        <w:keepLines/>
        <w:numPr>
          <w:ilvl w:val="0"/>
          <w:numId w:val="0"/>
        </w:numPr>
      </w:pPr>
      <w:r>
        <w:fldChar w:fldCharType="begin"/>
      </w:r>
      <w:r>
        <w:instrText xml:space="preserve"> AUTONUM  </w:instrText>
      </w:r>
      <w:r>
        <w:fldChar w:fldCharType="end"/>
      </w:r>
      <w:r>
        <w:tab/>
        <w:t>Секретариат напоминает КСВ о поставленных им вопросах, касающихся определения приоритетности задач, о которых идет речь в пункте 3 выше, и отмечает, что у разных ВИС, судя по всему, разные приоритеты и разное представление о срочности, в зависимости от их собственной рабочей повестки. Поэтому Секретариат предлагает использовать любые результаты обследования по определению приоритетности задач только в информационных целях, а не для установления приоритетов программы работы КСВ. Приведенный выше анализ результатов неформального обследования дает ведомствам все необходимые ориентиры для определения приоритетов в их собственной деятельности.</w:t>
      </w:r>
    </w:p>
    <w:p w14:paraId="5E9FC1EE" w14:textId="6E0621DD" w:rsidR="002F743C" w:rsidRDefault="0011617D" w:rsidP="00E500A8">
      <w:pPr>
        <w:pStyle w:val="ONUME"/>
        <w:keepLines/>
        <w:numPr>
          <w:ilvl w:val="0"/>
          <w:numId w:val="0"/>
        </w:numPr>
      </w:pPr>
      <w:r>
        <w:fldChar w:fldCharType="begin"/>
      </w:r>
      <w:r>
        <w:instrText xml:space="preserve"> AUTONUM  </w:instrText>
      </w:r>
      <w:r>
        <w:fldChar w:fldCharType="end"/>
      </w:r>
      <w:r>
        <w:tab/>
        <w:t xml:space="preserve">Секретариат считает, что результаты неофициального обследования, проведенного в июле 2024 года, были достаточными для достижения целей, поставленных на десятой и одиннадцатой сессиях КСВ. В связи с этим Секретариат считает, что проведение официального обследования по определению приоритетности не требуется. Поэтому на текущей сессии на рассмотрение не выносится официальная анкета для проведения обследования. Секретариат предлагает не проводить официальное обследование по определению приоритетности задач, а вместо этого предлагает КСВ анализировать приоритетность каждой задачи при рассмотрении своей программы. На этой сессии Программа работы и перечень задач КСВ представлены в качестве документа CWS/12/2.  </w:t>
      </w:r>
    </w:p>
    <w:p w14:paraId="7AD2E9E1" w14:textId="3D4B3056" w:rsidR="00E500A8" w:rsidRDefault="00E500A8" w:rsidP="00E500A8">
      <w:pPr>
        <w:pStyle w:val="ONUME"/>
        <w:keepLines/>
        <w:numPr>
          <w:ilvl w:val="0"/>
          <w:numId w:val="0"/>
        </w:numPr>
      </w:pPr>
    </w:p>
    <w:p w14:paraId="7C5739B5" w14:textId="77777777" w:rsidR="00C91454" w:rsidRDefault="00C91454" w:rsidP="00E500A8">
      <w:pPr>
        <w:pStyle w:val="ONUME"/>
        <w:keepLines/>
        <w:numPr>
          <w:ilvl w:val="0"/>
          <w:numId w:val="0"/>
        </w:numPr>
      </w:pPr>
    </w:p>
    <w:p w14:paraId="427615D6" w14:textId="77777777" w:rsidR="00E500A8" w:rsidRDefault="00E500A8" w:rsidP="003A5D49">
      <w:pPr>
        <w:pStyle w:val="ONUME"/>
        <w:keepLines/>
        <w:numPr>
          <w:ilvl w:val="0"/>
          <w:numId w:val="0"/>
        </w:numPr>
      </w:pPr>
    </w:p>
    <w:p w14:paraId="20EFE87F" w14:textId="77777777" w:rsidR="003A5D49" w:rsidRPr="007C4727" w:rsidRDefault="003A5D49" w:rsidP="003A5D49">
      <w:pPr>
        <w:pStyle w:val="ONUME"/>
        <w:keepNext/>
        <w:keepLines/>
        <w:numPr>
          <w:ilvl w:val="0"/>
          <w:numId w:val="0"/>
        </w:numPr>
        <w:ind w:left="5533"/>
        <w:rPr>
          <w:i/>
        </w:rPr>
      </w:pPr>
      <w:r w:rsidRPr="007C4727">
        <w:rPr>
          <w:i/>
        </w:rPr>
        <w:fldChar w:fldCharType="begin"/>
      </w:r>
      <w:r w:rsidRPr="007C4727">
        <w:rPr>
          <w:i/>
        </w:rPr>
        <w:instrText xml:space="preserve"> AUTONUM  </w:instrText>
      </w:r>
      <w:r w:rsidRPr="007C4727">
        <w:rPr>
          <w:i/>
        </w:rPr>
        <w:fldChar w:fldCharType="end"/>
      </w:r>
      <w:r>
        <w:rPr>
          <w:i/>
        </w:rPr>
        <w:tab/>
        <w:t xml:space="preserve">КСВ предлагается: </w:t>
      </w:r>
    </w:p>
    <w:p w14:paraId="2EB7112D" w14:textId="62824A34" w:rsidR="003A5D49" w:rsidRPr="007C4727" w:rsidRDefault="003A5D49" w:rsidP="00B647AC">
      <w:pPr>
        <w:pStyle w:val="BodyText"/>
        <w:keepNext/>
        <w:keepLines/>
        <w:tabs>
          <w:tab w:val="left" w:pos="6160"/>
          <w:tab w:val="left" w:pos="6710"/>
        </w:tabs>
        <w:spacing w:after="120"/>
        <w:ind w:left="5529"/>
        <w:rPr>
          <w:i/>
        </w:rPr>
      </w:pPr>
      <w:r>
        <w:rPr>
          <w:i/>
        </w:rPr>
        <w:tab/>
        <w:t>(a)</w:t>
      </w:r>
      <w:r>
        <w:rPr>
          <w:i/>
        </w:rPr>
        <w:tab/>
        <w:t>принять к сведению содержание настоящего документа; и</w:t>
      </w:r>
    </w:p>
    <w:p w14:paraId="401AC3CD" w14:textId="623B7EA4" w:rsidR="003A5D49" w:rsidRPr="007C4727" w:rsidRDefault="003A5D49" w:rsidP="003A5D49">
      <w:pPr>
        <w:pStyle w:val="BodyText"/>
        <w:keepNext/>
        <w:keepLines/>
        <w:tabs>
          <w:tab w:val="left" w:pos="6160"/>
          <w:tab w:val="left" w:pos="6710"/>
        </w:tabs>
        <w:spacing w:after="120"/>
        <w:ind w:left="5534"/>
        <w:rPr>
          <w:i/>
        </w:rPr>
      </w:pPr>
      <w:r>
        <w:rPr>
          <w:i/>
        </w:rPr>
        <w:tab/>
        <w:t>(b)</w:t>
      </w:r>
      <w:r>
        <w:rPr>
          <w:i/>
        </w:rPr>
        <w:tab/>
        <w:t>рассмотреть и утвердить предложение в отношении следующего шага, о чем идет речь в пунктах 10</w:t>
      </w:r>
      <w:r w:rsidR="00D04588" w:rsidRPr="00D04588">
        <w:rPr>
          <w:i/>
        </w:rPr>
        <w:t xml:space="preserve"> </w:t>
      </w:r>
      <w:r w:rsidR="00D04588">
        <w:rPr>
          <w:i/>
        </w:rPr>
        <w:t xml:space="preserve">и </w:t>
      </w:r>
      <w:r>
        <w:rPr>
          <w:i/>
        </w:rPr>
        <w:t>11 выше».</w:t>
      </w:r>
    </w:p>
    <w:p w14:paraId="4A4B59DA" w14:textId="77777777" w:rsidR="003A5D49" w:rsidRPr="0023484B" w:rsidRDefault="003A5D49" w:rsidP="003A5D49">
      <w:pPr>
        <w:pStyle w:val="BodyText"/>
        <w:keepNext/>
        <w:keepLines/>
        <w:tabs>
          <w:tab w:val="left" w:pos="6160"/>
          <w:tab w:val="left" w:pos="6710"/>
        </w:tabs>
        <w:spacing w:after="0"/>
        <w:ind w:left="5533"/>
      </w:pPr>
    </w:p>
    <w:p w14:paraId="47C2D59D" w14:textId="77777777" w:rsidR="003A5D49" w:rsidRPr="0023484B" w:rsidRDefault="003A5D49" w:rsidP="003A5D49">
      <w:pPr>
        <w:pStyle w:val="BodyText"/>
        <w:keepNext/>
        <w:keepLines/>
        <w:tabs>
          <w:tab w:val="left" w:pos="6160"/>
          <w:tab w:val="left" w:pos="6710"/>
        </w:tabs>
        <w:spacing w:after="0"/>
        <w:ind w:left="5533"/>
      </w:pPr>
    </w:p>
    <w:p w14:paraId="1889C493" w14:textId="0896E7C0" w:rsidR="00A652E9" w:rsidRDefault="003A5D49" w:rsidP="00A652E9">
      <w:pPr>
        <w:pStyle w:val="Endofdocument-Annex"/>
        <w:keepNext/>
        <w:keepLines/>
      </w:pPr>
      <w:r>
        <w:t>[Конец документа]</w:t>
      </w:r>
      <w:bookmarkEnd w:id="4"/>
      <w:r>
        <w:t xml:space="preserve"> </w:t>
      </w:r>
    </w:p>
    <w:p w14:paraId="20AC42CF" w14:textId="6AB47E75" w:rsidR="00B245EE" w:rsidRPr="00B245EE" w:rsidRDefault="00B245EE" w:rsidP="00FD2722">
      <w:pPr>
        <w:pStyle w:val="ONUME"/>
        <w:keepLines/>
        <w:numPr>
          <w:ilvl w:val="0"/>
          <w:numId w:val="0"/>
        </w:numPr>
        <w:ind w:left="567"/>
        <w:jc w:val="right"/>
      </w:pPr>
    </w:p>
    <w:sectPr w:rsidR="00B245EE" w:rsidRPr="00B245EE" w:rsidSect="002D1D5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6883C" w14:textId="77777777" w:rsidR="00BF2501" w:rsidRDefault="00BF2501">
      <w:r>
        <w:separator/>
      </w:r>
    </w:p>
  </w:endnote>
  <w:endnote w:type="continuationSeparator" w:id="0">
    <w:p w14:paraId="5B910B20" w14:textId="77777777" w:rsidR="00BF2501" w:rsidRDefault="00BF2501" w:rsidP="003B38C1">
      <w:r>
        <w:separator/>
      </w:r>
    </w:p>
    <w:p w14:paraId="6664A79C" w14:textId="77777777" w:rsidR="00BF2501" w:rsidRPr="0093640A" w:rsidRDefault="00BF2501" w:rsidP="003B38C1">
      <w:pPr>
        <w:spacing w:after="60"/>
        <w:rPr>
          <w:sz w:val="17"/>
          <w:lang w:val="en-GB"/>
        </w:rPr>
      </w:pPr>
      <w:r w:rsidRPr="0093640A">
        <w:rPr>
          <w:sz w:val="17"/>
          <w:lang w:val="en-GB"/>
        </w:rPr>
        <w:t>[Endnote continued from previous page]</w:t>
      </w:r>
    </w:p>
  </w:endnote>
  <w:endnote w:type="continuationNotice" w:id="1">
    <w:p w14:paraId="279BE8B8" w14:textId="77777777" w:rsidR="00BF2501" w:rsidRPr="0093640A" w:rsidRDefault="00BF2501" w:rsidP="003B38C1">
      <w:pPr>
        <w:spacing w:before="60"/>
        <w:jc w:val="right"/>
        <w:rPr>
          <w:sz w:val="17"/>
          <w:szCs w:val="17"/>
          <w:lang w:val="en-GB"/>
        </w:rPr>
      </w:pPr>
      <w:r w:rsidRPr="0093640A">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506D4" w14:textId="77777777" w:rsidR="00BF2501" w:rsidRDefault="00BF2501">
      <w:r>
        <w:separator/>
      </w:r>
    </w:p>
  </w:footnote>
  <w:footnote w:type="continuationSeparator" w:id="0">
    <w:p w14:paraId="7F000AFB" w14:textId="77777777" w:rsidR="00BF2501" w:rsidRDefault="00BF2501" w:rsidP="008B60B2">
      <w:r>
        <w:separator/>
      </w:r>
    </w:p>
    <w:p w14:paraId="3FB22FA7" w14:textId="77777777" w:rsidR="00BF2501" w:rsidRPr="0093640A" w:rsidRDefault="00BF2501" w:rsidP="008B60B2">
      <w:pPr>
        <w:spacing w:after="60"/>
        <w:rPr>
          <w:sz w:val="17"/>
          <w:szCs w:val="17"/>
          <w:lang w:val="en-GB"/>
        </w:rPr>
      </w:pPr>
      <w:r w:rsidRPr="0093640A">
        <w:rPr>
          <w:sz w:val="17"/>
          <w:szCs w:val="17"/>
          <w:lang w:val="en-GB"/>
        </w:rPr>
        <w:t>[Footnote continued from previous page]</w:t>
      </w:r>
    </w:p>
  </w:footnote>
  <w:footnote w:type="continuationNotice" w:id="1">
    <w:p w14:paraId="35B16B70" w14:textId="77777777" w:rsidR="00BF2501" w:rsidRPr="0093640A" w:rsidRDefault="00BF2501" w:rsidP="008B60B2">
      <w:pPr>
        <w:spacing w:before="60"/>
        <w:jc w:val="right"/>
        <w:rPr>
          <w:sz w:val="17"/>
          <w:szCs w:val="17"/>
          <w:lang w:val="en-GB"/>
        </w:rPr>
      </w:pPr>
      <w:r w:rsidRPr="0093640A">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DFF3" w14:textId="05EF6F05" w:rsidR="00E479C4" w:rsidRDefault="00E479C4" w:rsidP="00477D6B">
    <w:pPr>
      <w:jc w:val="right"/>
    </w:pPr>
    <w:r>
      <w:t>CWS/12/3</w:t>
    </w:r>
  </w:p>
  <w:p w14:paraId="70AB4DEF" w14:textId="32941B87" w:rsidR="00E479C4" w:rsidRDefault="00E479C4" w:rsidP="00477D6B">
    <w:pPr>
      <w:jc w:val="right"/>
    </w:pPr>
    <w:r>
      <w:t>стр. </w:t>
    </w:r>
    <w:r>
      <w:fldChar w:fldCharType="begin"/>
    </w:r>
    <w:r>
      <w:instrText xml:space="preserve"> PAGE  \* MERGEFORMAT </w:instrText>
    </w:r>
    <w:r>
      <w:fldChar w:fldCharType="separate"/>
    </w:r>
    <w:r w:rsidR="00A652E9">
      <w:t>3</w:t>
    </w:r>
    <w:r>
      <w:fldChar w:fldCharType="end"/>
    </w:r>
  </w:p>
  <w:p w14:paraId="76D9AFCC" w14:textId="77777777" w:rsidR="00E479C4" w:rsidRDefault="00E479C4" w:rsidP="00477D6B">
    <w:pPr>
      <w:jc w:val="right"/>
    </w:pPr>
  </w:p>
  <w:p w14:paraId="183A2D8E" w14:textId="77777777" w:rsidR="00E479C4" w:rsidRDefault="00E479C4"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9F9E0950"/>
    <w:lvl w:ilvl="0">
      <w:start w:val="1"/>
      <w:numFmt w:val="decimal"/>
      <w:lvlRestart w:val="0"/>
      <w:pStyle w:val="ONUME"/>
      <w:lvlText w:val="%1."/>
      <w:lvlJc w:val="left"/>
      <w:pPr>
        <w:tabs>
          <w:tab w:val="num" w:pos="1134"/>
        </w:tabs>
        <w:ind w:left="567" w:firstLine="0"/>
      </w:pPr>
      <w:rPr>
        <w:rFonts w:ascii="Arial" w:hAnsi="Arial" w:cs="Arial" w:hint="default"/>
        <w:b w:val="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08874D40"/>
    <w:multiLevelType w:val="hybridMultilevel"/>
    <w:tmpl w:val="C310F442"/>
    <w:lvl w:ilvl="0" w:tplc="602630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831EE"/>
    <w:multiLevelType w:val="hybridMultilevel"/>
    <w:tmpl w:val="829C0B96"/>
    <w:lvl w:ilvl="0" w:tplc="3DD463CA">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21E03E04"/>
    <w:multiLevelType w:val="hybridMultilevel"/>
    <w:tmpl w:val="FA308828"/>
    <w:lvl w:ilvl="0" w:tplc="E098D3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62287"/>
    <w:multiLevelType w:val="hybridMultilevel"/>
    <w:tmpl w:val="85602DEE"/>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9121C"/>
    <w:multiLevelType w:val="hybridMultilevel"/>
    <w:tmpl w:val="C66C9988"/>
    <w:lvl w:ilvl="0" w:tplc="BA76BEA2">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96204"/>
    <w:multiLevelType w:val="hybridMultilevel"/>
    <w:tmpl w:val="506C8E1C"/>
    <w:lvl w:ilvl="0" w:tplc="6026303C">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8D6E4E"/>
    <w:multiLevelType w:val="hybridMultilevel"/>
    <w:tmpl w:val="F696A220"/>
    <w:lvl w:ilvl="0" w:tplc="ECFAB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246988">
    <w:abstractNumId w:val="5"/>
  </w:num>
  <w:num w:numId="2" w16cid:durableId="286131440">
    <w:abstractNumId w:val="0"/>
  </w:num>
  <w:num w:numId="3" w16cid:durableId="1407453275">
    <w:abstractNumId w:val="3"/>
  </w:num>
  <w:num w:numId="4" w16cid:durableId="177088928">
    <w:abstractNumId w:val="2"/>
  </w:num>
  <w:num w:numId="5" w16cid:durableId="10688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04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78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297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0483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559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645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2607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975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288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2722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970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87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3354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761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9231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976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668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357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73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6196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7325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3222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8368932">
    <w:abstractNumId w:val="0"/>
  </w:num>
  <w:num w:numId="29" w16cid:durableId="986861092">
    <w:abstractNumId w:val="4"/>
  </w:num>
  <w:num w:numId="30" w16cid:durableId="1764715273">
    <w:abstractNumId w:val="9"/>
  </w:num>
  <w:num w:numId="31" w16cid:durableId="1054301">
    <w:abstractNumId w:val="8"/>
  </w:num>
  <w:num w:numId="32" w16cid:durableId="1685666131">
    <w:abstractNumId w:val="7"/>
  </w:num>
  <w:num w:numId="33" w16cid:durableId="1808623769">
    <w:abstractNumId w:val="1"/>
  </w:num>
  <w:num w:numId="34" w16cid:durableId="28817331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52"/>
    <w:rsid w:val="00016031"/>
    <w:rsid w:val="0001647B"/>
    <w:rsid w:val="0004050D"/>
    <w:rsid w:val="00043CAA"/>
    <w:rsid w:val="00075432"/>
    <w:rsid w:val="000817DB"/>
    <w:rsid w:val="000927FE"/>
    <w:rsid w:val="00095492"/>
    <w:rsid w:val="000968ED"/>
    <w:rsid w:val="0009713C"/>
    <w:rsid w:val="00097EC8"/>
    <w:rsid w:val="000F5E56"/>
    <w:rsid w:val="001024FE"/>
    <w:rsid w:val="0011617D"/>
    <w:rsid w:val="00122BD2"/>
    <w:rsid w:val="001362EE"/>
    <w:rsid w:val="001376C6"/>
    <w:rsid w:val="00142868"/>
    <w:rsid w:val="00153B96"/>
    <w:rsid w:val="00155B09"/>
    <w:rsid w:val="00156790"/>
    <w:rsid w:val="001607A3"/>
    <w:rsid w:val="001832A6"/>
    <w:rsid w:val="001838B1"/>
    <w:rsid w:val="001858BD"/>
    <w:rsid w:val="00185EB8"/>
    <w:rsid w:val="0019013A"/>
    <w:rsid w:val="00193726"/>
    <w:rsid w:val="001B1EDE"/>
    <w:rsid w:val="001C6808"/>
    <w:rsid w:val="001D27A3"/>
    <w:rsid w:val="001F27AF"/>
    <w:rsid w:val="002121FA"/>
    <w:rsid w:val="00234699"/>
    <w:rsid w:val="00237381"/>
    <w:rsid w:val="00241D18"/>
    <w:rsid w:val="0025714B"/>
    <w:rsid w:val="002634C4"/>
    <w:rsid w:val="00266BE6"/>
    <w:rsid w:val="00272B64"/>
    <w:rsid w:val="00284097"/>
    <w:rsid w:val="0028652A"/>
    <w:rsid w:val="002928D3"/>
    <w:rsid w:val="002B0379"/>
    <w:rsid w:val="002B49AE"/>
    <w:rsid w:val="002B76CB"/>
    <w:rsid w:val="002C5446"/>
    <w:rsid w:val="002D1D52"/>
    <w:rsid w:val="002D4280"/>
    <w:rsid w:val="002F1FE6"/>
    <w:rsid w:val="002F4E68"/>
    <w:rsid w:val="002F743C"/>
    <w:rsid w:val="002F7AD1"/>
    <w:rsid w:val="0030095D"/>
    <w:rsid w:val="00312F7F"/>
    <w:rsid w:val="003228B7"/>
    <w:rsid w:val="00340F42"/>
    <w:rsid w:val="00343323"/>
    <w:rsid w:val="003508A3"/>
    <w:rsid w:val="00362BA8"/>
    <w:rsid w:val="003673CF"/>
    <w:rsid w:val="003673EA"/>
    <w:rsid w:val="00373D8D"/>
    <w:rsid w:val="00373DF1"/>
    <w:rsid w:val="003845C1"/>
    <w:rsid w:val="00393DDF"/>
    <w:rsid w:val="003A5D49"/>
    <w:rsid w:val="003A6F89"/>
    <w:rsid w:val="003B1AC1"/>
    <w:rsid w:val="003B389D"/>
    <w:rsid w:val="003B38C1"/>
    <w:rsid w:val="003D352A"/>
    <w:rsid w:val="003E6430"/>
    <w:rsid w:val="003E6D4D"/>
    <w:rsid w:val="003F6895"/>
    <w:rsid w:val="00402B3E"/>
    <w:rsid w:val="00423E3E"/>
    <w:rsid w:val="00425590"/>
    <w:rsid w:val="00427AF4"/>
    <w:rsid w:val="00440089"/>
    <w:rsid w:val="004400E2"/>
    <w:rsid w:val="00461632"/>
    <w:rsid w:val="004647DA"/>
    <w:rsid w:val="00474062"/>
    <w:rsid w:val="00477D6B"/>
    <w:rsid w:val="004A685D"/>
    <w:rsid w:val="004B3FD2"/>
    <w:rsid w:val="004C4A9F"/>
    <w:rsid w:val="004D39C4"/>
    <w:rsid w:val="004D686A"/>
    <w:rsid w:val="004F1324"/>
    <w:rsid w:val="00523291"/>
    <w:rsid w:val="0053057A"/>
    <w:rsid w:val="00533EDF"/>
    <w:rsid w:val="00560A29"/>
    <w:rsid w:val="005663C5"/>
    <w:rsid w:val="00594D27"/>
    <w:rsid w:val="005A21AC"/>
    <w:rsid w:val="005B42D8"/>
    <w:rsid w:val="005B62A5"/>
    <w:rsid w:val="005C0BA7"/>
    <w:rsid w:val="005C64B6"/>
    <w:rsid w:val="005D1870"/>
    <w:rsid w:val="005E3609"/>
    <w:rsid w:val="005E7108"/>
    <w:rsid w:val="005F0345"/>
    <w:rsid w:val="005F041C"/>
    <w:rsid w:val="005F33D4"/>
    <w:rsid w:val="005F7464"/>
    <w:rsid w:val="00600D13"/>
    <w:rsid w:val="00601760"/>
    <w:rsid w:val="006038F3"/>
    <w:rsid w:val="00605827"/>
    <w:rsid w:val="00616396"/>
    <w:rsid w:val="00616BD5"/>
    <w:rsid w:val="00631777"/>
    <w:rsid w:val="00646050"/>
    <w:rsid w:val="00656AD9"/>
    <w:rsid w:val="006572C2"/>
    <w:rsid w:val="00663555"/>
    <w:rsid w:val="006713CA"/>
    <w:rsid w:val="00676C5C"/>
    <w:rsid w:val="0067731C"/>
    <w:rsid w:val="00681ABC"/>
    <w:rsid w:val="00682974"/>
    <w:rsid w:val="00684DD0"/>
    <w:rsid w:val="00694924"/>
    <w:rsid w:val="00695558"/>
    <w:rsid w:val="006A28D1"/>
    <w:rsid w:val="006D5E0F"/>
    <w:rsid w:val="006F2D05"/>
    <w:rsid w:val="007058FB"/>
    <w:rsid w:val="00707102"/>
    <w:rsid w:val="00711233"/>
    <w:rsid w:val="0072633F"/>
    <w:rsid w:val="007342F1"/>
    <w:rsid w:val="00735459"/>
    <w:rsid w:val="007377F8"/>
    <w:rsid w:val="00746180"/>
    <w:rsid w:val="007528A8"/>
    <w:rsid w:val="00754943"/>
    <w:rsid w:val="00793E88"/>
    <w:rsid w:val="007A1604"/>
    <w:rsid w:val="007B6A58"/>
    <w:rsid w:val="007D1613"/>
    <w:rsid w:val="007D704E"/>
    <w:rsid w:val="007E6803"/>
    <w:rsid w:val="00810734"/>
    <w:rsid w:val="0081137A"/>
    <w:rsid w:val="0082070B"/>
    <w:rsid w:val="00834E29"/>
    <w:rsid w:val="008404A1"/>
    <w:rsid w:val="0084493B"/>
    <w:rsid w:val="00845E43"/>
    <w:rsid w:val="00846120"/>
    <w:rsid w:val="008722DE"/>
    <w:rsid w:val="00873EE5"/>
    <w:rsid w:val="008A0FB7"/>
    <w:rsid w:val="008B2CC1"/>
    <w:rsid w:val="008B4B5E"/>
    <w:rsid w:val="008B60B2"/>
    <w:rsid w:val="008C5408"/>
    <w:rsid w:val="008D6A01"/>
    <w:rsid w:val="008E3412"/>
    <w:rsid w:val="008E478C"/>
    <w:rsid w:val="008F42A2"/>
    <w:rsid w:val="0090731E"/>
    <w:rsid w:val="00916EE2"/>
    <w:rsid w:val="0092104C"/>
    <w:rsid w:val="0092246D"/>
    <w:rsid w:val="0092320C"/>
    <w:rsid w:val="00934AA1"/>
    <w:rsid w:val="00935EA8"/>
    <w:rsid w:val="0093640A"/>
    <w:rsid w:val="009637F5"/>
    <w:rsid w:val="00966A22"/>
    <w:rsid w:val="0096722F"/>
    <w:rsid w:val="00980843"/>
    <w:rsid w:val="00987323"/>
    <w:rsid w:val="009B6E8C"/>
    <w:rsid w:val="009E2791"/>
    <w:rsid w:val="009E3F6F"/>
    <w:rsid w:val="009E6CC4"/>
    <w:rsid w:val="009F3BF9"/>
    <w:rsid w:val="009F499F"/>
    <w:rsid w:val="00A07531"/>
    <w:rsid w:val="00A34694"/>
    <w:rsid w:val="00A408DB"/>
    <w:rsid w:val="00A42DAF"/>
    <w:rsid w:val="00A45BD8"/>
    <w:rsid w:val="00A5030D"/>
    <w:rsid w:val="00A56A8F"/>
    <w:rsid w:val="00A652E9"/>
    <w:rsid w:val="00A778BF"/>
    <w:rsid w:val="00A85B8E"/>
    <w:rsid w:val="00AB09C6"/>
    <w:rsid w:val="00AC205C"/>
    <w:rsid w:val="00AD0D4F"/>
    <w:rsid w:val="00AD58B1"/>
    <w:rsid w:val="00AF5C73"/>
    <w:rsid w:val="00AF60DB"/>
    <w:rsid w:val="00B039ED"/>
    <w:rsid w:val="00B05A69"/>
    <w:rsid w:val="00B245EE"/>
    <w:rsid w:val="00B24772"/>
    <w:rsid w:val="00B27E2B"/>
    <w:rsid w:val="00B40598"/>
    <w:rsid w:val="00B45179"/>
    <w:rsid w:val="00B478A1"/>
    <w:rsid w:val="00B50B99"/>
    <w:rsid w:val="00B62CD9"/>
    <w:rsid w:val="00B640D0"/>
    <w:rsid w:val="00B647AC"/>
    <w:rsid w:val="00B77929"/>
    <w:rsid w:val="00B910CB"/>
    <w:rsid w:val="00B939FB"/>
    <w:rsid w:val="00B9734B"/>
    <w:rsid w:val="00BA2879"/>
    <w:rsid w:val="00BC4A77"/>
    <w:rsid w:val="00BD3464"/>
    <w:rsid w:val="00BF2501"/>
    <w:rsid w:val="00BF3C37"/>
    <w:rsid w:val="00C11BFE"/>
    <w:rsid w:val="00C12B39"/>
    <w:rsid w:val="00C15699"/>
    <w:rsid w:val="00C30583"/>
    <w:rsid w:val="00C32839"/>
    <w:rsid w:val="00C32E7D"/>
    <w:rsid w:val="00C76FC3"/>
    <w:rsid w:val="00C770A8"/>
    <w:rsid w:val="00C833ED"/>
    <w:rsid w:val="00C91454"/>
    <w:rsid w:val="00C94629"/>
    <w:rsid w:val="00CA18D0"/>
    <w:rsid w:val="00CE0383"/>
    <w:rsid w:val="00CE65D4"/>
    <w:rsid w:val="00CF1245"/>
    <w:rsid w:val="00D02157"/>
    <w:rsid w:val="00D04588"/>
    <w:rsid w:val="00D079B8"/>
    <w:rsid w:val="00D17ED9"/>
    <w:rsid w:val="00D24097"/>
    <w:rsid w:val="00D37A73"/>
    <w:rsid w:val="00D45252"/>
    <w:rsid w:val="00D53E43"/>
    <w:rsid w:val="00D542D5"/>
    <w:rsid w:val="00D571B2"/>
    <w:rsid w:val="00D62339"/>
    <w:rsid w:val="00D6719B"/>
    <w:rsid w:val="00D71B4D"/>
    <w:rsid w:val="00D90E65"/>
    <w:rsid w:val="00D93D55"/>
    <w:rsid w:val="00DA23B1"/>
    <w:rsid w:val="00DB6CC3"/>
    <w:rsid w:val="00E14A74"/>
    <w:rsid w:val="00E161A2"/>
    <w:rsid w:val="00E176A1"/>
    <w:rsid w:val="00E2056B"/>
    <w:rsid w:val="00E335FE"/>
    <w:rsid w:val="00E479C4"/>
    <w:rsid w:val="00E500A8"/>
    <w:rsid w:val="00E5021F"/>
    <w:rsid w:val="00E50A0A"/>
    <w:rsid w:val="00E671A6"/>
    <w:rsid w:val="00E7010D"/>
    <w:rsid w:val="00E752C7"/>
    <w:rsid w:val="00E828FD"/>
    <w:rsid w:val="00EA3034"/>
    <w:rsid w:val="00EA7EDE"/>
    <w:rsid w:val="00EB4DBD"/>
    <w:rsid w:val="00EC4E49"/>
    <w:rsid w:val="00ED77FB"/>
    <w:rsid w:val="00EE3B0E"/>
    <w:rsid w:val="00EE494D"/>
    <w:rsid w:val="00EE4EFC"/>
    <w:rsid w:val="00EE6DF0"/>
    <w:rsid w:val="00F021A6"/>
    <w:rsid w:val="00F063FB"/>
    <w:rsid w:val="00F11D94"/>
    <w:rsid w:val="00F211ED"/>
    <w:rsid w:val="00F2245C"/>
    <w:rsid w:val="00F278AE"/>
    <w:rsid w:val="00F30FEE"/>
    <w:rsid w:val="00F65686"/>
    <w:rsid w:val="00F66152"/>
    <w:rsid w:val="00F66FBB"/>
    <w:rsid w:val="00F82E98"/>
    <w:rsid w:val="00F86420"/>
    <w:rsid w:val="00F90886"/>
    <w:rsid w:val="00F93FB1"/>
    <w:rsid w:val="00FA618E"/>
    <w:rsid w:val="00FA7EC7"/>
    <w:rsid w:val="00FC21D4"/>
    <w:rsid w:val="00FD2722"/>
    <w:rsid w:val="00FD2A7C"/>
    <w:rsid w:val="00FD583A"/>
    <w:rsid w:val="00FE4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5A0C4"/>
  <w15:docId w15:val="{DA90D4D9-C42F-4161-91CA-7D117E2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D1D52"/>
    <w:pPr>
      <w:spacing w:line="260" w:lineRule="atLeast"/>
      <w:ind w:left="5534"/>
    </w:pPr>
    <w:rPr>
      <w:rFonts w:eastAsia="Times New Roman" w:cs="Times New Roman"/>
      <w:sz w:val="20"/>
      <w:lang w:eastAsia="en-US"/>
    </w:rPr>
  </w:style>
  <w:style w:type="character" w:customStyle="1" w:styleId="ONUMEChar">
    <w:name w:val="ONUM E Char"/>
    <w:link w:val="ONUME"/>
    <w:rsid w:val="003A5D49"/>
    <w:rPr>
      <w:rFonts w:ascii="Arial" w:eastAsia="SimSun" w:hAnsi="Arial" w:cs="Arial"/>
      <w:sz w:val="22"/>
      <w:lang w:val="ru-RU" w:eastAsia="zh-CN"/>
    </w:rPr>
  </w:style>
  <w:style w:type="character" w:customStyle="1" w:styleId="BodyTextChar">
    <w:name w:val="Body Text Char"/>
    <w:basedOn w:val="DefaultParagraphFont"/>
    <w:link w:val="BodyText"/>
    <w:rsid w:val="003A5D49"/>
    <w:rPr>
      <w:rFonts w:ascii="Arial" w:eastAsia="SimSun" w:hAnsi="Arial" w:cs="Arial"/>
      <w:sz w:val="22"/>
      <w:lang w:val="ru-RU" w:eastAsia="zh-CN"/>
    </w:rPr>
  </w:style>
  <w:style w:type="character" w:customStyle="1" w:styleId="Heading1Char">
    <w:name w:val="Heading 1 Char"/>
    <w:basedOn w:val="DefaultParagraphFont"/>
    <w:link w:val="Heading1"/>
    <w:rsid w:val="00F93FB1"/>
    <w:rPr>
      <w:rFonts w:ascii="Arial" w:eastAsia="SimSun" w:hAnsi="Arial" w:cs="Arial"/>
      <w:b/>
      <w:bCs/>
      <w:caps/>
      <w:kern w:val="32"/>
      <w:sz w:val="22"/>
      <w:szCs w:val="32"/>
      <w:lang w:val="ru-RU" w:eastAsia="zh-CN"/>
    </w:rPr>
  </w:style>
  <w:style w:type="paragraph" w:styleId="BalloonText">
    <w:name w:val="Balloon Text"/>
    <w:basedOn w:val="Normal"/>
    <w:link w:val="BalloonTextChar"/>
    <w:semiHidden/>
    <w:unhideWhenUsed/>
    <w:rsid w:val="00935EA8"/>
    <w:rPr>
      <w:rFonts w:ascii="Segoe UI" w:hAnsi="Segoe UI" w:cs="Segoe UI"/>
      <w:sz w:val="18"/>
      <w:szCs w:val="18"/>
    </w:rPr>
  </w:style>
  <w:style w:type="character" w:customStyle="1" w:styleId="BalloonTextChar">
    <w:name w:val="Balloon Text Char"/>
    <w:basedOn w:val="DefaultParagraphFont"/>
    <w:link w:val="BalloonText"/>
    <w:semiHidden/>
    <w:rsid w:val="00935EA8"/>
    <w:rPr>
      <w:rFonts w:ascii="Segoe UI" w:eastAsia="SimSun" w:hAnsi="Segoe UI" w:cs="Segoe UI"/>
      <w:sz w:val="18"/>
      <w:szCs w:val="18"/>
      <w:lang w:val="ru-RU" w:eastAsia="zh-CN"/>
    </w:rPr>
  </w:style>
  <w:style w:type="character" w:styleId="CommentReference">
    <w:name w:val="annotation reference"/>
    <w:basedOn w:val="DefaultParagraphFont"/>
    <w:unhideWhenUsed/>
    <w:rsid w:val="008F42A2"/>
    <w:rPr>
      <w:sz w:val="16"/>
      <w:szCs w:val="16"/>
    </w:rPr>
  </w:style>
  <w:style w:type="paragraph" w:styleId="CommentSubject">
    <w:name w:val="annotation subject"/>
    <w:basedOn w:val="CommentText"/>
    <w:next w:val="CommentText"/>
    <w:link w:val="CommentSubjectChar"/>
    <w:semiHidden/>
    <w:unhideWhenUsed/>
    <w:rsid w:val="008F42A2"/>
    <w:rPr>
      <w:b/>
      <w:bCs/>
      <w:sz w:val="20"/>
    </w:rPr>
  </w:style>
  <w:style w:type="character" w:customStyle="1" w:styleId="CommentTextChar">
    <w:name w:val="Comment Text Char"/>
    <w:basedOn w:val="DefaultParagraphFont"/>
    <w:link w:val="CommentText"/>
    <w:semiHidden/>
    <w:rsid w:val="008F42A2"/>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8F42A2"/>
    <w:rPr>
      <w:rFonts w:ascii="Arial" w:eastAsia="SimSun" w:hAnsi="Arial" w:cs="Arial"/>
      <w:b/>
      <w:bCs/>
      <w:sz w:val="18"/>
      <w:lang w:val="ru-RU" w:eastAsia="zh-CN"/>
    </w:rPr>
  </w:style>
  <w:style w:type="paragraph" w:styleId="Revision">
    <w:name w:val="Revision"/>
    <w:hidden/>
    <w:uiPriority w:val="99"/>
    <w:semiHidden/>
    <w:rsid w:val="00241D18"/>
    <w:rPr>
      <w:rFonts w:ascii="Arial" w:eastAsia="SimSun" w:hAnsi="Arial" w:cs="Arial"/>
      <w:sz w:val="22"/>
      <w:lang w:eastAsia="zh-CN"/>
    </w:rPr>
  </w:style>
  <w:style w:type="paragraph" w:styleId="ListParagraph">
    <w:name w:val="List Paragraph"/>
    <w:basedOn w:val="Normal"/>
    <w:uiPriority w:val="1"/>
    <w:qFormat/>
    <w:rsid w:val="00DA23B1"/>
    <w:pPr>
      <w:spacing w:after="160" w:line="259"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6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8251">
      <w:bodyDiv w:val="1"/>
      <w:marLeft w:val="0"/>
      <w:marRight w:val="0"/>
      <w:marTop w:val="0"/>
      <w:marBottom w:val="0"/>
      <w:divBdr>
        <w:top w:val="none" w:sz="0" w:space="0" w:color="auto"/>
        <w:left w:val="none" w:sz="0" w:space="0" w:color="auto"/>
        <w:bottom w:val="none" w:sz="0" w:space="0" w:color="auto"/>
        <w:right w:val="none" w:sz="0" w:space="0" w:color="auto"/>
      </w:divBdr>
    </w:div>
    <w:div w:id="148794046">
      <w:bodyDiv w:val="1"/>
      <w:marLeft w:val="0"/>
      <w:marRight w:val="0"/>
      <w:marTop w:val="0"/>
      <w:marBottom w:val="0"/>
      <w:divBdr>
        <w:top w:val="none" w:sz="0" w:space="0" w:color="auto"/>
        <w:left w:val="none" w:sz="0" w:space="0" w:color="auto"/>
        <w:bottom w:val="none" w:sz="0" w:space="0" w:color="auto"/>
        <w:right w:val="none" w:sz="0" w:space="0" w:color="auto"/>
      </w:divBdr>
    </w:div>
    <w:div w:id="632904713">
      <w:bodyDiv w:val="1"/>
      <w:marLeft w:val="0"/>
      <w:marRight w:val="0"/>
      <w:marTop w:val="0"/>
      <w:marBottom w:val="0"/>
      <w:divBdr>
        <w:top w:val="none" w:sz="0" w:space="0" w:color="auto"/>
        <w:left w:val="none" w:sz="0" w:space="0" w:color="auto"/>
        <w:bottom w:val="none" w:sz="0" w:space="0" w:color="auto"/>
        <w:right w:val="none" w:sz="0" w:space="0" w:color="auto"/>
      </w:divBdr>
    </w:div>
    <w:div w:id="808211369">
      <w:bodyDiv w:val="1"/>
      <w:marLeft w:val="0"/>
      <w:marRight w:val="0"/>
      <w:marTop w:val="0"/>
      <w:marBottom w:val="0"/>
      <w:divBdr>
        <w:top w:val="none" w:sz="0" w:space="0" w:color="auto"/>
        <w:left w:val="none" w:sz="0" w:space="0" w:color="auto"/>
        <w:bottom w:val="none" w:sz="0" w:space="0" w:color="auto"/>
        <w:right w:val="none" w:sz="0" w:space="0" w:color="auto"/>
      </w:divBdr>
    </w:div>
    <w:div w:id="1207139808">
      <w:bodyDiv w:val="1"/>
      <w:marLeft w:val="0"/>
      <w:marRight w:val="0"/>
      <w:marTop w:val="0"/>
      <w:marBottom w:val="0"/>
      <w:divBdr>
        <w:top w:val="none" w:sz="0" w:space="0" w:color="auto"/>
        <w:left w:val="none" w:sz="0" w:space="0" w:color="auto"/>
        <w:bottom w:val="none" w:sz="0" w:space="0" w:color="auto"/>
        <w:right w:val="none" w:sz="0" w:space="0" w:color="auto"/>
      </w:divBdr>
    </w:div>
    <w:div w:id="1494445858">
      <w:bodyDiv w:val="1"/>
      <w:marLeft w:val="0"/>
      <w:marRight w:val="0"/>
      <w:marTop w:val="0"/>
      <w:marBottom w:val="0"/>
      <w:divBdr>
        <w:top w:val="none" w:sz="0" w:space="0" w:color="auto"/>
        <w:left w:val="none" w:sz="0" w:space="0" w:color="auto"/>
        <w:bottom w:val="none" w:sz="0" w:space="0" w:color="auto"/>
        <w:right w:val="none" w:sz="0" w:space="0" w:color="auto"/>
      </w:divBdr>
    </w:div>
    <w:div w:id="1597249934">
      <w:bodyDiv w:val="1"/>
      <w:marLeft w:val="0"/>
      <w:marRight w:val="0"/>
      <w:marTop w:val="0"/>
      <w:marBottom w:val="0"/>
      <w:divBdr>
        <w:top w:val="none" w:sz="0" w:space="0" w:color="auto"/>
        <w:left w:val="none" w:sz="0" w:space="0" w:color="auto"/>
        <w:bottom w:val="none" w:sz="0" w:space="0" w:color="auto"/>
        <w:right w:val="none" w:sz="0" w:space="0" w:color="auto"/>
      </w:divBdr>
    </w:div>
    <w:div w:id="1928077431">
      <w:bodyDiv w:val="1"/>
      <w:marLeft w:val="0"/>
      <w:marRight w:val="0"/>
      <w:marTop w:val="0"/>
      <w:marBottom w:val="0"/>
      <w:divBdr>
        <w:top w:val="none" w:sz="0" w:space="0" w:color="auto"/>
        <w:left w:val="none" w:sz="0" w:space="0" w:color="auto"/>
        <w:bottom w:val="none" w:sz="0" w:space="0" w:color="auto"/>
        <w:right w:val="none" w:sz="0" w:space="0" w:color="auto"/>
      </w:divBdr>
    </w:div>
    <w:div w:id="20942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54E1-D361-4370-BFA9-FFDEE72B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9153</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CWS/12/3</vt:lpstr>
      <vt:lpstr>CWS/12/3</vt:lpstr>
    </vt:vector>
  </TitlesOfParts>
  <Company>WIPO</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CWS/12/3</dc:title>
  <dc:subject>11th Session Committee on WIPO Standards</dc:subject>
  <dc:creator>WIPO</dc:creator>
  <cp:keywords>Комитет по стандартам ВОИС (КСВ) Двенадцатая сессия</cp:keywords>
  <cp:lastModifiedBy>BLANCHET Gaspard</cp:lastModifiedBy>
  <cp:revision>8</cp:revision>
  <cp:lastPrinted>2023-09-25T08:29:00Z</cp:lastPrinted>
  <dcterms:created xsi:type="dcterms:W3CDTF">2024-08-13T13:09:00Z</dcterms:created>
  <dcterms:modified xsi:type="dcterms:W3CDTF">2024-08-20T09:57:00Z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2023-08-17T13:58:16Z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422331ab-0332-4685-ae88-b563fe7729d9</vt:lpwstr>
  </property>
  <property fmtid="{D5CDD505-2E9C-101B-9397-08002B2CF9AE}" pid="14" name="MSIP_Label_20773ee6-353b-4fb9-a59d-0b94c8c67bea_ContentBits">
    <vt:lpwstr>0</vt:lpwstr>
  </property>
</Properties>
</file>