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4612"/>
        <w:rPr>
          <w:rFonts w:ascii="Times New Roman"/>
          <w:sz w:val="20"/>
        </w:rPr>
      </w:pPr>
      <w:r>
        <w:rPr>
          <w:rFonts w:ascii="Times New Roman"/>
          <w:sz w:val="20"/>
        </w:rPr>
        <w:drawing>
          <wp:inline distT="0" distB="0" distL="0" distR="0">
            <wp:extent cx="3060969" cy="1193292"/>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060969" cy="1193292"/>
                    </a:xfrm>
                    <a:prstGeom prst="rect">
                      <a:avLst/>
                    </a:prstGeom>
                  </pic:spPr>
                </pic:pic>
              </a:graphicData>
            </a:graphic>
          </wp:inline>
        </w:drawing>
      </w:r>
      <w:r>
        <w:rPr>
          <w:rFonts w:ascii="Times New Roman"/>
          <w:sz w:val="20"/>
        </w:rPr>
      </w:r>
    </w:p>
    <w:p>
      <w:pPr>
        <w:pStyle w:val="BodyText"/>
        <w:spacing w:before="3"/>
        <w:rPr>
          <w:rFonts w:ascii="Times New Roman"/>
          <w:sz w:val="23"/>
        </w:rPr>
      </w:pPr>
      <w:r>
        <w:rPr/>
        <w:pict>
          <v:rect style="position:absolute;margin-left:70.400002pt;margin-top:14.601pt;width:469.6pt;height:.799pt;mso-position-horizontal-relative:page;mso-position-vertical-relative:paragraph;z-index:-15728640;mso-wrap-distance-left:0;mso-wrap-distance-right:0" id="docshape1" filled="true" fillcolor="#000000" stroked="false">
            <v:fill type="solid"/>
            <w10:wrap type="topAndBottom"/>
          </v:rect>
        </w:pict>
      </w:r>
    </w:p>
    <w:p>
      <w:pPr>
        <w:pStyle w:val="BodyText"/>
        <w:spacing w:before="1"/>
        <w:rPr>
          <w:rFonts w:ascii="Times New Roman"/>
          <w:sz w:val="8"/>
        </w:rPr>
      </w:pPr>
    </w:p>
    <w:p>
      <w:pPr>
        <w:spacing w:line="179" w:lineRule="exact" w:before="105"/>
        <w:ind w:left="0" w:right="297" w:firstLine="0"/>
        <w:jc w:val="right"/>
        <w:rPr>
          <w:rFonts w:ascii="Arial Black"/>
          <w:sz w:val="14"/>
        </w:rPr>
      </w:pPr>
      <w:r>
        <w:rPr>
          <w:rFonts w:ascii="Arial Black"/>
          <w:spacing w:val="-2"/>
          <w:sz w:val="14"/>
        </w:rPr>
        <w:t>CWS/11/26</w:t>
      </w:r>
    </w:p>
    <w:p>
      <w:pPr>
        <w:spacing w:line="208" w:lineRule="auto" w:before="5"/>
        <w:ind w:left="7548" w:right="314" w:firstLine="1136"/>
        <w:jc w:val="right"/>
        <w:rPr>
          <w:rFonts w:ascii="Microsoft JhengHei" w:eastAsia="Microsoft JhengHei" w:hint="eastAsia"/>
          <w:b/>
          <w:sz w:val="14"/>
        </w:rPr>
      </w:pPr>
      <w:r>
        <w:rPr>
          <w:rFonts w:ascii="Microsoft JhengHei" w:eastAsia="Microsoft JhengHei" w:hint="eastAsia"/>
          <w:b/>
          <w:spacing w:val="9"/>
          <w:sz w:val="14"/>
        </w:rPr>
        <w:t>原文：英文</w:t>
      </w:r>
      <w:r>
        <w:rPr>
          <w:rFonts w:ascii="Microsoft JhengHei" w:eastAsia="Microsoft JhengHei" w:hint="eastAsia"/>
          <w:b/>
          <w:spacing w:val="3"/>
          <w:sz w:val="14"/>
        </w:rPr>
        <w:t>日期： </w:t>
      </w:r>
      <w:r>
        <w:rPr>
          <w:rFonts w:ascii="Arial Black" w:eastAsia="Arial Black"/>
          <w:sz w:val="14"/>
        </w:rPr>
        <w:t>2023</w:t>
      </w:r>
      <w:r>
        <w:rPr>
          <w:rFonts w:ascii="Arial Black" w:eastAsia="Arial Black"/>
          <w:spacing w:val="7"/>
          <w:sz w:val="14"/>
        </w:rPr>
        <w:t> </w:t>
      </w:r>
      <w:r>
        <w:rPr>
          <w:rFonts w:ascii="Microsoft JhengHei" w:eastAsia="Microsoft JhengHei" w:hint="eastAsia"/>
          <w:b/>
          <w:spacing w:val="9"/>
          <w:sz w:val="14"/>
        </w:rPr>
        <w:t>年 </w:t>
      </w:r>
      <w:r>
        <w:rPr>
          <w:rFonts w:ascii="Arial Black" w:eastAsia="Arial Black"/>
          <w:sz w:val="14"/>
        </w:rPr>
        <w:t>11</w:t>
      </w:r>
      <w:r>
        <w:rPr>
          <w:rFonts w:ascii="Arial Black" w:eastAsia="Arial Black"/>
          <w:spacing w:val="7"/>
          <w:sz w:val="14"/>
        </w:rPr>
        <w:t> </w:t>
      </w:r>
      <w:r>
        <w:rPr>
          <w:rFonts w:ascii="Microsoft JhengHei" w:eastAsia="Microsoft JhengHei" w:hint="eastAsia"/>
          <w:b/>
          <w:spacing w:val="9"/>
          <w:sz w:val="14"/>
        </w:rPr>
        <w:t>月 </w:t>
      </w:r>
      <w:r>
        <w:rPr>
          <w:rFonts w:ascii="Arial Black" w:eastAsia="Arial Black"/>
          <w:sz w:val="14"/>
        </w:rPr>
        <w:t>13</w:t>
      </w:r>
      <w:r>
        <w:rPr>
          <w:rFonts w:ascii="Arial Black" w:eastAsia="Arial Black"/>
          <w:spacing w:val="6"/>
          <w:sz w:val="14"/>
        </w:rPr>
        <w:t> </w:t>
      </w:r>
      <w:r>
        <w:rPr>
          <w:rFonts w:ascii="Microsoft JhengHei" w:eastAsia="Microsoft JhengHei" w:hint="eastAsia"/>
          <w:b/>
          <w:spacing w:val="-10"/>
          <w:sz w:val="14"/>
        </w:rPr>
        <w:t>日</w:t>
      </w:r>
    </w:p>
    <w:p>
      <w:pPr>
        <w:pStyle w:val="BodyText"/>
        <w:rPr>
          <w:rFonts w:ascii="Microsoft JhengHei"/>
          <w:b/>
          <w:sz w:val="20"/>
        </w:rPr>
      </w:pPr>
    </w:p>
    <w:p>
      <w:pPr>
        <w:pStyle w:val="BodyText"/>
        <w:rPr>
          <w:rFonts w:ascii="Microsoft JhengHei"/>
          <w:b/>
          <w:sz w:val="20"/>
        </w:rPr>
      </w:pPr>
    </w:p>
    <w:p>
      <w:pPr>
        <w:pStyle w:val="BodyText"/>
        <w:spacing w:before="16"/>
        <w:rPr>
          <w:rFonts w:ascii="Microsoft JhengHei"/>
          <w:b/>
          <w:sz w:val="23"/>
        </w:rPr>
      </w:pPr>
    </w:p>
    <w:p>
      <w:pPr>
        <w:pStyle w:val="Title"/>
      </w:pPr>
      <w:r>
        <w:rPr>
          <w:spacing w:val="-4"/>
        </w:rPr>
        <w:t>产权组织标准委员会（</w:t>
      </w:r>
      <w:r>
        <w:rPr>
          <w:rFonts w:ascii="SimSun" w:eastAsia="SimSun" w:hint="eastAsia"/>
          <w:spacing w:val="-4"/>
        </w:rPr>
        <w:t>CWS</w:t>
      </w:r>
      <w:r>
        <w:rPr>
          <w:spacing w:val="-4"/>
        </w:rPr>
        <w:t>）</w:t>
      </w:r>
    </w:p>
    <w:p>
      <w:pPr>
        <w:spacing w:line="389" w:lineRule="exact" w:before="251"/>
        <w:ind w:left="124" w:right="0" w:firstLine="0"/>
        <w:jc w:val="left"/>
        <w:rPr>
          <w:rFonts w:ascii="Microsoft JhengHei" w:eastAsia="Microsoft JhengHei" w:hint="eastAsia"/>
          <w:b/>
          <w:sz w:val="24"/>
        </w:rPr>
      </w:pPr>
      <w:r>
        <w:rPr>
          <w:rFonts w:ascii="Microsoft JhengHei" w:eastAsia="Microsoft JhengHei" w:hint="eastAsia"/>
          <w:b/>
          <w:spacing w:val="14"/>
          <w:sz w:val="24"/>
        </w:rPr>
        <w:t>第十一届会议</w:t>
      </w:r>
    </w:p>
    <w:p>
      <w:pPr>
        <w:spacing w:line="389" w:lineRule="exact" w:before="0"/>
        <w:ind w:left="124" w:right="0" w:firstLine="0"/>
        <w:jc w:val="left"/>
        <w:rPr>
          <w:rFonts w:ascii="Microsoft JhengHei" w:eastAsia="Microsoft JhengHei" w:hint="eastAsia"/>
          <w:b/>
          <w:sz w:val="24"/>
        </w:rPr>
      </w:pPr>
      <w:r>
        <w:rPr>
          <w:sz w:val="24"/>
        </w:rPr>
        <w:t>2023</w:t>
      </w:r>
      <w:r>
        <w:rPr>
          <w:spacing w:val="-45"/>
          <w:sz w:val="24"/>
        </w:rPr>
        <w:t> </w:t>
      </w:r>
      <w:r>
        <w:rPr>
          <w:rFonts w:ascii="Microsoft JhengHei" w:eastAsia="Microsoft JhengHei" w:hint="eastAsia"/>
          <w:b/>
          <w:spacing w:val="12"/>
          <w:sz w:val="24"/>
        </w:rPr>
        <w:t>年 </w:t>
      </w:r>
      <w:r>
        <w:rPr>
          <w:sz w:val="24"/>
        </w:rPr>
        <w:t>12</w:t>
      </w:r>
      <w:r>
        <w:rPr>
          <w:spacing w:val="-45"/>
          <w:sz w:val="24"/>
        </w:rPr>
        <w:t> </w:t>
      </w:r>
      <w:r>
        <w:rPr>
          <w:rFonts w:ascii="Microsoft JhengHei" w:eastAsia="Microsoft JhengHei" w:hint="eastAsia"/>
          <w:b/>
          <w:spacing w:val="12"/>
          <w:sz w:val="24"/>
        </w:rPr>
        <w:t>月 </w:t>
      </w:r>
      <w:r>
        <w:rPr>
          <w:sz w:val="24"/>
        </w:rPr>
        <w:t>4</w:t>
      </w:r>
      <w:r>
        <w:rPr>
          <w:spacing w:val="-45"/>
          <w:sz w:val="24"/>
        </w:rPr>
        <w:t> </w:t>
      </w:r>
      <w:r>
        <w:rPr>
          <w:rFonts w:ascii="Microsoft JhengHei" w:eastAsia="Microsoft JhengHei" w:hint="eastAsia"/>
          <w:b/>
          <w:spacing w:val="13"/>
          <w:sz w:val="24"/>
        </w:rPr>
        <w:t>日至 </w:t>
      </w:r>
      <w:r>
        <w:rPr>
          <w:sz w:val="24"/>
        </w:rPr>
        <w:t>8</w:t>
      </w:r>
      <w:r>
        <w:rPr>
          <w:spacing w:val="-44"/>
          <w:sz w:val="24"/>
        </w:rPr>
        <w:t> </w:t>
      </w:r>
      <w:r>
        <w:rPr>
          <w:rFonts w:ascii="Microsoft JhengHei" w:eastAsia="Microsoft JhengHei" w:hint="eastAsia"/>
          <w:b/>
          <w:spacing w:val="14"/>
          <w:sz w:val="24"/>
        </w:rPr>
        <w:t>日，日内瓦</w:t>
      </w:r>
    </w:p>
    <w:p>
      <w:pPr>
        <w:pStyle w:val="BodyText"/>
        <w:spacing w:before="7"/>
        <w:rPr>
          <w:rFonts w:ascii="Microsoft JhengHei"/>
          <w:b/>
          <w:sz w:val="12"/>
        </w:rPr>
      </w:pPr>
    </w:p>
    <w:p>
      <w:pPr>
        <w:spacing w:line="834" w:lineRule="exact" w:before="0"/>
        <w:ind w:left="124" w:right="0" w:firstLine="0"/>
        <w:jc w:val="left"/>
        <w:rPr>
          <w:rFonts w:ascii="@Noto Sans SC" w:eastAsia="@Noto Sans SC" w:hint="eastAsia"/>
          <w:sz w:val="24"/>
        </w:rPr>
      </w:pPr>
      <w:r>
        <w:rPr>
          <w:rFonts w:ascii="@Noto Sans SC" w:eastAsia="@Noto Sans SC" w:hint="eastAsia"/>
          <w:spacing w:val="-19"/>
          <w:sz w:val="24"/>
        </w:rPr>
        <w:t>关于产权组织标准 </w:t>
      </w:r>
      <w:r>
        <w:rPr>
          <w:sz w:val="24"/>
        </w:rPr>
        <w:t>ST.91</w:t>
      </w:r>
      <w:r>
        <w:rPr>
          <w:spacing w:val="-33"/>
          <w:sz w:val="24"/>
        </w:rPr>
        <w:t> </w:t>
      </w:r>
      <w:r>
        <w:rPr>
          <w:rFonts w:ascii="@Noto Sans SC" w:eastAsia="@Noto Sans SC" w:hint="eastAsia"/>
          <w:spacing w:val="-1"/>
          <w:sz w:val="24"/>
        </w:rPr>
        <w:t>实施情况调查问卷草案的提案</w:t>
      </w:r>
    </w:p>
    <w:p>
      <w:pPr>
        <w:pStyle w:val="BodyText"/>
        <w:spacing w:line="716" w:lineRule="exact"/>
        <w:ind w:left="124"/>
        <w:rPr>
          <w:rFonts w:ascii="@Noto Sans SC" w:eastAsia="@Noto Sans SC" w:hint="eastAsia"/>
        </w:rPr>
      </w:pPr>
      <w:r>
        <w:rPr>
          <w:rFonts w:ascii="@Noto Sans SC" w:eastAsia="@Noto Sans SC" w:hint="eastAsia"/>
          <w:spacing w:val="-5"/>
        </w:rPr>
        <w:t>立体工作队牵头人编拟的文件</w:t>
      </w:r>
    </w:p>
    <w:p>
      <w:pPr>
        <w:pStyle w:val="BodyText"/>
        <w:spacing w:before="39"/>
        <w:rPr>
          <w:rFonts w:ascii="@Noto Sans SC"/>
          <w:sz w:val="11"/>
        </w:rPr>
      </w:pPr>
    </w:p>
    <w:p>
      <w:pPr>
        <w:pStyle w:val="BodyText"/>
        <w:ind w:left="124"/>
        <w:rPr>
          <w:rFonts w:ascii="@Noto Sans SC" w:eastAsia="@Noto Sans SC" w:hint="eastAsia"/>
        </w:rPr>
      </w:pPr>
      <w:bookmarkStart w:name="概　要" w:id="1"/>
      <w:bookmarkEnd w:id="1"/>
      <w:r>
        <w:rPr/>
      </w:r>
      <w:r>
        <w:rPr>
          <w:rFonts w:ascii="@Noto Sans SC" w:eastAsia="@Noto Sans SC" w:hint="eastAsia"/>
          <w:spacing w:val="-6"/>
        </w:rPr>
        <w:t>概 要</w:t>
      </w:r>
    </w:p>
    <w:p>
      <w:pPr>
        <w:pStyle w:val="ListParagraph"/>
        <w:numPr>
          <w:ilvl w:val="0"/>
          <w:numId w:val="1"/>
        </w:numPr>
        <w:tabs>
          <w:tab w:pos="684" w:val="left" w:leader="none"/>
        </w:tabs>
        <w:spacing w:line="307" w:lineRule="auto" w:before="18" w:after="0"/>
        <w:ind w:left="123" w:right="314" w:firstLine="0"/>
        <w:jc w:val="both"/>
        <w:rPr>
          <w:sz w:val="21"/>
        </w:rPr>
      </w:pPr>
      <w:r>
        <w:rPr>
          <w:sz w:val="21"/>
        </w:rPr>
        <w:t>产权组织标准委员会（CWS）</w:t>
      </w:r>
      <w:r>
        <w:rPr>
          <w:spacing w:val="-2"/>
          <w:sz w:val="21"/>
        </w:rPr>
        <w:t>在第九届会议上通过了产权组织标准 </w:t>
      </w:r>
      <w:r>
        <w:rPr>
          <w:sz w:val="21"/>
        </w:rPr>
        <w:t>ST.91</w:t>
      </w:r>
      <w:r>
        <w:rPr>
          <w:spacing w:val="8"/>
          <w:sz w:val="21"/>
        </w:rPr>
        <w:t>。立体工作队牵头人</w:t>
      </w:r>
      <w:r>
        <w:rPr>
          <w:sz w:val="21"/>
        </w:rPr>
        <w:t>提</w:t>
      </w:r>
      <w:r>
        <w:rPr>
          <w:spacing w:val="-2"/>
          <w:sz w:val="21"/>
        </w:rPr>
        <w:t>出了一份调查问卷草案供标准委员会批准，以更好地了解该标准的实施规模以及未来可能需要进行</w:t>
      </w:r>
      <w:r>
        <w:rPr>
          <w:spacing w:val="-2"/>
          <w:sz w:val="21"/>
        </w:rPr>
        <w:t>的</w:t>
      </w:r>
      <w:r>
        <w:rPr>
          <w:spacing w:val="-2"/>
          <w:sz w:val="21"/>
        </w:rPr>
        <w:t>任何修订。</w:t>
      </w:r>
    </w:p>
    <w:p>
      <w:pPr>
        <w:pStyle w:val="BodyText"/>
        <w:spacing w:line="548" w:lineRule="exact"/>
        <w:ind w:left="124"/>
        <w:rPr>
          <w:rFonts w:ascii="@Noto Sans SC" w:eastAsia="@Noto Sans SC" w:hint="eastAsia"/>
        </w:rPr>
      </w:pPr>
      <w:bookmarkStart w:name="背　景" w:id="2"/>
      <w:bookmarkEnd w:id="2"/>
      <w:r>
        <w:rPr/>
      </w:r>
      <w:r>
        <w:rPr>
          <w:rFonts w:ascii="@Noto Sans SC" w:eastAsia="@Noto Sans SC" w:hint="eastAsia"/>
          <w:spacing w:val="-6"/>
        </w:rPr>
        <w:t>背 景</w:t>
      </w:r>
    </w:p>
    <w:p>
      <w:pPr>
        <w:pStyle w:val="ListParagraph"/>
        <w:numPr>
          <w:ilvl w:val="0"/>
          <w:numId w:val="1"/>
        </w:numPr>
        <w:tabs>
          <w:tab w:pos="684" w:val="left" w:leader="none"/>
        </w:tabs>
        <w:spacing w:line="307" w:lineRule="auto" w:before="19" w:after="0"/>
        <w:ind w:left="124" w:right="297" w:firstLine="0"/>
        <w:jc w:val="both"/>
        <w:rPr>
          <w:sz w:val="21"/>
        </w:rPr>
      </w:pPr>
      <w:r>
        <w:rPr>
          <w:sz w:val="21"/>
        </w:rPr>
        <w:t>标准委员会在第六届会议上注意到俄罗斯联邦提交的一项提案，即知识产权局更广泛地接受</w:t>
      </w:r>
      <w:r>
        <w:rPr>
          <w:sz w:val="21"/>
        </w:rPr>
        <w:t>立</w:t>
      </w:r>
      <w:r>
        <w:rPr>
          <w:sz w:val="21"/>
        </w:rPr>
        <w:t>体模型将更好地服务于用户的需求，并且使用立体格式将允许更有效的检索方式和比较分析。标准</w:t>
      </w:r>
      <w:r>
        <w:rPr>
          <w:sz w:val="21"/>
        </w:rPr>
        <w:t>委</w:t>
      </w:r>
      <w:r>
        <w:rPr>
          <w:spacing w:val="-4"/>
          <w:sz w:val="21"/>
        </w:rPr>
        <w:t>员会为此设立了第 </w:t>
      </w:r>
      <w:r>
        <w:rPr>
          <w:sz w:val="21"/>
        </w:rPr>
        <w:t>61</w:t>
      </w:r>
      <w:r>
        <w:rPr>
          <w:spacing w:val="-4"/>
          <w:sz w:val="21"/>
        </w:rPr>
        <w:t> 号任务，任务说明为：</w:t>
      </w:r>
    </w:p>
    <w:p>
      <w:pPr>
        <w:pStyle w:val="BodyText"/>
        <w:spacing w:line="548" w:lineRule="exact"/>
        <w:ind w:left="684"/>
        <w:rPr>
          <w:rFonts w:ascii="@Noto Sans SC" w:hAnsi="@Noto Sans SC" w:eastAsia="@Noto Sans SC" w:hint="eastAsia"/>
        </w:rPr>
      </w:pPr>
      <w:r>
        <w:rPr>
          <w:rFonts w:ascii="@Noto Sans SC" w:hAnsi="@Noto Sans SC" w:eastAsia="@Noto Sans SC" w:hint="eastAsia"/>
          <w:spacing w:val="-5"/>
        </w:rPr>
        <w:t>“编写一份关于立体模型和图像建议的提案”</w:t>
      </w:r>
    </w:p>
    <w:p>
      <w:pPr>
        <w:pStyle w:val="BodyText"/>
        <w:spacing w:before="18"/>
        <w:ind w:left="124"/>
      </w:pPr>
      <w:r>
        <w:rPr>
          <w:spacing w:val="-1"/>
        </w:rPr>
        <w:t>在同一届会议上，标准委员会批准组建立体工作队执行该项任务，并指定俄罗斯联邦为工作队牵头人。</w:t>
      </w:r>
    </w:p>
    <w:p>
      <w:pPr>
        <w:pStyle w:val="BodyText"/>
        <w:spacing w:before="67"/>
        <w:ind w:left="124"/>
      </w:pPr>
      <w:r>
        <w:rPr/>
        <w:t>（</w:t>
      </w:r>
      <w:r>
        <w:rPr>
          <w:spacing w:val="15"/>
        </w:rPr>
        <w:t>见文件</w:t>
      </w:r>
      <w:r>
        <w:rPr/>
        <w:t>CWS/6/34</w:t>
      </w:r>
      <w:r>
        <w:rPr>
          <w:spacing w:val="-29"/>
        </w:rPr>
        <w:t> 第 </w:t>
      </w:r>
      <w:r>
        <w:rPr/>
        <w:t>141</w:t>
      </w:r>
      <w:r>
        <w:rPr>
          <w:spacing w:val="-30"/>
        </w:rPr>
        <w:t> 至 </w:t>
      </w:r>
      <w:r>
        <w:rPr/>
        <w:t>142</w:t>
      </w:r>
      <w:r>
        <w:rPr>
          <w:spacing w:val="-14"/>
        </w:rPr>
        <w:t> 段。</w:t>
      </w:r>
      <w:r>
        <w:rPr>
          <w:spacing w:val="-10"/>
        </w:rPr>
        <w:t>）</w:t>
      </w:r>
    </w:p>
    <w:p>
      <w:pPr>
        <w:pStyle w:val="BodyText"/>
        <w:spacing w:before="3"/>
        <w:rPr>
          <w:sz w:val="15"/>
        </w:rPr>
      </w:pPr>
    </w:p>
    <w:p>
      <w:pPr>
        <w:pStyle w:val="ListParagraph"/>
        <w:numPr>
          <w:ilvl w:val="0"/>
          <w:numId w:val="1"/>
        </w:numPr>
        <w:tabs>
          <w:tab w:pos="685" w:val="left" w:leader="none"/>
        </w:tabs>
        <w:spacing w:line="304" w:lineRule="auto" w:before="0" w:after="0"/>
        <w:ind w:left="123" w:right="306" w:firstLine="0"/>
        <w:jc w:val="both"/>
        <w:rPr>
          <w:sz w:val="21"/>
        </w:rPr>
      </w:pPr>
      <w:r>
        <w:rPr>
          <w:spacing w:val="-2"/>
          <w:sz w:val="21"/>
        </w:rPr>
        <w:t>标准委员会在第九届会议上通过了新的产权组织标准 ST.91，名为“关于数字立体模型和立体图</w:t>
      </w:r>
      <w:r>
        <w:rPr>
          <w:sz w:val="21"/>
        </w:rPr>
        <w:t>像的建议”，以契合知识产权局、知识产权用户和其他利益攸关方的新需要（</w:t>
      </w:r>
      <w:r>
        <w:rPr>
          <w:spacing w:val="-3"/>
          <w:sz w:val="21"/>
        </w:rPr>
        <w:t>见文件 </w:t>
      </w:r>
      <w:r>
        <w:rPr>
          <w:sz w:val="21"/>
        </w:rPr>
        <w:t>CWS/9/25</w:t>
      </w:r>
      <w:r>
        <w:rPr>
          <w:spacing w:val="-5"/>
          <w:sz w:val="21"/>
        </w:rPr>
        <w:t> 第 </w:t>
      </w:r>
      <w:r>
        <w:rPr>
          <w:sz w:val="21"/>
        </w:rPr>
        <w:t>3</w:t>
      </w:r>
      <w:r>
        <w:rPr>
          <w:sz w:val="21"/>
        </w:rPr>
        <w:t>1</w:t>
      </w:r>
      <w:r>
        <w:rPr>
          <w:sz w:val="21"/>
        </w:rPr>
        <w:t>段）。该标准对受理、处理和公布包含专利、商标和工业品外观设计文献中立体模型或立体图像的知识产权申请建议了文件格式和对立体对象的处理。该标准旨在帮助建立通用立体格式，为在多个知识</w:t>
      </w:r>
    </w:p>
    <w:p>
      <w:pPr>
        <w:spacing w:after="0" w:line="304" w:lineRule="auto"/>
        <w:jc w:val="both"/>
        <w:rPr>
          <w:sz w:val="21"/>
        </w:rPr>
        <w:sectPr>
          <w:type w:val="continuous"/>
          <w:pgSz w:w="11910" w:h="16850"/>
          <w:pgMar w:top="620" w:bottom="280" w:left="1300" w:right="820"/>
        </w:sectPr>
      </w:pPr>
    </w:p>
    <w:p>
      <w:pPr>
        <w:pStyle w:val="BodyText"/>
        <w:spacing w:before="42"/>
        <w:ind w:right="306"/>
        <w:jc w:val="right"/>
      </w:pPr>
      <w:r>
        <w:rPr>
          <w:spacing w:val="-2"/>
        </w:rPr>
        <w:t>CWS/11/26</w:t>
      </w:r>
    </w:p>
    <w:p>
      <w:pPr>
        <w:pStyle w:val="BodyText"/>
        <w:spacing w:before="3"/>
        <w:ind w:right="298"/>
        <w:jc w:val="right"/>
      </w:pPr>
      <w:r>
        <w:rPr/>
        <w:t>第2</w:t>
      </w:r>
      <w:r>
        <w:rPr>
          <w:spacing w:val="-10"/>
        </w:rPr>
        <w:t>页</w:t>
      </w:r>
    </w:p>
    <w:p>
      <w:pPr>
        <w:pStyle w:val="BodyText"/>
        <w:rPr>
          <w:sz w:val="20"/>
        </w:rPr>
      </w:pPr>
    </w:p>
    <w:p>
      <w:pPr>
        <w:pStyle w:val="BodyText"/>
        <w:spacing w:before="2"/>
        <w:rPr>
          <w:sz w:val="25"/>
        </w:rPr>
      </w:pPr>
    </w:p>
    <w:p>
      <w:pPr>
        <w:pStyle w:val="BodyText"/>
        <w:spacing w:line="300" w:lineRule="auto"/>
        <w:ind w:left="124" w:right="315"/>
      </w:pPr>
      <w:r>
        <w:rPr>
          <w:spacing w:val="-2"/>
        </w:rPr>
        <w:t>产权局提交申请提供便利，缩短处理时间，促进知识产权局之间的数据交换，使申请要求协调一致，并为公布含有数字立体对象的知识产权数据制定指南。</w:t>
      </w:r>
    </w:p>
    <w:p>
      <w:pPr>
        <w:pStyle w:val="ListParagraph"/>
        <w:numPr>
          <w:ilvl w:val="0"/>
          <w:numId w:val="1"/>
        </w:numPr>
        <w:tabs>
          <w:tab w:pos="684" w:val="left" w:leader="none"/>
        </w:tabs>
        <w:spacing w:line="300" w:lineRule="auto" w:before="127" w:after="0"/>
        <w:ind w:left="123" w:right="314" w:firstLine="0"/>
        <w:jc w:val="both"/>
        <w:rPr>
          <w:sz w:val="21"/>
        </w:rPr>
      </w:pPr>
      <w:r>
        <w:rPr>
          <w:spacing w:val="-6"/>
          <w:sz w:val="21"/>
        </w:rPr>
        <w:t>产权组织标准 </w:t>
      </w:r>
      <w:r>
        <w:rPr>
          <w:spacing w:val="-2"/>
          <w:sz w:val="21"/>
        </w:rPr>
        <w:t>ST.91</w:t>
      </w:r>
      <w:r>
        <w:rPr>
          <w:spacing w:val="-7"/>
          <w:sz w:val="21"/>
        </w:rPr>
        <w:t> 在标准委员会第九届会议上通过后，委员会批准了对第 </w:t>
      </w:r>
      <w:r>
        <w:rPr>
          <w:spacing w:val="-2"/>
          <w:sz w:val="21"/>
        </w:rPr>
        <w:t>61</w:t>
      </w:r>
      <w:r>
        <w:rPr>
          <w:spacing w:val="-6"/>
          <w:sz w:val="21"/>
        </w:rPr>
        <w:t> 号任务修改后</w:t>
      </w:r>
      <w:r>
        <w:rPr>
          <w:spacing w:val="-2"/>
          <w:sz w:val="21"/>
        </w:rPr>
        <w:t>的</w:t>
      </w:r>
      <w:r>
        <w:rPr>
          <w:spacing w:val="-2"/>
          <w:sz w:val="21"/>
        </w:rPr>
        <w:t>说明，内容为：</w:t>
      </w:r>
    </w:p>
    <w:p>
      <w:pPr>
        <w:pStyle w:val="BodyText"/>
        <w:spacing w:line="573" w:lineRule="exact"/>
        <w:ind w:left="683"/>
        <w:rPr>
          <w:rFonts w:ascii="@Noto Sans SC" w:hAnsi="@Noto Sans SC" w:eastAsia="@Noto Sans SC" w:hint="eastAsia"/>
        </w:rPr>
      </w:pPr>
      <w:r>
        <w:rPr>
          <w:rFonts w:ascii="@Noto Sans SC" w:hAnsi="@Noto Sans SC" w:eastAsia="@Noto Sans SC" w:hint="eastAsia"/>
        </w:rPr>
        <w:t>“确保对产权组织标准</w:t>
      </w:r>
      <w:r>
        <w:rPr/>
        <w:t>ST.91</w:t>
      </w:r>
      <w:r>
        <w:rPr>
          <w:spacing w:val="-42"/>
        </w:rPr>
        <w:t> </w:t>
      </w:r>
      <w:r>
        <w:rPr>
          <w:rFonts w:ascii="@Noto Sans SC" w:hAnsi="@Noto Sans SC" w:eastAsia="@Noto Sans SC" w:hint="eastAsia"/>
          <w:spacing w:val="-1"/>
        </w:rPr>
        <w:t>进行必要的修订和更新，包括检索立体模型和立体图像的方法。”</w:t>
      </w:r>
    </w:p>
    <w:p>
      <w:pPr>
        <w:pStyle w:val="ListParagraph"/>
        <w:numPr>
          <w:ilvl w:val="0"/>
          <w:numId w:val="1"/>
        </w:numPr>
        <w:tabs>
          <w:tab w:pos="684" w:val="left" w:leader="none"/>
        </w:tabs>
        <w:spacing w:line="304" w:lineRule="auto" w:before="3" w:after="0"/>
        <w:ind w:left="123" w:right="289" w:firstLine="0"/>
        <w:jc w:val="both"/>
        <w:rPr>
          <w:sz w:val="21"/>
        </w:rPr>
      </w:pPr>
      <w:r>
        <w:rPr>
          <w:sz w:val="21"/>
        </w:rPr>
        <w:t>标准委员会在第十届会议上注意到，工作队计划根据更新后的任务说明，开发和讨论立体视觉表现形式的检索和比较方法。工作队牵头人指出，鉴于正在进行的调查和研究，以及许多工作队成员目前对该主题的经验有限，工作队成员需要更多时间来研究立体检索方法（</w:t>
      </w:r>
      <w:r>
        <w:rPr>
          <w:spacing w:val="-2"/>
          <w:sz w:val="21"/>
        </w:rPr>
        <w:t>见文件 </w:t>
      </w:r>
      <w:r>
        <w:rPr>
          <w:sz w:val="21"/>
        </w:rPr>
        <w:t>CWS/10/22</w:t>
      </w:r>
      <w:r>
        <w:rPr>
          <w:spacing w:val="-2"/>
          <w:sz w:val="21"/>
        </w:rPr>
        <w:t> 第 </w:t>
      </w:r>
      <w:r>
        <w:rPr>
          <w:sz w:val="21"/>
        </w:rPr>
        <w:t>12</w:t>
      </w:r>
      <w:r>
        <w:rPr>
          <w:sz w:val="21"/>
        </w:rPr>
        <w:t>2</w:t>
      </w:r>
      <w:r>
        <w:rPr>
          <w:spacing w:val="-2"/>
          <w:sz w:val="21"/>
        </w:rPr>
        <w:t>段）。工作队经过内部讨论之后，计划在标准委员会未来届会上就相应更新提出一项商定的提案。</w:t>
      </w:r>
    </w:p>
    <w:p>
      <w:pPr>
        <w:pStyle w:val="BodyText"/>
        <w:spacing w:line="567" w:lineRule="exact"/>
        <w:ind w:left="123"/>
        <w:rPr>
          <w:rFonts w:ascii="@Noto Sans SC" w:eastAsia="@Noto Sans SC" w:hint="eastAsia"/>
        </w:rPr>
      </w:pPr>
      <w:bookmarkStart w:name="拟议调查问卷" w:id="3"/>
      <w:bookmarkEnd w:id="3"/>
      <w:r>
        <w:rPr/>
      </w:r>
      <w:r>
        <w:rPr>
          <w:rFonts w:ascii="@Noto Sans SC" w:eastAsia="@Noto Sans SC" w:hint="eastAsia"/>
          <w:spacing w:val="-5"/>
        </w:rPr>
        <w:t>拟议调查问卷</w:t>
      </w:r>
    </w:p>
    <w:p>
      <w:pPr>
        <w:pStyle w:val="ListParagraph"/>
        <w:numPr>
          <w:ilvl w:val="0"/>
          <w:numId w:val="1"/>
        </w:numPr>
        <w:tabs>
          <w:tab w:pos="684" w:val="left" w:leader="none"/>
        </w:tabs>
        <w:spacing w:line="300" w:lineRule="auto" w:before="18" w:after="0"/>
        <w:ind w:left="123" w:right="314" w:firstLine="0"/>
        <w:jc w:val="both"/>
        <w:rPr>
          <w:sz w:val="21"/>
        </w:rPr>
      </w:pPr>
      <w:r>
        <w:rPr>
          <w:spacing w:val="-2"/>
          <w:sz w:val="21"/>
        </w:rPr>
        <w:t>工作队认为，已通过的产权组织标准ST.91 相对较新，因此，除了工作队成员商定的编辑意见</w:t>
      </w:r>
      <w:r>
        <w:rPr>
          <w:spacing w:val="-2"/>
          <w:sz w:val="21"/>
        </w:rPr>
        <w:t>之</w:t>
      </w:r>
      <w:r>
        <w:rPr>
          <w:spacing w:val="-2"/>
          <w:sz w:val="21"/>
        </w:rPr>
        <w:t>外，没有必要对该标准进行紧急更新和修订。</w:t>
      </w:r>
    </w:p>
    <w:p>
      <w:pPr>
        <w:pStyle w:val="ListParagraph"/>
        <w:numPr>
          <w:ilvl w:val="0"/>
          <w:numId w:val="1"/>
        </w:numPr>
        <w:tabs>
          <w:tab w:pos="684" w:val="left" w:leader="none"/>
        </w:tabs>
        <w:spacing w:line="302" w:lineRule="auto" w:before="127" w:after="0"/>
        <w:ind w:left="123" w:right="299" w:firstLine="0"/>
        <w:jc w:val="both"/>
        <w:rPr>
          <w:sz w:val="21"/>
        </w:rPr>
      </w:pPr>
      <w:r>
        <w:rPr>
          <w:sz w:val="21"/>
        </w:rPr>
        <w:t>同时，现在也是适当时机收集有关知识产权局、产业界和用户在多大范围，以及在何种程度</w:t>
      </w:r>
      <w:r>
        <w:rPr>
          <w:sz w:val="21"/>
        </w:rPr>
        <w:t>上</w:t>
      </w:r>
      <w:r>
        <w:rPr>
          <w:spacing w:val="-2"/>
          <w:sz w:val="21"/>
        </w:rPr>
        <w:t>和针对何种知识产权使用和实施产权组织标准 </w:t>
      </w:r>
      <w:r>
        <w:rPr>
          <w:sz w:val="21"/>
        </w:rPr>
        <w:t>ST.91</w:t>
      </w:r>
      <w:r>
        <w:rPr>
          <w:spacing w:val="-4"/>
          <w:sz w:val="21"/>
        </w:rPr>
        <w:t> 的信息。因此，工作队提交了本文件附件所载的</w:t>
      </w:r>
      <w:r>
        <w:rPr>
          <w:sz w:val="21"/>
        </w:rPr>
        <w:t>调查问卷草案，供标准委员会本届会议审议和批准。该问卷草案旨在收集信息，接下来可以作为进</w:t>
      </w:r>
      <w:r>
        <w:rPr>
          <w:sz w:val="21"/>
        </w:rPr>
        <w:t>一</w:t>
      </w:r>
      <w:r>
        <w:rPr>
          <w:spacing w:val="-3"/>
          <w:sz w:val="21"/>
        </w:rPr>
        <w:t>步更新和修订产权组织标准 </w:t>
      </w:r>
      <w:r>
        <w:rPr>
          <w:sz w:val="21"/>
        </w:rPr>
        <w:t>ST.91</w:t>
      </w:r>
      <w:r>
        <w:rPr>
          <w:spacing w:val="-5"/>
          <w:sz w:val="21"/>
        </w:rPr>
        <w:t> 的指南。这项工作也将提高该标准在可能希望参加工作队的成员</w:t>
      </w:r>
      <w:r>
        <w:rPr>
          <w:sz w:val="21"/>
        </w:rPr>
        <w:t>国</w:t>
      </w:r>
      <w:r>
        <w:rPr>
          <w:spacing w:val="-2"/>
          <w:sz w:val="21"/>
        </w:rPr>
        <w:t>中的可见度。</w:t>
      </w:r>
    </w:p>
    <w:p>
      <w:pPr>
        <w:pStyle w:val="ListParagraph"/>
        <w:numPr>
          <w:ilvl w:val="0"/>
          <w:numId w:val="1"/>
        </w:numPr>
        <w:tabs>
          <w:tab w:pos="684" w:val="left" w:leader="none"/>
        </w:tabs>
        <w:spacing w:line="314" w:lineRule="auto" w:before="113" w:after="0"/>
        <w:ind w:left="123" w:right="314" w:firstLine="0"/>
        <w:jc w:val="both"/>
        <w:rPr>
          <w:sz w:val="21"/>
        </w:rPr>
      </w:pPr>
      <w:r>
        <w:rPr>
          <w:sz w:val="21"/>
        </w:rPr>
        <w:t>工作队牵头人还建议，一旦问卷在本届会议上获得批准，标准委员会应要求秘书处发出通函</w:t>
      </w:r>
      <w:r>
        <w:rPr>
          <w:sz w:val="21"/>
        </w:rPr>
        <w:t>，</w:t>
      </w:r>
      <w:r>
        <w:rPr>
          <w:sz w:val="21"/>
        </w:rPr>
        <w:t>邀请其成员和观察员对问卷做出答复。工作队将分析对调查的答复，并向委员会下届会议报告结果。</w:t>
      </w:r>
    </w:p>
    <w:p>
      <w:pPr>
        <w:pStyle w:val="ListParagraph"/>
        <w:numPr>
          <w:ilvl w:val="0"/>
          <w:numId w:val="1"/>
        </w:numPr>
        <w:tabs>
          <w:tab w:pos="6364" w:val="left" w:leader="none"/>
        </w:tabs>
        <w:spacing w:line="360" w:lineRule="exact" w:before="0" w:after="0"/>
        <w:ind w:left="6363" w:right="0" w:hanging="705"/>
        <w:jc w:val="both"/>
        <w:rPr>
          <w:rFonts w:ascii="@Noto Sans SC" w:eastAsia="@Noto Sans SC" w:hint="eastAsia"/>
          <w:sz w:val="21"/>
        </w:rPr>
      </w:pPr>
      <w:r>
        <w:rPr>
          <w:rFonts w:ascii="@Noto Sans SC" w:eastAsia="@Noto Sans SC" w:hint="eastAsia"/>
          <w:spacing w:val="-6"/>
          <w:sz w:val="21"/>
        </w:rPr>
        <w:t>请标准委员会：</w:t>
      </w:r>
    </w:p>
    <w:p>
      <w:pPr>
        <w:pStyle w:val="ListParagraph"/>
        <w:numPr>
          <w:ilvl w:val="1"/>
          <w:numId w:val="1"/>
        </w:numPr>
        <w:tabs>
          <w:tab w:pos="6924" w:val="left" w:leader="none"/>
        </w:tabs>
        <w:spacing w:line="464" w:lineRule="exact" w:before="0" w:after="0"/>
        <w:ind w:left="6923" w:right="0" w:hanging="561"/>
        <w:jc w:val="both"/>
        <w:rPr>
          <w:rFonts w:ascii="@Noto Sans SC" w:eastAsia="@Noto Sans SC" w:hint="eastAsia"/>
          <w:sz w:val="21"/>
        </w:rPr>
      </w:pPr>
      <w:r>
        <w:rPr>
          <w:rFonts w:ascii="@Noto Sans SC" w:eastAsia="@Noto Sans SC" w:hint="eastAsia"/>
          <w:spacing w:val="-5"/>
          <w:sz w:val="21"/>
        </w:rPr>
        <w:t>注意本文件的内容；</w:t>
      </w:r>
    </w:p>
    <w:p>
      <w:pPr>
        <w:pStyle w:val="ListParagraph"/>
        <w:numPr>
          <w:ilvl w:val="1"/>
          <w:numId w:val="1"/>
        </w:numPr>
        <w:tabs>
          <w:tab w:pos="6924" w:val="left" w:leader="none"/>
        </w:tabs>
        <w:spacing w:line="98" w:lineRule="auto" w:before="167" w:after="0"/>
        <w:ind w:left="5659" w:right="314" w:firstLine="703"/>
        <w:jc w:val="both"/>
        <w:rPr>
          <w:rFonts w:ascii="@Noto Sans SC" w:eastAsia="@Noto Sans SC" w:hint="eastAsia"/>
          <w:sz w:val="21"/>
        </w:rPr>
      </w:pPr>
      <w:r>
        <w:rPr>
          <w:rFonts w:ascii="@Noto Sans SC" w:eastAsia="@Noto Sans SC" w:hint="eastAsia"/>
          <w:spacing w:val="-4"/>
          <w:w w:val="90"/>
          <w:sz w:val="21"/>
        </w:rPr>
        <w:t>审查并批准上文第 </w:t>
      </w:r>
      <w:r>
        <w:rPr>
          <w:w w:val="90"/>
          <w:sz w:val="21"/>
        </w:rPr>
        <w:t>6</w:t>
      </w:r>
      <w:r>
        <w:rPr>
          <w:spacing w:val="13"/>
          <w:sz w:val="21"/>
        </w:rPr>
        <w:t> </w:t>
      </w:r>
      <w:r>
        <w:rPr>
          <w:rFonts w:ascii="@Noto Sans SC" w:eastAsia="@Noto Sans SC" w:hint="eastAsia"/>
          <w:spacing w:val="-11"/>
          <w:w w:val="90"/>
          <w:sz w:val="21"/>
        </w:rPr>
        <w:t>和第 </w:t>
      </w:r>
      <w:r>
        <w:rPr>
          <w:w w:val="90"/>
          <w:sz w:val="21"/>
        </w:rPr>
        <w:t>7</w:t>
      </w:r>
      <w:r>
        <w:rPr>
          <w:rFonts w:ascii="@Noto Sans SC" w:eastAsia="@Noto Sans SC" w:hint="eastAsia"/>
          <w:spacing w:val="-2"/>
          <w:sz w:val="21"/>
        </w:rPr>
        <w:t>段所述并转录于本文件附件的调查问卷</w:t>
      </w:r>
      <w:r>
        <w:rPr>
          <w:rFonts w:ascii="@Noto Sans SC" w:eastAsia="@Noto Sans SC" w:hint="eastAsia"/>
          <w:spacing w:val="-2"/>
          <w:sz w:val="21"/>
        </w:rPr>
        <w:t>草</w:t>
      </w:r>
      <w:r>
        <w:rPr>
          <w:rFonts w:ascii="@Noto Sans SC" w:eastAsia="@Noto Sans SC" w:hint="eastAsia"/>
          <w:spacing w:val="-2"/>
          <w:sz w:val="21"/>
        </w:rPr>
        <w:t>案的内容；以及</w:t>
      </w:r>
    </w:p>
    <w:p>
      <w:pPr>
        <w:pStyle w:val="ListParagraph"/>
        <w:numPr>
          <w:ilvl w:val="1"/>
          <w:numId w:val="1"/>
        </w:numPr>
        <w:tabs>
          <w:tab w:pos="6924" w:val="left" w:leader="none"/>
        </w:tabs>
        <w:spacing w:line="100" w:lineRule="auto" w:before="115" w:after="0"/>
        <w:ind w:left="5659" w:right="298" w:firstLine="704"/>
        <w:jc w:val="both"/>
        <w:rPr>
          <w:rFonts w:ascii="@Noto Sans SC" w:eastAsia="@Noto Sans SC" w:hint="eastAsia"/>
          <w:sz w:val="21"/>
        </w:rPr>
      </w:pPr>
      <w:r>
        <w:rPr>
          <w:rFonts w:ascii="@Noto Sans SC" w:eastAsia="@Noto Sans SC" w:hint="eastAsia"/>
          <w:spacing w:val="-17"/>
          <w:sz w:val="21"/>
        </w:rPr>
        <w:t>如上文第 </w:t>
      </w:r>
      <w:r>
        <w:rPr>
          <w:spacing w:val="-10"/>
          <w:sz w:val="21"/>
        </w:rPr>
        <w:t>8</w:t>
      </w:r>
      <w:r>
        <w:rPr>
          <w:spacing w:val="-16"/>
          <w:sz w:val="21"/>
        </w:rPr>
        <w:t> </w:t>
      </w:r>
      <w:r>
        <w:rPr>
          <w:rFonts w:ascii="@Noto Sans SC" w:eastAsia="@Noto Sans SC" w:hint="eastAsia"/>
          <w:spacing w:val="-10"/>
          <w:sz w:val="21"/>
        </w:rPr>
        <w:t>段所述，要求秘</w:t>
      </w:r>
      <w:r>
        <w:rPr>
          <w:rFonts w:ascii="@Noto Sans SC" w:eastAsia="@Noto Sans SC" w:hint="eastAsia"/>
          <w:sz w:val="21"/>
        </w:rPr>
        <w:t>书处发出通函，邀请其成员和观察员参</w:t>
      </w:r>
      <w:r>
        <w:rPr>
          <w:rFonts w:ascii="@Noto Sans SC" w:eastAsia="@Noto Sans SC" w:hint="eastAsia"/>
          <w:sz w:val="21"/>
        </w:rPr>
        <w:t>与</w:t>
      </w:r>
      <w:r>
        <w:rPr>
          <w:rFonts w:ascii="@Noto Sans SC" w:eastAsia="@Noto Sans SC" w:hint="eastAsia"/>
          <w:spacing w:val="-2"/>
          <w:sz w:val="21"/>
        </w:rPr>
        <w:t>调查，并要求立体工作队报告调查结果。</w:t>
      </w:r>
    </w:p>
    <w:p>
      <w:pPr>
        <w:pStyle w:val="BodyText"/>
        <w:spacing w:before="8"/>
        <w:rPr>
          <w:rFonts w:ascii="@Noto Sans SC"/>
          <w:sz w:val="9"/>
        </w:rPr>
      </w:pPr>
    </w:p>
    <w:p>
      <w:pPr>
        <w:pStyle w:val="BodyText"/>
        <w:spacing w:before="1"/>
        <w:ind w:left="5659"/>
      </w:pPr>
      <w:r>
        <w:rPr>
          <w:spacing w:val="-2"/>
        </w:rPr>
        <w:t>[</w:t>
      </w:r>
      <w:r>
        <w:rPr>
          <w:rFonts w:ascii="@Noto Sans SC" w:eastAsia="@Noto Sans SC" w:hint="eastAsia"/>
          <w:spacing w:val="-2"/>
        </w:rPr>
        <w:t>后接附件</w:t>
      </w:r>
      <w:r>
        <w:rPr>
          <w:spacing w:val="-10"/>
        </w:rPr>
        <w:t>]</w:t>
      </w:r>
    </w:p>
    <w:sectPr>
      <w:pgSz w:w="11910" w:h="16850"/>
      <w:pgMar w:top="460" w:bottom="280" w:left="1300" w:right="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icrosoft JhengHei">
    <w:altName w:val="Microsoft JhengHei"/>
    <w:charset w:val="0"/>
    <w:family w:val="swiss"/>
    <w:pitch w:val="variable"/>
  </w:font>
  <w:font w:name="SimSun">
    <w:altName w:val="SimSun"/>
    <w:charset w:val="0"/>
    <w:family w:val="auto"/>
    <w:pitch w:val="variable"/>
  </w:font>
  <w:font w:name="Arial Black">
    <w:altName w:val="Arial Black"/>
    <w:charset w:val="0"/>
    <w:family w:val="swiss"/>
    <w:pitch w:val="variable"/>
  </w:font>
  <w:font w:name="@Noto Sans SC">
    <w:altName w:val="@Noto Sans SC"/>
    <w:charset w:val="8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23" w:hanging="560"/>
        <w:jc w:val="right"/>
      </w:pPr>
      <w:rPr>
        <w:rFonts w:hint="default" w:ascii="SimSun" w:hAnsi="SimSun" w:eastAsia="SimSun" w:cs="SimSun"/>
        <w:b w:val="0"/>
        <w:bCs w:val="0"/>
        <w:i w:val="0"/>
        <w:iCs w:val="0"/>
        <w:spacing w:val="0"/>
        <w:w w:val="99"/>
        <w:sz w:val="21"/>
        <w:szCs w:val="21"/>
        <w:lang w:val="en-US" w:eastAsia="zh-CN" w:bidi="ar-SA"/>
      </w:rPr>
    </w:lvl>
    <w:lvl w:ilvl="1">
      <w:start w:val="1"/>
      <w:numFmt w:val="lowerLetter"/>
      <w:lvlText w:val="(%2)"/>
      <w:lvlJc w:val="left"/>
      <w:pPr>
        <w:ind w:left="6923" w:hanging="560"/>
        <w:jc w:val="left"/>
      </w:pPr>
      <w:rPr>
        <w:rFonts w:hint="default" w:ascii="SimSun" w:hAnsi="SimSun" w:eastAsia="SimSun" w:cs="SimSun"/>
        <w:b w:val="0"/>
        <w:bCs w:val="0"/>
        <w:i w:val="0"/>
        <w:iCs w:val="0"/>
        <w:spacing w:val="0"/>
        <w:w w:val="99"/>
        <w:sz w:val="21"/>
        <w:szCs w:val="21"/>
        <w:lang w:val="en-US" w:eastAsia="zh-CN" w:bidi="ar-SA"/>
      </w:rPr>
    </w:lvl>
    <w:lvl w:ilvl="2">
      <w:start w:val="0"/>
      <w:numFmt w:val="bullet"/>
      <w:lvlText w:val="•"/>
      <w:lvlJc w:val="left"/>
      <w:pPr>
        <w:ind w:left="7238" w:hanging="560"/>
      </w:pPr>
      <w:rPr>
        <w:rFonts w:hint="default"/>
        <w:lang w:val="en-US" w:eastAsia="zh-CN" w:bidi="ar-SA"/>
      </w:rPr>
    </w:lvl>
    <w:lvl w:ilvl="3">
      <w:start w:val="0"/>
      <w:numFmt w:val="bullet"/>
      <w:lvlText w:val="•"/>
      <w:lvlJc w:val="left"/>
      <w:pPr>
        <w:ind w:left="7556" w:hanging="560"/>
      </w:pPr>
      <w:rPr>
        <w:rFonts w:hint="default"/>
        <w:lang w:val="en-US" w:eastAsia="zh-CN" w:bidi="ar-SA"/>
      </w:rPr>
    </w:lvl>
    <w:lvl w:ilvl="4">
      <w:start w:val="0"/>
      <w:numFmt w:val="bullet"/>
      <w:lvlText w:val="•"/>
      <w:lvlJc w:val="left"/>
      <w:pPr>
        <w:ind w:left="7874" w:hanging="560"/>
      </w:pPr>
      <w:rPr>
        <w:rFonts w:hint="default"/>
        <w:lang w:val="en-US" w:eastAsia="zh-CN" w:bidi="ar-SA"/>
      </w:rPr>
    </w:lvl>
    <w:lvl w:ilvl="5">
      <w:start w:val="0"/>
      <w:numFmt w:val="bullet"/>
      <w:lvlText w:val="•"/>
      <w:lvlJc w:val="left"/>
      <w:pPr>
        <w:ind w:left="8192" w:hanging="560"/>
      </w:pPr>
      <w:rPr>
        <w:rFonts w:hint="default"/>
        <w:lang w:val="en-US" w:eastAsia="zh-CN" w:bidi="ar-SA"/>
      </w:rPr>
    </w:lvl>
    <w:lvl w:ilvl="6">
      <w:start w:val="0"/>
      <w:numFmt w:val="bullet"/>
      <w:lvlText w:val="•"/>
      <w:lvlJc w:val="left"/>
      <w:pPr>
        <w:ind w:left="8511" w:hanging="560"/>
      </w:pPr>
      <w:rPr>
        <w:rFonts w:hint="default"/>
        <w:lang w:val="en-US" w:eastAsia="zh-CN" w:bidi="ar-SA"/>
      </w:rPr>
    </w:lvl>
    <w:lvl w:ilvl="7">
      <w:start w:val="0"/>
      <w:numFmt w:val="bullet"/>
      <w:lvlText w:val="•"/>
      <w:lvlJc w:val="left"/>
      <w:pPr>
        <w:ind w:left="8829" w:hanging="560"/>
      </w:pPr>
      <w:rPr>
        <w:rFonts w:hint="default"/>
        <w:lang w:val="en-US" w:eastAsia="zh-CN" w:bidi="ar-SA"/>
      </w:rPr>
    </w:lvl>
    <w:lvl w:ilvl="8">
      <w:start w:val="0"/>
      <w:numFmt w:val="bullet"/>
      <w:lvlText w:val="•"/>
      <w:lvlJc w:val="left"/>
      <w:pPr>
        <w:ind w:left="9147" w:hanging="560"/>
      </w:pPr>
      <w:rPr>
        <w:rFonts w:hint="default"/>
        <w:lang w:val="en-US" w:eastAsia="zh-CN"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en-US" w:eastAsia="zh-CN" w:bidi="ar-SA"/>
    </w:rPr>
  </w:style>
  <w:style w:styleId="BodyText" w:type="paragraph">
    <w:name w:val="Body Text"/>
    <w:basedOn w:val="Normal"/>
    <w:uiPriority w:val="1"/>
    <w:qFormat/>
    <w:pPr/>
    <w:rPr>
      <w:rFonts w:ascii="SimSun" w:hAnsi="SimSun" w:eastAsia="SimSun" w:cs="SimSun"/>
      <w:sz w:val="21"/>
      <w:szCs w:val="21"/>
      <w:lang w:val="en-US" w:eastAsia="zh-CN" w:bidi="ar-SA"/>
    </w:rPr>
  </w:style>
  <w:style w:styleId="Title" w:type="paragraph">
    <w:name w:val="Title"/>
    <w:basedOn w:val="Normal"/>
    <w:uiPriority w:val="1"/>
    <w:qFormat/>
    <w:pPr>
      <w:spacing w:line="673" w:lineRule="exact"/>
      <w:ind w:left="124"/>
    </w:pPr>
    <w:rPr>
      <w:rFonts w:ascii="@Noto Sans SC" w:hAnsi="@Noto Sans SC" w:eastAsia="@Noto Sans SC" w:cs="@Noto Sans SC"/>
      <w:sz w:val="29"/>
      <w:szCs w:val="29"/>
      <w:lang w:val="en-US" w:eastAsia="zh-CN" w:bidi="ar-SA"/>
    </w:rPr>
  </w:style>
  <w:style w:styleId="ListParagraph" w:type="paragraph">
    <w:name w:val="List Paragraph"/>
    <w:basedOn w:val="Normal"/>
    <w:uiPriority w:val="1"/>
    <w:qFormat/>
    <w:pPr>
      <w:ind w:left="123" w:right="314"/>
      <w:jc w:val="both"/>
    </w:pPr>
    <w:rPr>
      <w:rFonts w:ascii="SimSun" w:hAnsi="SimSun" w:eastAsia="SimSun" w:cs="SimSun"/>
      <w:lang w:val="en-US" w:eastAsia="zh-CN" w:bidi="ar-SA"/>
    </w:rPr>
  </w:style>
  <w:style w:styleId="TableParagraph" w:type="paragraph">
    <w:name w:val="Table Paragraph"/>
    <w:basedOn w:val="Normal"/>
    <w:uiPriority w:val="1"/>
    <w:qFormat/>
    <w:pPr/>
    <w:rPr>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WIPO</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 Emma</dc:creator>
  <cp:keywords>CWS/11</cp:keywords>
  <dc:subject>关于产权组织标准ST.91实施情况调查问卷草案的提案</dc:subject>
  <dc:title>CWS/11/26</dc:title>
  <dcterms:created xsi:type="dcterms:W3CDTF">2023-11-16T16:47:19Z</dcterms:created>
  <dcterms:modified xsi:type="dcterms:W3CDTF">2023-11-16T16:47:19Z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ignment">
    <vt:lpwstr>Centre</vt:lpwstr>
  </property>
  <property fmtid="{D5CDD505-2E9C-101B-9397-08002B2CF9AE}" pid="3" name="Classification">
    <vt:lpwstr>For Official Use Only</vt:lpwstr>
  </property>
  <property fmtid="{D5CDD505-2E9C-101B-9397-08002B2CF9AE}" pid="4" name="Created">
    <vt:filetime>2023-11-16T00:00:00Z</vt:filetime>
  </property>
  <property fmtid="{D5CDD505-2E9C-101B-9397-08002B2CF9AE}" pid="5" name="Creator">
    <vt:lpwstr>Acrobat PDFMaker 23 for Word</vt:lpwstr>
  </property>
  <property fmtid="{D5CDD505-2E9C-101B-9397-08002B2CF9AE}" pid="6" name="Language">
    <vt:lpwstr>English</vt:lpwstr>
  </property>
  <property fmtid="{D5CDD505-2E9C-101B-9397-08002B2CF9AE}" pid="7" name="LastSaved">
    <vt:filetime>2023-11-16T00:00:00Z</vt:filetime>
  </property>
  <property fmtid="{D5CDD505-2E9C-101B-9397-08002B2CF9AE}" pid="8" name="MSIP_Label_20773ee6-353b-4fb9-a59d-0b94c8c67bea_ActionId">
    <vt:lpwstr>952c8c10-e97f-4fa6-9eda-433e084e2727</vt:lpwstr>
  </property>
  <property fmtid="{D5CDD505-2E9C-101B-9397-08002B2CF9AE}" pid="9" name="MSIP_Label_20773ee6-353b-4fb9-a59d-0b94c8c67bea_ContentBits">
    <vt:lpwstr>0</vt:lpwstr>
  </property>
  <property fmtid="{D5CDD505-2E9C-101B-9397-08002B2CF9AE}" pid="10" name="MSIP_Label_20773ee6-353b-4fb9-a59d-0b94c8c67bea_Enabled">
    <vt:lpwstr>true</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etDate">
    <vt:lpwstr>2023-11-07T15:18:22Z</vt:lpwstr>
  </property>
  <property fmtid="{D5CDD505-2E9C-101B-9397-08002B2CF9AE}" pid="14" name="MSIP_Label_20773ee6-353b-4fb9-a59d-0b94c8c67bea_SiteId">
    <vt:lpwstr>faa31b06-8ccc-48c9-867f-f7510dd11c02</vt:lpwstr>
  </property>
  <property fmtid="{D5CDD505-2E9C-101B-9397-08002B2CF9AE}" pid="15" name="Producer">
    <vt:lpwstr>Adobe PDF Library 23.1.96</vt:lpwstr>
  </property>
  <property fmtid="{D5CDD505-2E9C-101B-9397-08002B2CF9AE}" pid="16" name="SourceModified">
    <vt:lpwstr>D:20231116091201</vt:lpwstr>
  </property>
  <property fmtid="{D5CDD505-2E9C-101B-9397-08002B2CF9AE}" pid="17" name="TCSClassification">
    <vt:lpwstr>FOR OFFICIAL USE ONLY</vt:lpwstr>
  </property>
  <property fmtid="{D5CDD505-2E9C-101B-9397-08002B2CF9AE}" pid="18" name="TitusGUID">
    <vt:lpwstr>1e9ce151-ed55-4aa2-a1f1-4ee82bdce666</vt:lpwstr>
  </property>
  <property fmtid="{D5CDD505-2E9C-101B-9397-08002B2CF9AE}" pid="19" name="VisualMarkings">
    <vt:lpwstr>Footer</vt:lpwstr>
  </property>
</Properties>
</file>