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1C" w:rsidRPr="00CB49D0" w:rsidRDefault="00C613F6" w:rsidP="003F4B2B">
      <w:pPr>
        <w:spacing w:afterLines="100" w:after="240" w:line="340" w:lineRule="atLeast"/>
        <w:jc w:val="both"/>
        <w:rPr>
          <w:rFonts w:ascii="SimHei" w:eastAsia="SimHei" w:hAnsi="SimHei"/>
          <w:bCs/>
          <w:sz w:val="21"/>
          <w:szCs w:val="21"/>
        </w:rPr>
      </w:pPr>
      <w:bookmarkStart w:id="0" w:name="_GoBack"/>
      <w:bookmarkEnd w:id="0"/>
      <w:r>
        <w:rPr>
          <w:rFonts w:ascii="SimHei" w:eastAsia="SimHei" w:hAnsi="SimHei" w:hint="eastAsia"/>
          <w:bCs/>
          <w:sz w:val="21"/>
          <w:szCs w:val="21"/>
        </w:rPr>
        <w:t>设立任务为专利局发布的专利文献权威文档制定要求</w:t>
      </w:r>
    </w:p>
    <w:p w:rsidR="00C04F1C" w:rsidRPr="00CB49D0" w:rsidRDefault="00C613F6" w:rsidP="003F4B2B">
      <w:pPr>
        <w:spacing w:afterLines="100" w:after="240" w:line="340" w:lineRule="atLeast"/>
        <w:jc w:val="both"/>
        <w:rPr>
          <w:rFonts w:ascii="KaiTi" w:eastAsia="KaiTi" w:hAnsi="KaiTi"/>
          <w:i/>
          <w:iCs/>
          <w:sz w:val="21"/>
          <w:szCs w:val="21"/>
        </w:rPr>
      </w:pPr>
      <w:r>
        <w:rPr>
          <w:rFonts w:ascii="KaiTi" w:eastAsia="KaiTi" w:hAnsi="KaiTi" w:hint="eastAsia"/>
          <w:i/>
          <w:iCs/>
          <w:sz w:val="21"/>
          <w:szCs w:val="21"/>
        </w:rPr>
        <w:t>欧洲专利局</w:t>
      </w:r>
      <w:r w:rsidR="00C04F1C" w:rsidRPr="00CB49D0">
        <w:rPr>
          <w:rFonts w:ascii="KaiTi" w:eastAsia="KaiTi" w:hAnsi="KaiTi"/>
          <w:i/>
          <w:iCs/>
          <w:sz w:val="21"/>
          <w:szCs w:val="21"/>
        </w:rPr>
        <w:t>(</w:t>
      </w:r>
      <w:r>
        <w:rPr>
          <w:rFonts w:ascii="KaiTi" w:eastAsia="KaiTi" w:hAnsi="KaiTi" w:hint="eastAsia"/>
          <w:i/>
          <w:iCs/>
          <w:sz w:val="21"/>
          <w:szCs w:val="21"/>
        </w:rPr>
        <w:t>欧专局</w:t>
      </w:r>
      <w:r w:rsidR="00C04F1C" w:rsidRPr="00CB49D0">
        <w:rPr>
          <w:rFonts w:ascii="KaiTi" w:eastAsia="KaiTi" w:hAnsi="KaiTi"/>
          <w:i/>
          <w:iCs/>
          <w:sz w:val="21"/>
          <w:szCs w:val="21"/>
        </w:rPr>
        <w:t>)</w:t>
      </w:r>
      <w:r>
        <w:rPr>
          <w:rFonts w:ascii="KaiTi" w:eastAsia="KaiTi" w:hAnsi="KaiTi" w:hint="eastAsia"/>
          <w:i/>
          <w:iCs/>
          <w:sz w:val="21"/>
          <w:szCs w:val="21"/>
        </w:rPr>
        <w:t>编拟的文件</w:t>
      </w:r>
    </w:p>
    <w:p w:rsidR="00C04F1C" w:rsidRPr="00CB49D0" w:rsidRDefault="00C613F6" w:rsidP="003F4B2B">
      <w:pPr>
        <w:pStyle w:val="ONUME"/>
        <w:keepNext/>
        <w:adjustRightInd w:val="0"/>
        <w:spacing w:beforeLines="100" w:before="240" w:afterLines="50" w:after="120" w:line="340" w:lineRule="atLeast"/>
        <w:jc w:val="both"/>
        <w:rPr>
          <w:rFonts w:ascii="SimHei" w:eastAsia="SimHei" w:hAnsi="SimHei"/>
          <w:sz w:val="21"/>
          <w:szCs w:val="21"/>
          <w:lang w:val="en-GB"/>
        </w:rPr>
      </w:pPr>
      <w:r>
        <w:rPr>
          <w:rFonts w:ascii="SimHei" w:eastAsia="SimHei" w:hAnsi="SimHei" w:hint="eastAsia"/>
          <w:sz w:val="21"/>
          <w:szCs w:val="21"/>
          <w:lang w:val="en-GB"/>
        </w:rPr>
        <w:t>背  景</w:t>
      </w:r>
    </w:p>
    <w:p w:rsidR="00C04F1C" w:rsidRPr="00C613F6" w:rsidRDefault="00C04F1C" w:rsidP="003F4B2B">
      <w:pPr>
        <w:pStyle w:val="BodyText"/>
        <w:spacing w:afterLines="50" w:after="120" w:line="340" w:lineRule="atLeast"/>
        <w:ind w:firstLineChars="200" w:firstLine="420"/>
        <w:jc w:val="both"/>
        <w:rPr>
          <w:rFonts w:ascii="SimSun" w:hAnsi="SimSun"/>
          <w:sz w:val="21"/>
          <w:szCs w:val="21"/>
        </w:rPr>
      </w:pPr>
      <w:r w:rsidRPr="00CB49D0">
        <w:rPr>
          <w:rFonts w:ascii="SimSun" w:hAnsi="SimSun"/>
          <w:sz w:val="21"/>
          <w:szCs w:val="21"/>
          <w:lang w:val="en-GB"/>
        </w:rPr>
        <w:t>WIPO</w:t>
      </w:r>
      <w:r w:rsidR="00C613F6">
        <w:rPr>
          <w:rFonts w:ascii="SimSun" w:hAnsi="SimSun" w:hint="eastAsia"/>
          <w:sz w:val="21"/>
          <w:szCs w:val="21"/>
          <w:lang w:val="en-GB"/>
        </w:rPr>
        <w:t>标准</w:t>
      </w:r>
      <w:r w:rsidRPr="00CB49D0">
        <w:rPr>
          <w:rFonts w:ascii="SimSun" w:hAnsi="SimSun"/>
          <w:sz w:val="21"/>
          <w:szCs w:val="21"/>
          <w:lang w:val="en-GB"/>
        </w:rPr>
        <w:t>ST.1</w:t>
      </w:r>
      <w:r w:rsidR="00C613F6">
        <w:rPr>
          <w:rFonts w:ascii="SimSun" w:hAnsi="SimSun" w:hint="eastAsia"/>
          <w:sz w:val="21"/>
          <w:szCs w:val="21"/>
          <w:lang w:val="en-GB"/>
        </w:rPr>
        <w:t>提供</w:t>
      </w:r>
      <w:r w:rsidR="003F4B2B">
        <w:rPr>
          <w:rFonts w:ascii="SimSun" w:hAnsi="SimSun" w:hint="eastAsia"/>
          <w:sz w:val="21"/>
          <w:szCs w:val="21"/>
          <w:lang w:val="en-GB"/>
        </w:rPr>
        <w:t>的建议定义了</w:t>
      </w:r>
      <w:r w:rsidR="00C613F6">
        <w:rPr>
          <w:rFonts w:ascii="SimSun" w:hAnsi="SimSun" w:hint="eastAsia"/>
          <w:sz w:val="21"/>
          <w:szCs w:val="21"/>
          <w:lang w:val="en-GB"/>
        </w:rPr>
        <w:t>唯一化标识</w:t>
      </w:r>
      <w:r w:rsidR="003F4B2B">
        <w:rPr>
          <w:rFonts w:ascii="SimSun" w:hAnsi="SimSun" w:hint="eastAsia"/>
          <w:sz w:val="21"/>
          <w:szCs w:val="21"/>
          <w:lang w:val="en-GB"/>
        </w:rPr>
        <w:t>所有类型</w:t>
      </w:r>
      <w:r w:rsidR="00C613F6">
        <w:rPr>
          <w:rFonts w:ascii="SimSun" w:hAnsi="SimSun" w:hint="eastAsia"/>
          <w:sz w:val="21"/>
          <w:szCs w:val="21"/>
          <w:lang w:val="en-GB"/>
        </w:rPr>
        <w:t>专利文献</w:t>
      </w:r>
      <w:r w:rsidR="003F4B2B">
        <w:rPr>
          <w:rFonts w:ascii="SimSun" w:hAnsi="SimSun" w:hint="eastAsia"/>
          <w:sz w:val="21"/>
          <w:szCs w:val="21"/>
          <w:lang w:val="en-GB"/>
        </w:rPr>
        <w:t>(不论是以纸件公布还是以电子形式公布)</w:t>
      </w:r>
      <w:r w:rsidR="00C613F6">
        <w:rPr>
          <w:rFonts w:ascii="SimSun" w:hAnsi="SimSun" w:hint="eastAsia"/>
          <w:sz w:val="21"/>
          <w:szCs w:val="21"/>
          <w:lang w:val="en-GB"/>
        </w:rPr>
        <w:t>所需</w:t>
      </w:r>
      <w:r w:rsidR="003F4B2B">
        <w:rPr>
          <w:rFonts w:ascii="SimSun" w:hAnsi="SimSun" w:hint="eastAsia"/>
          <w:sz w:val="21"/>
          <w:szCs w:val="21"/>
          <w:lang w:val="en-GB"/>
        </w:rPr>
        <w:t>的</w:t>
      </w:r>
      <w:r w:rsidR="00C613F6">
        <w:rPr>
          <w:rFonts w:ascii="SimSun" w:hAnsi="SimSun" w:hint="eastAsia"/>
          <w:sz w:val="21"/>
          <w:szCs w:val="21"/>
          <w:lang w:val="en-GB"/>
        </w:rPr>
        <w:t>最低限度数据元素。为明确</w:t>
      </w:r>
      <w:r w:rsidR="00FD131C" w:rsidRPr="00CB49D0">
        <w:rPr>
          <w:rFonts w:ascii="SimSun" w:hAnsi="SimSun"/>
          <w:sz w:val="21"/>
          <w:szCs w:val="21"/>
          <w:lang w:val="en-GB"/>
        </w:rPr>
        <w:t>“</w:t>
      </w:r>
      <w:r w:rsidR="00C613F6">
        <w:rPr>
          <w:rFonts w:ascii="SimSun" w:hAnsi="SimSun" w:hint="eastAsia"/>
          <w:sz w:val="21"/>
          <w:szCs w:val="21"/>
          <w:lang w:val="en-GB"/>
        </w:rPr>
        <w:t>专利文献</w:t>
      </w:r>
      <w:r w:rsidR="00FD131C" w:rsidRPr="00CB49D0">
        <w:rPr>
          <w:rFonts w:ascii="SimSun" w:hAnsi="SimSun"/>
          <w:sz w:val="21"/>
          <w:szCs w:val="21"/>
          <w:lang w:val="en-GB"/>
        </w:rPr>
        <w:t>”</w:t>
      </w:r>
      <w:r w:rsidR="00C613F6">
        <w:rPr>
          <w:rFonts w:ascii="SimSun" w:hAnsi="SimSun" w:hint="eastAsia"/>
          <w:sz w:val="21"/>
          <w:szCs w:val="21"/>
          <w:lang w:val="en-GB"/>
        </w:rPr>
        <w:t>、</w:t>
      </w:r>
      <w:r w:rsidR="00FD131C" w:rsidRPr="00CB49D0">
        <w:rPr>
          <w:rFonts w:ascii="SimSun" w:hAnsi="SimSun"/>
          <w:sz w:val="21"/>
          <w:szCs w:val="21"/>
          <w:lang w:val="en-GB"/>
        </w:rPr>
        <w:t>“</w:t>
      </w:r>
      <w:r w:rsidR="00C613F6">
        <w:rPr>
          <w:rFonts w:ascii="SimSun" w:hAnsi="SimSun" w:hint="eastAsia"/>
          <w:sz w:val="21"/>
          <w:szCs w:val="21"/>
          <w:lang w:val="en-GB"/>
        </w:rPr>
        <w:t>公布</w:t>
      </w:r>
      <w:r w:rsidR="00FD131C" w:rsidRPr="00CB49D0">
        <w:rPr>
          <w:rFonts w:ascii="SimSun" w:hAnsi="SimSun"/>
          <w:sz w:val="21"/>
          <w:szCs w:val="21"/>
          <w:lang w:val="en-GB"/>
        </w:rPr>
        <w:t>”</w:t>
      </w:r>
      <w:r w:rsidR="00C613F6">
        <w:rPr>
          <w:rFonts w:ascii="SimSun" w:hAnsi="SimSun" w:hint="eastAsia"/>
          <w:sz w:val="21"/>
          <w:szCs w:val="21"/>
          <w:lang w:val="en-GB"/>
        </w:rPr>
        <w:t>和</w:t>
      </w:r>
      <w:r w:rsidR="00FD131C" w:rsidRPr="00CB49D0">
        <w:rPr>
          <w:rFonts w:ascii="SimSun" w:hAnsi="SimSun"/>
          <w:sz w:val="21"/>
          <w:szCs w:val="21"/>
          <w:lang w:val="en-GB"/>
        </w:rPr>
        <w:t>“</w:t>
      </w:r>
      <w:r w:rsidR="00C613F6">
        <w:rPr>
          <w:rFonts w:ascii="SimSun" w:hAnsi="SimSun" w:hint="eastAsia"/>
          <w:sz w:val="21"/>
          <w:szCs w:val="21"/>
          <w:lang w:val="en-GB"/>
        </w:rPr>
        <w:t>已公布的</w:t>
      </w:r>
      <w:r w:rsidR="00FD131C" w:rsidRPr="00CB49D0">
        <w:rPr>
          <w:rFonts w:ascii="SimSun" w:hAnsi="SimSun"/>
          <w:sz w:val="21"/>
          <w:szCs w:val="21"/>
          <w:lang w:val="en-GB"/>
        </w:rPr>
        <w:t>”</w:t>
      </w:r>
      <w:r w:rsidR="00C613F6">
        <w:rPr>
          <w:rFonts w:ascii="SimSun" w:hAnsi="SimSun" w:hint="eastAsia"/>
          <w:sz w:val="21"/>
          <w:szCs w:val="21"/>
          <w:lang w:val="en-GB"/>
        </w:rPr>
        <w:t>等词</w:t>
      </w:r>
      <w:r w:rsidR="003F4B2B">
        <w:rPr>
          <w:rFonts w:ascii="SimSun" w:hAnsi="SimSun" w:hint="eastAsia"/>
          <w:sz w:val="21"/>
          <w:szCs w:val="21"/>
          <w:lang w:val="en-GB"/>
        </w:rPr>
        <w:t>，这项建议</w:t>
      </w:r>
      <w:r w:rsidR="00C613F6">
        <w:rPr>
          <w:rFonts w:ascii="SimSun" w:hAnsi="SimSun" w:hint="eastAsia"/>
          <w:sz w:val="21"/>
          <w:szCs w:val="21"/>
          <w:lang w:val="en-GB"/>
        </w:rPr>
        <w:t>提供了定义。此外，还引用了多</w:t>
      </w:r>
      <w:r w:rsidR="003F4B2B">
        <w:rPr>
          <w:rFonts w:ascii="SimSun" w:hAnsi="SimSun" w:hint="eastAsia"/>
          <w:sz w:val="21"/>
          <w:szCs w:val="21"/>
          <w:lang w:val="en-GB"/>
        </w:rPr>
        <w:t>项</w:t>
      </w:r>
      <w:r w:rsidR="00C613F6">
        <w:rPr>
          <w:rFonts w:ascii="SimSun" w:hAnsi="SimSun"/>
          <w:sz w:val="21"/>
          <w:szCs w:val="21"/>
        </w:rPr>
        <w:t>WIPO</w:t>
      </w:r>
      <w:r w:rsidR="00C613F6">
        <w:rPr>
          <w:rFonts w:ascii="SimSun" w:hAnsi="SimSun" w:hint="eastAsia"/>
          <w:sz w:val="21"/>
          <w:szCs w:val="21"/>
        </w:rPr>
        <w:t>标准，因为这些标准在察看所需</w:t>
      </w:r>
      <w:r w:rsidR="003F4B2B">
        <w:rPr>
          <w:rFonts w:ascii="SimSun" w:hAnsi="SimSun" w:hint="eastAsia"/>
          <w:sz w:val="21"/>
          <w:szCs w:val="21"/>
        </w:rPr>
        <w:t>的</w:t>
      </w:r>
      <w:r w:rsidR="00C613F6">
        <w:rPr>
          <w:rFonts w:ascii="SimSun" w:hAnsi="SimSun" w:hint="eastAsia"/>
          <w:sz w:val="21"/>
          <w:szCs w:val="21"/>
        </w:rPr>
        <w:t>最低限度数据元素的详情时，与该建议有关。</w:t>
      </w:r>
    </w:p>
    <w:p w:rsidR="00C04F1C" w:rsidRPr="00CB49D0" w:rsidRDefault="00C613F6"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rPr>
        <w:t>但是，这项标准</w:t>
      </w:r>
      <w:r w:rsidR="00C04F1C" w:rsidRPr="00CB49D0">
        <w:rPr>
          <w:rFonts w:ascii="SimSun" w:hAnsi="SimSun"/>
          <w:sz w:val="21"/>
          <w:szCs w:val="21"/>
          <w:lang w:val="en-GB"/>
        </w:rPr>
        <w:t>ST.1</w:t>
      </w:r>
      <w:r>
        <w:rPr>
          <w:rFonts w:ascii="SimSun" w:hAnsi="SimSun" w:hint="eastAsia"/>
          <w:sz w:val="21"/>
          <w:szCs w:val="21"/>
          <w:lang w:val="en-GB"/>
        </w:rPr>
        <w:t>未在如何为商业目的使用该建议方面提供任何指导，例如</w:t>
      </w:r>
      <w:r w:rsidR="003F4B2B">
        <w:rPr>
          <w:rFonts w:ascii="SimSun" w:hAnsi="SimSun" w:hint="eastAsia"/>
          <w:sz w:val="21"/>
          <w:szCs w:val="21"/>
          <w:lang w:val="en-GB"/>
        </w:rPr>
        <w:t>，</w:t>
      </w:r>
      <w:r>
        <w:rPr>
          <w:rFonts w:ascii="SimSun" w:hAnsi="SimSun" w:hint="eastAsia"/>
          <w:sz w:val="21"/>
          <w:szCs w:val="21"/>
          <w:lang w:val="en-GB"/>
        </w:rPr>
        <w:t>为这种被唯一化标识的各类专利文献</w:t>
      </w:r>
      <w:r w:rsidR="003F4B2B">
        <w:rPr>
          <w:rFonts w:ascii="SimSun" w:hAnsi="SimSun" w:hint="eastAsia"/>
          <w:sz w:val="21"/>
          <w:szCs w:val="21"/>
          <w:lang w:val="en-GB"/>
        </w:rPr>
        <w:t>建立</w:t>
      </w:r>
      <w:r>
        <w:rPr>
          <w:rFonts w:ascii="SimSun" w:hAnsi="SimSun" w:hint="eastAsia"/>
          <w:sz w:val="21"/>
          <w:szCs w:val="21"/>
          <w:lang w:val="en-GB"/>
        </w:rPr>
        <w:t>清单。</w:t>
      </w:r>
    </w:p>
    <w:p w:rsidR="00C04F1C" w:rsidRDefault="003F4B2B"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五</w:t>
      </w:r>
      <w:r w:rsidR="00C613F6">
        <w:rPr>
          <w:rFonts w:ascii="SimSun" w:hAnsi="SimSun" w:hint="eastAsia"/>
          <w:sz w:val="21"/>
          <w:szCs w:val="21"/>
          <w:lang w:val="en-GB"/>
        </w:rPr>
        <w:t>局基础项目下的</w:t>
      </w:r>
      <w:r w:rsidR="00FD131C" w:rsidRPr="00CB49D0">
        <w:rPr>
          <w:rFonts w:ascii="SimSun" w:hAnsi="SimSun"/>
          <w:sz w:val="21"/>
          <w:szCs w:val="21"/>
          <w:lang w:val="en-GB"/>
        </w:rPr>
        <w:t>“</w:t>
      </w:r>
      <w:r w:rsidR="00C613F6">
        <w:rPr>
          <w:rFonts w:ascii="SimSun" w:hAnsi="SimSun" w:hint="eastAsia"/>
          <w:sz w:val="21"/>
          <w:szCs w:val="21"/>
          <w:lang w:val="en-GB"/>
        </w:rPr>
        <w:t>共同文档</w:t>
      </w:r>
      <w:r w:rsidR="00FD131C" w:rsidRPr="00CB49D0">
        <w:rPr>
          <w:rFonts w:ascii="SimSun" w:hAnsi="SimSun"/>
          <w:sz w:val="21"/>
          <w:szCs w:val="21"/>
          <w:lang w:val="en-GB"/>
        </w:rPr>
        <w:t>”</w:t>
      </w:r>
      <w:r w:rsidR="00C613F6">
        <w:rPr>
          <w:rFonts w:ascii="SimSun" w:hAnsi="SimSun" w:hint="eastAsia"/>
          <w:sz w:val="21"/>
          <w:szCs w:val="21"/>
          <w:lang w:val="en-GB"/>
        </w:rPr>
        <w:t>项目引发了一种相关需求，即有必要让专利局和第三方专利信息提供商能够评估其收藏的其他专利局公布文献的完整性。</w:t>
      </w:r>
      <w:r>
        <w:rPr>
          <w:rFonts w:ascii="SimSun" w:hAnsi="SimSun" w:hint="eastAsia"/>
          <w:sz w:val="21"/>
          <w:szCs w:val="21"/>
          <w:lang w:val="en-GB"/>
        </w:rPr>
        <w:t>一旦有能力</w:t>
      </w:r>
      <w:r w:rsidR="00C613F6">
        <w:rPr>
          <w:rFonts w:ascii="SimSun" w:hAnsi="SimSun" w:hint="eastAsia"/>
          <w:sz w:val="21"/>
          <w:szCs w:val="21"/>
          <w:lang w:val="en-GB"/>
        </w:rPr>
        <w:t>评估完整性，所发现的</w:t>
      </w:r>
      <w:r>
        <w:rPr>
          <w:rFonts w:ascii="SimSun" w:hAnsi="SimSun" w:hint="eastAsia"/>
          <w:sz w:val="21"/>
          <w:szCs w:val="21"/>
          <w:lang w:val="en-GB"/>
        </w:rPr>
        <w:t>空白</w:t>
      </w:r>
      <w:r w:rsidR="00C613F6">
        <w:rPr>
          <w:rFonts w:ascii="SimSun" w:hAnsi="SimSun" w:hint="eastAsia"/>
          <w:sz w:val="21"/>
          <w:szCs w:val="21"/>
          <w:lang w:val="en-GB"/>
        </w:rPr>
        <w:t>可以用缺失文献的信息来填补。</w:t>
      </w:r>
    </w:p>
    <w:p w:rsidR="003F4B2B" w:rsidRPr="00CB49D0" w:rsidRDefault="003F4B2B"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现有数据收藏，如各专利局数据的这种同步，具有基础作用，能够在一个具体的数据集</w:t>
      </w:r>
      <w:r w:rsidRPr="00CB49D0">
        <w:rPr>
          <w:rFonts w:ascii="SimSun" w:hAnsi="SimSun"/>
          <w:sz w:val="21"/>
          <w:szCs w:val="21"/>
          <w:lang w:val="en-GB"/>
        </w:rPr>
        <w:t>(PCT</w:t>
      </w:r>
      <w:r>
        <w:rPr>
          <w:rFonts w:ascii="SimSun" w:hAnsi="SimSun" w:hint="eastAsia"/>
          <w:sz w:val="21"/>
          <w:szCs w:val="21"/>
          <w:lang w:val="en-GB"/>
        </w:rPr>
        <w:t>最低限度</w:t>
      </w:r>
      <w:r w:rsidRPr="00CB49D0">
        <w:rPr>
          <w:rFonts w:ascii="SimSun" w:hAnsi="SimSun"/>
          <w:sz w:val="21"/>
          <w:szCs w:val="21"/>
          <w:lang w:val="en-GB"/>
        </w:rPr>
        <w:t>)</w:t>
      </w:r>
      <w:r>
        <w:rPr>
          <w:rFonts w:ascii="SimSun" w:hAnsi="SimSun" w:hint="eastAsia"/>
          <w:sz w:val="21"/>
          <w:szCs w:val="21"/>
          <w:lang w:val="en-GB"/>
        </w:rPr>
        <w:t>上进行全面的已公布专利文献现有技术检索。此外，它可以通过确保专利数据集的完整性，帮助实现数据质量的整体提高。</w:t>
      </w:r>
    </w:p>
    <w:p w:rsidR="00C04F1C" w:rsidRPr="00DB1A12" w:rsidRDefault="00DB1A12" w:rsidP="003F4B2B">
      <w:pPr>
        <w:pStyle w:val="ONUME"/>
        <w:keepNext/>
        <w:adjustRightInd w:val="0"/>
        <w:spacing w:beforeLines="100" w:before="240" w:afterLines="50" w:after="120" w:line="340" w:lineRule="atLeast"/>
        <w:jc w:val="both"/>
        <w:rPr>
          <w:rFonts w:ascii="SimHei" w:eastAsia="SimHei" w:hAnsi="SimHei"/>
          <w:sz w:val="21"/>
          <w:szCs w:val="21"/>
          <w:lang w:val="en-GB"/>
        </w:rPr>
      </w:pPr>
      <w:r>
        <w:rPr>
          <w:rFonts w:ascii="SimHei" w:eastAsia="SimHei" w:hAnsi="SimHei" w:hint="eastAsia"/>
          <w:sz w:val="21"/>
          <w:szCs w:val="21"/>
          <w:lang w:val="en-GB"/>
        </w:rPr>
        <w:t>填补数据空白的拟议方案</w:t>
      </w:r>
    </w:p>
    <w:p w:rsidR="00C04F1C" w:rsidRPr="00CB49D0" w:rsidRDefault="003F4B2B"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现有数据收藏，如各专利局数据的同步，的确具有基础作用，能够在一个具体的数据集</w:t>
      </w:r>
      <w:r w:rsidRPr="00CB49D0">
        <w:rPr>
          <w:rFonts w:ascii="SimSun" w:hAnsi="SimSun"/>
          <w:sz w:val="21"/>
          <w:szCs w:val="21"/>
          <w:lang w:val="en-GB"/>
        </w:rPr>
        <w:t>(PCT</w:t>
      </w:r>
      <w:r>
        <w:rPr>
          <w:rFonts w:ascii="SimSun" w:hAnsi="SimSun" w:hint="eastAsia"/>
          <w:sz w:val="21"/>
          <w:szCs w:val="21"/>
          <w:lang w:val="en-GB"/>
        </w:rPr>
        <w:t>最低限度</w:t>
      </w:r>
      <w:r w:rsidRPr="00CB49D0">
        <w:rPr>
          <w:rFonts w:ascii="SimSun" w:hAnsi="SimSun"/>
          <w:sz w:val="21"/>
          <w:szCs w:val="21"/>
          <w:lang w:val="en-GB"/>
        </w:rPr>
        <w:t>)</w:t>
      </w:r>
      <w:r>
        <w:rPr>
          <w:rFonts w:ascii="SimSun" w:hAnsi="SimSun" w:hint="eastAsia"/>
          <w:sz w:val="21"/>
          <w:szCs w:val="21"/>
          <w:lang w:val="en-GB"/>
        </w:rPr>
        <w:t>上进行全面的已公布专利文献现有技术检索。此外，它可以通过确保专利数据集的完整性，帮助实现数据质量的整体提高。</w:t>
      </w:r>
    </w:p>
    <w:p w:rsidR="00C04F1C" w:rsidRPr="00CB49D0" w:rsidRDefault="00DB1A12"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为了实现这种一致性</w:t>
      </w:r>
      <w:r w:rsidR="006B3385">
        <w:rPr>
          <w:rFonts w:ascii="SimSun" w:hAnsi="SimSun" w:hint="eastAsia"/>
          <w:sz w:val="21"/>
          <w:szCs w:val="21"/>
          <w:lang w:val="en-GB"/>
        </w:rPr>
        <w:t>检查</w:t>
      </w:r>
      <w:r>
        <w:rPr>
          <w:rFonts w:ascii="SimSun" w:hAnsi="SimSun" w:hint="eastAsia"/>
          <w:sz w:val="21"/>
          <w:szCs w:val="21"/>
          <w:lang w:val="en-GB"/>
        </w:rPr>
        <w:t>，已经开发了所谓的</w:t>
      </w:r>
      <w:r w:rsidRPr="00CB49D0">
        <w:rPr>
          <w:rFonts w:ascii="SimSun" w:hAnsi="SimSun"/>
          <w:sz w:val="21"/>
          <w:szCs w:val="21"/>
          <w:lang w:val="en-GB"/>
        </w:rPr>
        <w:t>“</w:t>
      </w:r>
      <w:r>
        <w:rPr>
          <w:rFonts w:ascii="SimSun" w:hAnsi="SimSun" w:hint="eastAsia"/>
          <w:sz w:val="21"/>
          <w:szCs w:val="21"/>
        </w:rPr>
        <w:t>权威文档”</w:t>
      </w:r>
      <w:r>
        <w:rPr>
          <w:rFonts w:ascii="SimSun" w:hAnsi="SimSun"/>
          <w:sz w:val="21"/>
          <w:szCs w:val="21"/>
        </w:rPr>
        <w:t>(AF)</w:t>
      </w:r>
      <w:r w:rsidR="00C90C34">
        <w:rPr>
          <w:rFonts w:ascii="SimSun" w:hAnsi="SimSun" w:hint="eastAsia"/>
          <w:sz w:val="21"/>
          <w:szCs w:val="21"/>
        </w:rPr>
        <w:t>的规格。权威</w:t>
      </w:r>
      <w:r>
        <w:rPr>
          <w:rFonts w:ascii="SimSun" w:hAnsi="SimSun" w:hint="eastAsia"/>
          <w:sz w:val="21"/>
          <w:szCs w:val="21"/>
        </w:rPr>
        <w:t>文档提供了一个专利局发布的所有专利文献的</w:t>
      </w:r>
      <w:r w:rsidR="003F4B2B">
        <w:rPr>
          <w:rFonts w:ascii="SimSun" w:hAnsi="SimSun" w:hint="eastAsia"/>
          <w:sz w:val="21"/>
          <w:szCs w:val="21"/>
        </w:rPr>
        <w:t>权威</w:t>
      </w:r>
      <w:r>
        <w:rPr>
          <w:rFonts w:ascii="SimSun" w:hAnsi="SimSun" w:hint="eastAsia"/>
          <w:sz w:val="21"/>
          <w:szCs w:val="21"/>
        </w:rPr>
        <w:t>清单。更</w:t>
      </w:r>
      <w:r w:rsidRPr="003F4B2B">
        <w:rPr>
          <w:rFonts w:ascii="SimSun" w:hAnsi="SimSun" w:hint="eastAsia"/>
          <w:sz w:val="21"/>
          <w:szCs w:val="21"/>
          <w:lang w:val="en-GB"/>
        </w:rPr>
        <w:t>具体地说</w:t>
      </w:r>
      <w:r>
        <w:rPr>
          <w:rFonts w:ascii="SimSun" w:hAnsi="SimSun" w:hint="eastAsia"/>
          <w:sz w:val="21"/>
          <w:szCs w:val="21"/>
        </w:rPr>
        <w:t>，它提供了专利文献的所有公布号，这些文献的号码至少被公布过一次。这因此也包括</w:t>
      </w:r>
      <w:r w:rsidR="00B54903">
        <w:rPr>
          <w:rFonts w:ascii="SimSun" w:hAnsi="SimSun" w:hint="eastAsia"/>
          <w:sz w:val="21"/>
          <w:szCs w:val="21"/>
        </w:rPr>
        <w:t>找不到</w:t>
      </w:r>
      <w:r w:rsidR="0033242E" w:rsidRPr="0033242E">
        <w:rPr>
          <w:rFonts w:ascii="SimSun" w:hAnsi="SimSun" w:hint="eastAsia"/>
          <w:sz w:val="21"/>
          <w:szCs w:val="21"/>
        </w:rPr>
        <w:t>已</w:t>
      </w:r>
      <w:r>
        <w:rPr>
          <w:rFonts w:ascii="SimSun" w:hAnsi="SimSun" w:hint="eastAsia"/>
          <w:sz w:val="21"/>
          <w:szCs w:val="21"/>
        </w:rPr>
        <w:t>公布文献的号码</w:t>
      </w:r>
      <w:r w:rsidR="00C04F1C" w:rsidRPr="00CB49D0">
        <w:rPr>
          <w:rFonts w:ascii="SimSun" w:hAnsi="SimSun"/>
          <w:sz w:val="21"/>
          <w:szCs w:val="21"/>
          <w:lang w:val="en-GB"/>
        </w:rPr>
        <w:t>(</w:t>
      </w:r>
      <w:r>
        <w:rPr>
          <w:rFonts w:ascii="SimSun" w:hAnsi="SimSun" w:hint="eastAsia"/>
          <w:sz w:val="21"/>
          <w:szCs w:val="21"/>
          <w:lang w:val="en-GB"/>
        </w:rPr>
        <w:t>例如</w:t>
      </w:r>
      <w:r w:rsidR="00B54903">
        <w:rPr>
          <w:rFonts w:ascii="SimSun" w:hAnsi="SimSun" w:hint="eastAsia"/>
          <w:sz w:val="21"/>
          <w:szCs w:val="21"/>
          <w:lang w:val="en-GB"/>
        </w:rPr>
        <w:t>，</w:t>
      </w:r>
      <w:r>
        <w:rPr>
          <w:rFonts w:ascii="SimSun" w:hAnsi="SimSun" w:hint="eastAsia"/>
          <w:sz w:val="21"/>
          <w:szCs w:val="21"/>
          <w:lang w:val="en-GB"/>
        </w:rPr>
        <w:t>较晚撤回的申请</w:t>
      </w:r>
      <w:r w:rsidR="00B54903">
        <w:rPr>
          <w:rFonts w:ascii="SimSun" w:hAnsi="SimSun" w:hint="eastAsia"/>
          <w:sz w:val="21"/>
          <w:szCs w:val="21"/>
          <w:lang w:val="en-GB"/>
        </w:rPr>
        <w:t>、</w:t>
      </w:r>
      <w:r>
        <w:rPr>
          <w:rFonts w:ascii="SimSun" w:hAnsi="SimSun" w:hint="eastAsia"/>
          <w:sz w:val="21"/>
          <w:szCs w:val="21"/>
          <w:lang w:val="en-GB"/>
        </w:rPr>
        <w:t>已销毁的较晚撤回文献、已销毁文献</w:t>
      </w:r>
      <w:r w:rsidR="00C04F1C" w:rsidRPr="00CB49D0">
        <w:rPr>
          <w:rFonts w:ascii="SimSun" w:hAnsi="SimSun"/>
          <w:sz w:val="21"/>
          <w:szCs w:val="21"/>
          <w:lang w:val="en-GB"/>
        </w:rPr>
        <w:t>)</w:t>
      </w:r>
      <w:r>
        <w:rPr>
          <w:rFonts w:ascii="SimSun" w:hAnsi="SimSun" w:hint="eastAsia"/>
          <w:sz w:val="21"/>
          <w:szCs w:val="21"/>
          <w:lang w:val="en-GB"/>
        </w:rPr>
        <w:t>，或者只</w:t>
      </w:r>
      <w:r w:rsidR="00B54903">
        <w:rPr>
          <w:rFonts w:ascii="SimSun" w:hAnsi="SimSun" w:hint="eastAsia"/>
          <w:sz w:val="21"/>
          <w:szCs w:val="21"/>
          <w:lang w:val="en-GB"/>
        </w:rPr>
        <w:t>能找到</w:t>
      </w:r>
      <w:r>
        <w:rPr>
          <w:rFonts w:ascii="SimSun" w:hAnsi="SimSun" w:hint="eastAsia"/>
          <w:sz w:val="21"/>
          <w:szCs w:val="21"/>
          <w:lang w:val="en-GB"/>
        </w:rPr>
        <w:t>著录项目数据公布的号码。</w:t>
      </w:r>
    </w:p>
    <w:p w:rsidR="00C04F1C" w:rsidRPr="00CB49D0" w:rsidRDefault="00DB1A12"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权威文档技术规格定义了专利文献权威文档</w:t>
      </w:r>
      <w:r w:rsidR="00B54903">
        <w:rPr>
          <w:rFonts w:ascii="SimSun" w:hAnsi="SimSun" w:hint="eastAsia"/>
          <w:sz w:val="21"/>
          <w:szCs w:val="21"/>
          <w:lang w:val="en-GB"/>
        </w:rPr>
        <w:t>所需</w:t>
      </w:r>
      <w:r>
        <w:rPr>
          <w:rFonts w:ascii="SimSun" w:hAnsi="SimSun" w:hint="eastAsia"/>
          <w:sz w:val="21"/>
          <w:szCs w:val="21"/>
          <w:lang w:val="en-GB"/>
        </w:rPr>
        <w:t>的最低限度数据元素，以及权威文档的建议文件格式，</w:t>
      </w:r>
      <w:r w:rsidR="00B54903">
        <w:rPr>
          <w:rFonts w:ascii="SimSun" w:hAnsi="SimSun" w:hint="eastAsia"/>
          <w:sz w:val="21"/>
          <w:szCs w:val="21"/>
          <w:lang w:val="en-GB"/>
        </w:rPr>
        <w:t>它以</w:t>
      </w:r>
      <w:r>
        <w:rPr>
          <w:rFonts w:ascii="SimSun" w:hAnsi="SimSun" w:hint="eastAsia"/>
          <w:sz w:val="21"/>
          <w:szCs w:val="21"/>
          <w:lang w:val="en-GB"/>
        </w:rPr>
        <w:t>不同专利局的需求</w:t>
      </w:r>
      <w:r w:rsidR="00B54903">
        <w:rPr>
          <w:rFonts w:ascii="SimSun" w:hAnsi="SimSun" w:hint="eastAsia"/>
          <w:sz w:val="21"/>
          <w:szCs w:val="21"/>
          <w:lang w:val="en-GB"/>
        </w:rPr>
        <w:t>为基础</w:t>
      </w:r>
      <w:r>
        <w:rPr>
          <w:rFonts w:ascii="SimSun" w:hAnsi="SimSun" w:hint="eastAsia"/>
          <w:sz w:val="21"/>
          <w:szCs w:val="21"/>
          <w:lang w:val="en-GB"/>
        </w:rPr>
        <w:t>，同时允许一定灵活性。</w:t>
      </w:r>
    </w:p>
    <w:p w:rsidR="00C04F1C" w:rsidRPr="00CB49D0" w:rsidRDefault="00DB1A12"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在定义专利文献权威文档所需最低限度数据元素时，可以看到与关于唯一化标识专利文献所需最低限度数据元素的</w:t>
      </w:r>
      <w:r>
        <w:rPr>
          <w:rFonts w:ascii="SimSun" w:hAnsi="SimSun"/>
          <w:sz w:val="21"/>
          <w:szCs w:val="21"/>
        </w:rPr>
        <w:t>WIPO</w:t>
      </w:r>
      <w:r>
        <w:rPr>
          <w:rFonts w:ascii="SimSun" w:hAnsi="SimSun" w:hint="eastAsia"/>
          <w:sz w:val="21"/>
          <w:szCs w:val="21"/>
        </w:rPr>
        <w:t>标准</w:t>
      </w:r>
      <w:r w:rsidR="00C04F1C" w:rsidRPr="00CB49D0">
        <w:rPr>
          <w:rFonts w:ascii="SimSun" w:hAnsi="SimSun"/>
          <w:sz w:val="21"/>
          <w:szCs w:val="21"/>
          <w:lang w:val="en-GB"/>
        </w:rPr>
        <w:t>ST.1</w:t>
      </w:r>
      <w:r>
        <w:rPr>
          <w:rFonts w:ascii="SimSun" w:hAnsi="SimSun" w:hint="eastAsia"/>
          <w:sz w:val="21"/>
          <w:szCs w:val="21"/>
          <w:lang w:val="en-GB"/>
        </w:rPr>
        <w:t>有大量相似性。因此，合理的结论是对标准</w:t>
      </w:r>
      <w:r w:rsidR="00C04F1C" w:rsidRPr="00CB49D0">
        <w:rPr>
          <w:rFonts w:ascii="SimSun" w:hAnsi="SimSun"/>
          <w:sz w:val="21"/>
          <w:szCs w:val="21"/>
          <w:lang w:val="en-GB"/>
        </w:rPr>
        <w:t>ST.1</w:t>
      </w:r>
      <w:r>
        <w:rPr>
          <w:rFonts w:ascii="SimSun" w:hAnsi="SimSun" w:hint="eastAsia"/>
          <w:sz w:val="21"/>
          <w:szCs w:val="21"/>
          <w:lang w:val="en-GB"/>
        </w:rPr>
        <w:t>进行扩展，增加权威文档的定义和规格，作为</w:t>
      </w:r>
      <w:r w:rsidRPr="00CB49D0">
        <w:rPr>
          <w:rFonts w:ascii="SimSun" w:hAnsi="SimSun"/>
          <w:sz w:val="21"/>
          <w:szCs w:val="21"/>
          <w:lang w:val="en-GB"/>
        </w:rPr>
        <w:t>ST.1</w:t>
      </w:r>
      <w:r w:rsidR="005C4181">
        <w:rPr>
          <w:rFonts w:ascii="SimSun" w:hAnsi="SimSun" w:hint="eastAsia"/>
          <w:sz w:val="21"/>
          <w:szCs w:val="21"/>
          <w:lang w:val="en-GB"/>
        </w:rPr>
        <w:t>的一个用例。</w:t>
      </w:r>
    </w:p>
    <w:p w:rsidR="00FD131C" w:rsidRPr="00CB49D0" w:rsidRDefault="00B54903" w:rsidP="003F4B2B">
      <w:pPr>
        <w:pStyle w:val="BodyText"/>
        <w:spacing w:afterLines="50" w:after="120" w:line="340" w:lineRule="atLeast"/>
        <w:ind w:firstLineChars="200" w:firstLine="420"/>
        <w:jc w:val="both"/>
        <w:rPr>
          <w:rFonts w:ascii="SimSun" w:hAnsi="SimSun"/>
          <w:sz w:val="21"/>
          <w:szCs w:val="21"/>
          <w:lang w:val="en-GB"/>
        </w:rPr>
      </w:pPr>
      <w:r>
        <w:rPr>
          <w:rFonts w:ascii="SimSun" w:hAnsi="SimSun" w:hint="eastAsia"/>
          <w:sz w:val="21"/>
          <w:szCs w:val="21"/>
          <w:lang w:val="en-GB"/>
        </w:rPr>
        <w:t>这样</w:t>
      </w:r>
      <w:r w:rsidR="000E0EA0">
        <w:rPr>
          <w:rFonts w:ascii="SimSun" w:hAnsi="SimSun" w:hint="eastAsia"/>
          <w:sz w:val="21"/>
          <w:szCs w:val="21"/>
          <w:lang w:val="en-GB"/>
        </w:rPr>
        <w:t>，修订标准</w:t>
      </w:r>
      <w:r w:rsidR="00C04F1C" w:rsidRPr="00CB49D0">
        <w:rPr>
          <w:rFonts w:ascii="SimSun" w:hAnsi="SimSun"/>
          <w:sz w:val="21"/>
          <w:szCs w:val="21"/>
          <w:lang w:val="en-GB"/>
        </w:rPr>
        <w:t>ST.1</w:t>
      </w:r>
      <w:r w:rsidR="000E0EA0">
        <w:rPr>
          <w:rFonts w:ascii="SimSun" w:hAnsi="SimSun" w:hint="eastAsia"/>
          <w:sz w:val="21"/>
          <w:szCs w:val="21"/>
          <w:lang w:val="en-GB"/>
        </w:rPr>
        <w:t>是一个可推荐的解决方案，</w:t>
      </w:r>
      <w:r>
        <w:rPr>
          <w:rFonts w:ascii="SimSun" w:hAnsi="SimSun" w:hint="eastAsia"/>
          <w:sz w:val="21"/>
          <w:szCs w:val="21"/>
          <w:lang w:val="en-GB"/>
        </w:rPr>
        <w:t>可以</w:t>
      </w:r>
      <w:r w:rsidR="000E0EA0">
        <w:rPr>
          <w:rFonts w:ascii="SimSun" w:hAnsi="SimSun" w:hint="eastAsia"/>
          <w:sz w:val="21"/>
          <w:szCs w:val="21"/>
          <w:lang w:val="en-GB"/>
        </w:rPr>
        <w:t>使权威文档在罗列一个专利局或一个地区组织发布的所有专利文献公布号</w:t>
      </w:r>
      <w:r>
        <w:rPr>
          <w:rFonts w:ascii="SimSun" w:hAnsi="SimSun" w:hint="eastAsia"/>
          <w:sz w:val="21"/>
          <w:szCs w:val="21"/>
          <w:lang w:val="en-GB"/>
        </w:rPr>
        <w:t>方面</w:t>
      </w:r>
      <w:r w:rsidR="000E0EA0">
        <w:rPr>
          <w:rFonts w:ascii="SimSun" w:hAnsi="SimSun" w:hint="eastAsia"/>
          <w:sz w:val="21"/>
          <w:szCs w:val="21"/>
          <w:lang w:val="en-GB"/>
        </w:rPr>
        <w:t>成为一个定义</w:t>
      </w:r>
      <w:r>
        <w:rPr>
          <w:rFonts w:ascii="SimSun" w:hAnsi="SimSun" w:hint="eastAsia"/>
          <w:sz w:val="21"/>
          <w:szCs w:val="21"/>
          <w:lang w:val="en-GB"/>
        </w:rPr>
        <w:t>完善</w:t>
      </w:r>
      <w:r w:rsidR="000E0EA0">
        <w:rPr>
          <w:rFonts w:ascii="SimSun" w:hAnsi="SimSun" w:hint="eastAsia"/>
          <w:sz w:val="21"/>
          <w:szCs w:val="21"/>
          <w:lang w:val="en-GB"/>
        </w:rPr>
        <w:t>的工具。另一种办法是，可以开发一</w:t>
      </w:r>
      <w:r>
        <w:rPr>
          <w:rFonts w:ascii="SimSun" w:hAnsi="SimSun" w:hint="eastAsia"/>
          <w:sz w:val="21"/>
          <w:szCs w:val="21"/>
          <w:lang w:val="en-GB"/>
        </w:rPr>
        <w:t>项</w:t>
      </w:r>
      <w:r w:rsidR="000E0EA0">
        <w:rPr>
          <w:rFonts w:ascii="SimSun" w:hAnsi="SimSun" w:hint="eastAsia"/>
          <w:sz w:val="21"/>
          <w:szCs w:val="21"/>
          <w:lang w:val="en-GB"/>
        </w:rPr>
        <w:t>新的</w:t>
      </w:r>
      <w:r w:rsidR="00C04F1C" w:rsidRPr="00CB49D0">
        <w:rPr>
          <w:rFonts w:ascii="SimSun" w:hAnsi="SimSun"/>
          <w:sz w:val="21"/>
          <w:szCs w:val="21"/>
          <w:lang w:val="en-GB"/>
        </w:rPr>
        <w:t>WIPO</w:t>
      </w:r>
      <w:r w:rsidR="000E0EA0">
        <w:rPr>
          <w:rFonts w:ascii="SimSun" w:hAnsi="SimSun" w:hint="eastAsia"/>
          <w:sz w:val="21"/>
          <w:szCs w:val="21"/>
          <w:lang w:val="en-GB"/>
        </w:rPr>
        <w:t>标准，以满足权威文档的具体业务需求。</w:t>
      </w:r>
    </w:p>
    <w:p w:rsidR="00B54903" w:rsidRDefault="00B54903" w:rsidP="00CB49D0">
      <w:pPr>
        <w:pStyle w:val="Endofdocument-Annex"/>
        <w:spacing w:afterLines="50" w:after="120" w:line="340" w:lineRule="atLeast"/>
        <w:jc w:val="both"/>
        <w:rPr>
          <w:rFonts w:ascii="KaiTi" w:eastAsia="KaiTi" w:hAnsi="KaiTi"/>
          <w:sz w:val="21"/>
          <w:szCs w:val="21"/>
          <w:lang w:val="en-GB"/>
        </w:rPr>
      </w:pPr>
    </w:p>
    <w:p w:rsidR="00F936DB" w:rsidRPr="00CB49D0" w:rsidRDefault="00F936DB" w:rsidP="00CB49D0">
      <w:pPr>
        <w:pStyle w:val="Endofdocument-Annex"/>
        <w:spacing w:afterLines="50" w:after="120" w:line="340" w:lineRule="atLeast"/>
        <w:jc w:val="both"/>
        <w:rPr>
          <w:rFonts w:ascii="SimSun" w:hAnsi="SimSun"/>
          <w:sz w:val="21"/>
          <w:szCs w:val="21"/>
          <w:lang w:val="en-GB"/>
        </w:rPr>
      </w:pPr>
      <w:r w:rsidRPr="004F07F1">
        <w:rPr>
          <w:rFonts w:ascii="KaiTi" w:eastAsia="KaiTi" w:hAnsi="KaiTi"/>
          <w:sz w:val="21"/>
          <w:szCs w:val="21"/>
          <w:lang w:val="en-GB"/>
        </w:rPr>
        <w:t>[</w:t>
      </w:r>
      <w:r w:rsidR="004F07F1" w:rsidRPr="004F07F1">
        <w:rPr>
          <w:rFonts w:ascii="KaiTi" w:eastAsia="KaiTi" w:hAnsi="KaiTi" w:hint="eastAsia"/>
          <w:sz w:val="21"/>
          <w:szCs w:val="21"/>
          <w:lang w:val="en-GB"/>
        </w:rPr>
        <w:t>附件和文件完</w:t>
      </w:r>
      <w:r w:rsidRPr="00CB49D0">
        <w:rPr>
          <w:rFonts w:ascii="SimSun" w:hAnsi="SimSun"/>
          <w:sz w:val="21"/>
          <w:szCs w:val="21"/>
          <w:lang w:val="en-GB"/>
        </w:rPr>
        <w:t>]</w:t>
      </w:r>
    </w:p>
    <w:sectPr w:rsidR="00F936DB" w:rsidRPr="00CB49D0" w:rsidSect="00F936DB">
      <w:headerReference w:type="default" r:id="rId8"/>
      <w:headerReference w:type="firs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0E" w:rsidRDefault="0081040E">
      <w:r>
        <w:separator/>
      </w:r>
    </w:p>
  </w:endnote>
  <w:endnote w:type="continuationSeparator" w:id="0">
    <w:p w:rsidR="0081040E" w:rsidRDefault="0081040E" w:rsidP="003B38C1">
      <w:r>
        <w:separator/>
      </w:r>
    </w:p>
    <w:p w:rsidR="0081040E" w:rsidRPr="003B38C1" w:rsidRDefault="0081040E" w:rsidP="003B38C1">
      <w:pPr>
        <w:spacing w:after="60"/>
        <w:rPr>
          <w:sz w:val="17"/>
        </w:rPr>
      </w:pPr>
      <w:r>
        <w:rPr>
          <w:sz w:val="17"/>
        </w:rPr>
        <w:t>[Endnote continued from previous page]</w:t>
      </w:r>
    </w:p>
  </w:endnote>
  <w:endnote w:type="continuationNotice" w:id="1">
    <w:p w:rsidR="0081040E" w:rsidRPr="003B38C1" w:rsidRDefault="008104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0E" w:rsidRDefault="0081040E">
      <w:r>
        <w:separator/>
      </w:r>
    </w:p>
  </w:footnote>
  <w:footnote w:type="continuationSeparator" w:id="0">
    <w:p w:rsidR="0081040E" w:rsidRDefault="0081040E" w:rsidP="008B60B2">
      <w:r>
        <w:separator/>
      </w:r>
    </w:p>
    <w:p w:rsidR="0081040E" w:rsidRPr="00ED77FB" w:rsidRDefault="0081040E" w:rsidP="008B60B2">
      <w:pPr>
        <w:spacing w:after="60"/>
        <w:rPr>
          <w:sz w:val="17"/>
          <w:szCs w:val="17"/>
        </w:rPr>
      </w:pPr>
      <w:r w:rsidRPr="00ED77FB">
        <w:rPr>
          <w:sz w:val="17"/>
          <w:szCs w:val="17"/>
        </w:rPr>
        <w:t>[Footnote continued from previous page]</w:t>
      </w:r>
    </w:p>
  </w:footnote>
  <w:footnote w:type="continuationNotice" w:id="1">
    <w:p w:rsidR="0081040E" w:rsidRPr="00ED77FB" w:rsidRDefault="008104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4F07F1" w:rsidRDefault="007E6AE1" w:rsidP="00477D6B">
    <w:pPr>
      <w:jc w:val="right"/>
      <w:rPr>
        <w:rFonts w:ascii="SimSun" w:hAnsi="SimSun"/>
        <w:sz w:val="21"/>
        <w:szCs w:val="21"/>
      </w:rPr>
    </w:pPr>
    <w:bookmarkStart w:id="1" w:name="Code2"/>
    <w:bookmarkEnd w:id="1"/>
    <w:r w:rsidRPr="004F07F1">
      <w:rPr>
        <w:rFonts w:ascii="SimSun" w:hAnsi="SimSun"/>
        <w:sz w:val="21"/>
        <w:szCs w:val="21"/>
      </w:rPr>
      <w:t>CWS/4</w:t>
    </w:r>
    <w:r w:rsidR="00C04F1C" w:rsidRPr="004F07F1">
      <w:rPr>
        <w:rFonts w:ascii="SimSun" w:hAnsi="SimSun"/>
        <w:sz w:val="21"/>
        <w:szCs w:val="21"/>
      </w:rPr>
      <w:t>BIS</w:t>
    </w:r>
    <w:r w:rsidRPr="004F07F1">
      <w:rPr>
        <w:rFonts w:ascii="SimSun" w:hAnsi="SimSun"/>
        <w:sz w:val="21"/>
        <w:szCs w:val="21"/>
      </w:rPr>
      <w:t>/1</w:t>
    </w:r>
    <w:r w:rsidR="00C04F1C" w:rsidRPr="004F07F1">
      <w:rPr>
        <w:rFonts w:ascii="SimSun" w:hAnsi="SimSun"/>
        <w:sz w:val="21"/>
        <w:szCs w:val="21"/>
      </w:rPr>
      <w:t>3</w:t>
    </w:r>
  </w:p>
  <w:p w:rsidR="00EC4E49" w:rsidRPr="004F07F1" w:rsidRDefault="004F07F1" w:rsidP="004F07F1">
    <w:pPr>
      <w:wordWrap w:val="0"/>
      <w:jc w:val="right"/>
      <w:rPr>
        <w:rFonts w:ascii="SimSun" w:hAnsi="SimSun"/>
        <w:sz w:val="21"/>
        <w:szCs w:val="21"/>
      </w:rPr>
    </w:pPr>
    <w:r>
      <w:rPr>
        <w:rFonts w:ascii="SimSun" w:hAnsi="SimSun" w:hint="eastAsia"/>
        <w:sz w:val="21"/>
        <w:szCs w:val="21"/>
      </w:rPr>
      <w:t>附件第</w:t>
    </w:r>
    <w:r w:rsidR="00EC4E49" w:rsidRPr="004F07F1">
      <w:rPr>
        <w:rFonts w:ascii="SimSun" w:hAnsi="SimSun"/>
        <w:sz w:val="21"/>
        <w:szCs w:val="21"/>
      </w:rPr>
      <w:t xml:space="preserve"> </w:t>
    </w:r>
    <w:r w:rsidR="00EC4E49" w:rsidRPr="004F07F1">
      <w:rPr>
        <w:rFonts w:ascii="SimSun" w:hAnsi="SimSun"/>
        <w:sz w:val="21"/>
        <w:szCs w:val="21"/>
      </w:rPr>
      <w:fldChar w:fldCharType="begin"/>
    </w:r>
    <w:r w:rsidR="00EC4E49" w:rsidRPr="004F07F1">
      <w:rPr>
        <w:rFonts w:ascii="SimSun" w:hAnsi="SimSun"/>
        <w:sz w:val="21"/>
        <w:szCs w:val="21"/>
      </w:rPr>
      <w:instrText xml:space="preserve"> PAGE  \* MERGEFORMAT </w:instrText>
    </w:r>
    <w:r w:rsidR="00EC4E49" w:rsidRPr="004F07F1">
      <w:rPr>
        <w:rFonts w:ascii="SimSun" w:hAnsi="SimSun"/>
        <w:sz w:val="21"/>
        <w:szCs w:val="21"/>
      </w:rPr>
      <w:fldChar w:fldCharType="separate"/>
    </w:r>
    <w:r w:rsidR="003F4B2B">
      <w:rPr>
        <w:rFonts w:ascii="SimSun" w:hAnsi="SimSun"/>
        <w:noProof/>
        <w:sz w:val="21"/>
        <w:szCs w:val="21"/>
      </w:rPr>
      <w:t>2</w:t>
    </w:r>
    <w:r w:rsidR="00EC4E49" w:rsidRPr="004F07F1">
      <w:rPr>
        <w:rFonts w:ascii="SimSun" w:hAnsi="SimSun"/>
        <w:sz w:val="21"/>
        <w:szCs w:val="21"/>
      </w:rPr>
      <w:fldChar w:fldCharType="end"/>
    </w:r>
    <w:r>
      <w:rPr>
        <w:rFonts w:ascii="SimSun" w:hAnsi="SimSun" w:hint="eastAsia"/>
        <w:sz w:val="21"/>
        <w:szCs w:val="21"/>
      </w:rPr>
      <w:t xml:space="preserve"> 页</w:t>
    </w:r>
  </w:p>
  <w:p w:rsidR="00EC4E49" w:rsidRPr="004F07F1" w:rsidRDefault="00EC4E49" w:rsidP="00477D6B">
    <w:pPr>
      <w:jc w:val="right"/>
      <w:rPr>
        <w:rFonts w:ascii="SimSun" w:hAnsi="SimSun"/>
        <w:sz w:val="21"/>
        <w:szCs w:val="21"/>
      </w:rPr>
    </w:pPr>
  </w:p>
  <w:p w:rsidR="00FD131C" w:rsidRDefault="00FD131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DB" w:rsidRPr="00295353" w:rsidRDefault="00F936DB" w:rsidP="00F936DB">
    <w:pPr>
      <w:jc w:val="right"/>
      <w:rPr>
        <w:rFonts w:ascii="SimSun" w:hAnsi="SimSun"/>
        <w:sz w:val="21"/>
        <w:szCs w:val="21"/>
      </w:rPr>
    </w:pPr>
    <w:r w:rsidRPr="00295353">
      <w:rPr>
        <w:rFonts w:ascii="SimSun" w:hAnsi="SimSun"/>
        <w:sz w:val="21"/>
        <w:szCs w:val="21"/>
      </w:rPr>
      <w:t>CWS/4BIS/13</w:t>
    </w:r>
  </w:p>
  <w:p w:rsidR="00F936DB" w:rsidRPr="00295353" w:rsidRDefault="00295353" w:rsidP="00295353">
    <w:pPr>
      <w:wordWrap w:val="0"/>
      <w:jc w:val="right"/>
      <w:rPr>
        <w:rFonts w:ascii="SimSun" w:hAnsi="SimSun"/>
        <w:sz w:val="21"/>
        <w:szCs w:val="21"/>
      </w:rPr>
    </w:pPr>
    <w:r>
      <w:rPr>
        <w:rFonts w:ascii="SimSun" w:hAnsi="SimSun" w:hint="eastAsia"/>
        <w:sz w:val="21"/>
        <w:szCs w:val="21"/>
      </w:rPr>
      <w:t>附  件</w:t>
    </w:r>
  </w:p>
  <w:p w:rsidR="00F936DB" w:rsidRDefault="00F936DB" w:rsidP="00F936DB">
    <w:pPr>
      <w:jc w:val="right"/>
    </w:pPr>
  </w:p>
  <w:p w:rsidR="00FD131C" w:rsidRDefault="00FD131C" w:rsidP="00F936D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1"/>
    <w:rsid w:val="00030798"/>
    <w:rsid w:val="00043CAA"/>
    <w:rsid w:val="00075432"/>
    <w:rsid w:val="000968ED"/>
    <w:rsid w:val="000B6F99"/>
    <w:rsid w:val="000E0EA0"/>
    <w:rsid w:val="000F5E56"/>
    <w:rsid w:val="000F694B"/>
    <w:rsid w:val="001362EE"/>
    <w:rsid w:val="001832A6"/>
    <w:rsid w:val="001A1EAD"/>
    <w:rsid w:val="001D5706"/>
    <w:rsid w:val="00202CD1"/>
    <w:rsid w:val="0021093F"/>
    <w:rsid w:val="002634C4"/>
    <w:rsid w:val="002928D3"/>
    <w:rsid w:val="00295353"/>
    <w:rsid w:val="002B59F2"/>
    <w:rsid w:val="002F1FE6"/>
    <w:rsid w:val="002F4E68"/>
    <w:rsid w:val="00312F7F"/>
    <w:rsid w:val="0033242E"/>
    <w:rsid w:val="00361450"/>
    <w:rsid w:val="003673CF"/>
    <w:rsid w:val="003845C1"/>
    <w:rsid w:val="003A0F69"/>
    <w:rsid w:val="003A6F89"/>
    <w:rsid w:val="003B38C1"/>
    <w:rsid w:val="003F0D05"/>
    <w:rsid w:val="003F4B2B"/>
    <w:rsid w:val="00423D3E"/>
    <w:rsid w:val="00423E3E"/>
    <w:rsid w:val="00427AF4"/>
    <w:rsid w:val="004647DA"/>
    <w:rsid w:val="00474062"/>
    <w:rsid w:val="00477D6B"/>
    <w:rsid w:val="004B3B3D"/>
    <w:rsid w:val="004D4E76"/>
    <w:rsid w:val="004F065C"/>
    <w:rsid w:val="004F07F1"/>
    <w:rsid w:val="005019FF"/>
    <w:rsid w:val="00524A10"/>
    <w:rsid w:val="00527EEC"/>
    <w:rsid w:val="0053057A"/>
    <w:rsid w:val="00546F78"/>
    <w:rsid w:val="00557DD8"/>
    <w:rsid w:val="00560A29"/>
    <w:rsid w:val="005A5031"/>
    <w:rsid w:val="005C4181"/>
    <w:rsid w:val="005C6649"/>
    <w:rsid w:val="005D3486"/>
    <w:rsid w:val="005F6FE9"/>
    <w:rsid w:val="00605827"/>
    <w:rsid w:val="00607BDB"/>
    <w:rsid w:val="00646050"/>
    <w:rsid w:val="00662341"/>
    <w:rsid w:val="006713CA"/>
    <w:rsid w:val="00676C5C"/>
    <w:rsid w:val="006B3385"/>
    <w:rsid w:val="00783D58"/>
    <w:rsid w:val="007924C9"/>
    <w:rsid w:val="00793A9E"/>
    <w:rsid w:val="007C0113"/>
    <w:rsid w:val="007D1613"/>
    <w:rsid w:val="007E6AE1"/>
    <w:rsid w:val="00804FB4"/>
    <w:rsid w:val="0081040E"/>
    <w:rsid w:val="008248E9"/>
    <w:rsid w:val="00840287"/>
    <w:rsid w:val="00887A20"/>
    <w:rsid w:val="008B2CC1"/>
    <w:rsid w:val="008B3EC3"/>
    <w:rsid w:val="008B60B2"/>
    <w:rsid w:val="00906518"/>
    <w:rsid w:val="0090731E"/>
    <w:rsid w:val="00916EE2"/>
    <w:rsid w:val="009355BB"/>
    <w:rsid w:val="00941161"/>
    <w:rsid w:val="00966A22"/>
    <w:rsid w:val="0096722F"/>
    <w:rsid w:val="00980843"/>
    <w:rsid w:val="00982A48"/>
    <w:rsid w:val="009E2791"/>
    <w:rsid w:val="009E3F6F"/>
    <w:rsid w:val="009F499F"/>
    <w:rsid w:val="00A42DAF"/>
    <w:rsid w:val="00A45BD8"/>
    <w:rsid w:val="00A70563"/>
    <w:rsid w:val="00A71E56"/>
    <w:rsid w:val="00A869B7"/>
    <w:rsid w:val="00A93AE4"/>
    <w:rsid w:val="00A9671E"/>
    <w:rsid w:val="00AC205C"/>
    <w:rsid w:val="00AF0A6B"/>
    <w:rsid w:val="00B05A69"/>
    <w:rsid w:val="00B54903"/>
    <w:rsid w:val="00B71272"/>
    <w:rsid w:val="00B83F45"/>
    <w:rsid w:val="00B9734B"/>
    <w:rsid w:val="00BF2981"/>
    <w:rsid w:val="00C04F1C"/>
    <w:rsid w:val="00C11BFE"/>
    <w:rsid w:val="00C14182"/>
    <w:rsid w:val="00C314BF"/>
    <w:rsid w:val="00C3259F"/>
    <w:rsid w:val="00C613F6"/>
    <w:rsid w:val="00C90C34"/>
    <w:rsid w:val="00C96E9B"/>
    <w:rsid w:val="00CB157E"/>
    <w:rsid w:val="00CB49D0"/>
    <w:rsid w:val="00D45252"/>
    <w:rsid w:val="00D71B4D"/>
    <w:rsid w:val="00D93D55"/>
    <w:rsid w:val="00DA6CEB"/>
    <w:rsid w:val="00DB1A12"/>
    <w:rsid w:val="00E1227C"/>
    <w:rsid w:val="00E335FE"/>
    <w:rsid w:val="00E84598"/>
    <w:rsid w:val="00E90DBF"/>
    <w:rsid w:val="00EC4E49"/>
    <w:rsid w:val="00ED77FB"/>
    <w:rsid w:val="00EE45FA"/>
    <w:rsid w:val="00EF644F"/>
    <w:rsid w:val="00F3320C"/>
    <w:rsid w:val="00F652C5"/>
    <w:rsid w:val="00F66152"/>
    <w:rsid w:val="00F936DB"/>
    <w:rsid w:val="00FA7A66"/>
    <w:rsid w:val="00FC7792"/>
    <w:rsid w:val="00FD131C"/>
    <w:rsid w:val="00FF36E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character" w:customStyle="1" w:styleId="ONUMEChar">
    <w:name w:val="ONUM E Char"/>
    <w:link w:val="ONUME"/>
    <w:rsid w:val="005A5031"/>
    <w:rPr>
      <w:rFonts w:ascii="Arial" w:eastAsia="SimSun" w:hAnsi="Arial" w:cs="Arial"/>
      <w:sz w:val="22"/>
      <w:lang w:val="en-US" w:eastAsia="zh-CN"/>
    </w:rPr>
  </w:style>
  <w:style w:type="paragraph" w:customStyle="1" w:styleId="H3-Decision">
    <w:name w:val="H3-Decision"/>
    <w:basedOn w:val="Heading3"/>
    <w:link w:val="H3-DecisionChar"/>
    <w:rsid w:val="005A5031"/>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A5031"/>
    <w:rPr>
      <w:i/>
      <w:sz w:val="24"/>
      <w:szCs w:val="24"/>
      <w:lang w:eastAsia="zh-CN"/>
    </w:rPr>
  </w:style>
  <w:style w:type="paragraph" w:customStyle="1" w:styleId="Indent1">
    <w:name w:val="Indent 1"/>
    <w:basedOn w:val="Normal"/>
    <w:rsid w:val="007C0113"/>
    <w:pPr>
      <w:spacing w:after="120" w:line="260" w:lineRule="atLeast"/>
      <w:ind w:left="2268" w:hanging="567"/>
    </w:pPr>
    <w:rPr>
      <w:rFonts w:eastAsia="Times New Roman"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character" w:customStyle="1" w:styleId="ONUMEChar">
    <w:name w:val="ONUM E Char"/>
    <w:link w:val="ONUME"/>
    <w:rsid w:val="005A5031"/>
    <w:rPr>
      <w:rFonts w:ascii="Arial" w:eastAsia="SimSun" w:hAnsi="Arial" w:cs="Arial"/>
      <w:sz w:val="22"/>
      <w:lang w:val="en-US" w:eastAsia="zh-CN"/>
    </w:rPr>
  </w:style>
  <w:style w:type="paragraph" w:customStyle="1" w:styleId="H3-Decision">
    <w:name w:val="H3-Decision"/>
    <w:basedOn w:val="Heading3"/>
    <w:link w:val="H3-DecisionChar"/>
    <w:rsid w:val="005A5031"/>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A5031"/>
    <w:rPr>
      <w:i/>
      <w:sz w:val="24"/>
      <w:szCs w:val="24"/>
      <w:lang w:eastAsia="zh-CN"/>
    </w:rPr>
  </w:style>
  <w:style w:type="paragraph" w:customStyle="1" w:styleId="Indent1">
    <w:name w:val="Indent 1"/>
    <w:basedOn w:val="Normal"/>
    <w:rsid w:val="007C0113"/>
    <w:pPr>
      <w:spacing w:after="120" w:line="260" w:lineRule="atLeast"/>
      <w:ind w:left="2268" w:hanging="567"/>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CWS/4BIS/13 Annex (in English)</vt:lpstr>
    </vt:vector>
  </TitlesOfParts>
  <Company>WIPO</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CWS/4BIS/13 Annex (in Chinese)</dc:title>
  <dc:subject>设立任务为专利局发布的专利文献权威文档制定要求</dc:subject>
  <dc:creator>WIPO</dc:creator>
  <cp:keywords>CWS</cp:keywords>
  <cp:lastModifiedBy>SCHLESSINGER Caroline</cp:lastModifiedBy>
  <cp:revision>2</cp:revision>
  <cp:lastPrinted>2016-02-23T17:15:00Z</cp:lastPrinted>
  <dcterms:created xsi:type="dcterms:W3CDTF">2016-03-02T16:16:00Z</dcterms:created>
  <dcterms:modified xsi:type="dcterms:W3CDTF">2016-03-02T16:16:00Z</dcterms:modified>
</cp:coreProperties>
</file>