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7823" w:rsidRPr="00F25803" w:rsidTr="00B82B25">
        <w:trPr>
          <w:trHeight w:val="1977"/>
        </w:trPr>
        <w:tc>
          <w:tcPr>
            <w:tcW w:w="4594" w:type="dxa"/>
            <w:tcBorders>
              <w:bottom w:val="single" w:sz="4" w:space="0" w:color="auto"/>
            </w:tcBorders>
            <w:tcMar>
              <w:bottom w:w="170" w:type="dxa"/>
            </w:tcMar>
          </w:tcPr>
          <w:p w:rsidR="00267823" w:rsidRPr="00F25803" w:rsidRDefault="00267823" w:rsidP="00160AC1">
            <w:pPr>
              <w:jc w:val="both"/>
            </w:pPr>
            <w:r w:rsidRPr="00F25803">
              <w:rPr>
                <w:noProof/>
                <w:lang w:eastAsia="en-US"/>
              </w:rPr>
              <w:drawing>
                <wp:anchor distT="0" distB="0" distL="114300" distR="114300" simplePos="0" relativeHeight="251659264" behindDoc="1" locked="0" layoutInCell="0" allowOverlap="1" wp14:anchorId="77C2AD78" wp14:editId="0285B98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67823" w:rsidRPr="00F25803" w:rsidRDefault="00267823" w:rsidP="00160AC1"/>
        </w:tc>
        <w:tc>
          <w:tcPr>
            <w:tcW w:w="425" w:type="dxa"/>
            <w:tcBorders>
              <w:bottom w:val="single" w:sz="4" w:space="0" w:color="auto"/>
            </w:tcBorders>
            <w:tcMar>
              <w:left w:w="0" w:type="dxa"/>
              <w:right w:w="0" w:type="dxa"/>
            </w:tcMar>
          </w:tcPr>
          <w:p w:rsidR="00267823" w:rsidRPr="00F25803" w:rsidRDefault="00267823" w:rsidP="00160AC1">
            <w:pPr>
              <w:jc w:val="right"/>
            </w:pPr>
            <w:r w:rsidRPr="00F25803">
              <w:rPr>
                <w:b/>
                <w:sz w:val="40"/>
                <w:szCs w:val="40"/>
              </w:rPr>
              <w:t>C</w:t>
            </w:r>
          </w:p>
        </w:tc>
      </w:tr>
      <w:tr w:rsidR="00267823" w:rsidRPr="001832A6" w:rsidTr="00C31D84">
        <w:trPr>
          <w:trHeight w:hRule="exact" w:val="357"/>
        </w:trPr>
        <w:tc>
          <w:tcPr>
            <w:tcW w:w="9356" w:type="dxa"/>
            <w:gridSpan w:val="3"/>
            <w:tcBorders>
              <w:top w:val="single" w:sz="4" w:space="0" w:color="auto"/>
            </w:tcBorders>
            <w:tcMar>
              <w:top w:w="170" w:type="dxa"/>
              <w:left w:w="0" w:type="dxa"/>
              <w:right w:w="0" w:type="dxa"/>
            </w:tcMar>
            <w:vAlign w:val="bottom"/>
          </w:tcPr>
          <w:p w:rsidR="00267823" w:rsidRPr="0090731E" w:rsidRDefault="00267823" w:rsidP="00160AC1">
            <w:pPr>
              <w:jc w:val="right"/>
              <w:rPr>
                <w:rFonts w:ascii="Arial Black" w:hAnsi="Arial Black"/>
                <w:caps/>
                <w:sz w:val="15"/>
              </w:rPr>
            </w:pPr>
            <w:r>
              <w:rPr>
                <w:rFonts w:ascii="Arial Black" w:hAnsi="Arial Black"/>
                <w:caps/>
                <w:sz w:val="15"/>
              </w:rPr>
              <w:t xml:space="preserve">CWS/5/10 </w:t>
            </w:r>
            <w:r w:rsidRPr="0090731E">
              <w:rPr>
                <w:rFonts w:ascii="Arial Black" w:hAnsi="Arial Black"/>
                <w:caps/>
                <w:sz w:val="15"/>
              </w:rPr>
              <w:t xml:space="preserve">   </w:t>
            </w:r>
          </w:p>
        </w:tc>
      </w:tr>
      <w:tr w:rsidR="00267823" w:rsidRPr="001832A6" w:rsidTr="00C31D84">
        <w:trPr>
          <w:trHeight w:hRule="exact" w:val="170"/>
        </w:trPr>
        <w:tc>
          <w:tcPr>
            <w:tcW w:w="9356" w:type="dxa"/>
            <w:gridSpan w:val="3"/>
            <w:noWrap/>
            <w:tcMar>
              <w:left w:w="0" w:type="dxa"/>
              <w:right w:w="0" w:type="dxa"/>
            </w:tcMar>
            <w:vAlign w:val="bottom"/>
          </w:tcPr>
          <w:p w:rsidR="00267823" w:rsidRPr="0090731E" w:rsidRDefault="00267823" w:rsidP="00160AC1">
            <w:pPr>
              <w:jc w:val="right"/>
              <w:rPr>
                <w:rFonts w:ascii="Arial Black" w:hAnsi="Arial Black"/>
                <w:caps/>
                <w:sz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r w:rsidRPr="0090731E">
              <w:rPr>
                <w:rFonts w:ascii="Arial Black" w:hAnsi="Arial Black"/>
                <w:caps/>
                <w:sz w:val="15"/>
              </w:rPr>
              <w:t xml:space="preserve"> </w:t>
            </w:r>
          </w:p>
        </w:tc>
      </w:tr>
      <w:tr w:rsidR="00267823" w:rsidRPr="001832A6" w:rsidTr="00C31D84">
        <w:trPr>
          <w:trHeight w:hRule="exact" w:val="198"/>
        </w:trPr>
        <w:tc>
          <w:tcPr>
            <w:tcW w:w="9356" w:type="dxa"/>
            <w:gridSpan w:val="3"/>
            <w:tcMar>
              <w:left w:w="0" w:type="dxa"/>
              <w:right w:w="0" w:type="dxa"/>
            </w:tcMar>
            <w:vAlign w:val="bottom"/>
          </w:tcPr>
          <w:p w:rsidR="00267823" w:rsidRPr="0090731E" w:rsidRDefault="00267823" w:rsidP="00160AC1">
            <w:pPr>
              <w:jc w:val="right"/>
              <w:rPr>
                <w:rFonts w:ascii="Arial Black" w:hAnsi="Arial Black"/>
                <w:caps/>
                <w:sz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Pr>
                <w:rFonts w:ascii="Arial Black" w:eastAsia="SimHei" w:hAnsi="Arial Black" w:hint="eastAsia"/>
                <w:sz w:val="15"/>
                <w:szCs w:val="15"/>
                <w:lang w:val="pt-BR"/>
              </w:rPr>
              <w:t>4</w:t>
            </w:r>
            <w:r w:rsidRPr="00CB7F0C">
              <w:rPr>
                <w:rFonts w:ascii="SimHei" w:eastAsia="SimHei" w:hAnsi="Times New Roman" w:hint="eastAsia"/>
                <w:b/>
                <w:sz w:val="15"/>
                <w:szCs w:val="15"/>
              </w:rPr>
              <w:t>月</w:t>
            </w:r>
            <w:r>
              <w:rPr>
                <w:rFonts w:ascii="Arial Black" w:eastAsia="SimHei" w:hAnsi="Arial Black" w:hint="eastAsia"/>
                <w:sz w:val="15"/>
                <w:szCs w:val="15"/>
              </w:rPr>
              <w:t>4</w:t>
            </w:r>
            <w:r w:rsidRPr="00CB7F0C">
              <w:rPr>
                <w:rFonts w:ascii="SimHei" w:eastAsia="SimHei" w:hAnsi="Times New Roman" w:hint="eastAsia"/>
                <w:b/>
                <w:sz w:val="15"/>
                <w:szCs w:val="15"/>
              </w:rPr>
              <w:t>日</w:t>
            </w:r>
            <w:r w:rsidRPr="0090731E">
              <w:rPr>
                <w:rFonts w:ascii="Arial Black" w:hAnsi="Arial Black"/>
                <w:caps/>
                <w:sz w:val="15"/>
              </w:rPr>
              <w:t xml:space="preserve"> </w:t>
            </w:r>
          </w:p>
        </w:tc>
      </w:tr>
    </w:tbl>
    <w:p w:rsidR="00267823" w:rsidRPr="00F25803" w:rsidRDefault="00267823" w:rsidP="00267823"/>
    <w:p w:rsidR="00267823" w:rsidRPr="00F25803" w:rsidRDefault="00267823" w:rsidP="00267823"/>
    <w:p w:rsidR="00267823" w:rsidRDefault="00267823" w:rsidP="00267823"/>
    <w:p w:rsidR="00267823" w:rsidRPr="00F25803" w:rsidRDefault="00267823" w:rsidP="00267823"/>
    <w:p w:rsidR="00267823" w:rsidRPr="00F25803" w:rsidRDefault="00267823" w:rsidP="00267823"/>
    <w:p w:rsidR="00267823" w:rsidRPr="00F25803" w:rsidRDefault="00267823" w:rsidP="00267823">
      <w:pPr>
        <w:spacing w:line="360" w:lineRule="atLeast"/>
        <w:rPr>
          <w:rFonts w:ascii="SimHei" w:eastAsia="SimHei"/>
          <w:sz w:val="28"/>
          <w:szCs w:val="28"/>
        </w:rPr>
      </w:pPr>
      <w:r w:rsidRPr="00F25803">
        <w:rPr>
          <w:rFonts w:ascii="SimHei" w:eastAsia="SimHei" w:hint="eastAsia"/>
          <w:sz w:val="28"/>
          <w:szCs w:val="28"/>
        </w:rPr>
        <w:t>世界知识产权组织标准委员会</w:t>
      </w:r>
      <w:r w:rsidR="0013563E">
        <w:rPr>
          <w:rFonts w:ascii="SimHei" w:eastAsia="SimHei" w:hint="eastAsia"/>
          <w:sz w:val="28"/>
          <w:szCs w:val="28"/>
        </w:rPr>
        <w:t>（</w:t>
      </w:r>
      <w:r w:rsidRPr="00F25803">
        <w:rPr>
          <w:rFonts w:ascii="SimHei" w:eastAsia="SimHei" w:hint="eastAsia"/>
          <w:sz w:val="28"/>
          <w:szCs w:val="28"/>
        </w:rPr>
        <w:t>CWS</w:t>
      </w:r>
      <w:r w:rsidR="0013563E">
        <w:rPr>
          <w:rFonts w:ascii="SimHei" w:eastAsia="SimHei" w:hint="eastAsia"/>
          <w:sz w:val="28"/>
          <w:szCs w:val="28"/>
        </w:rPr>
        <w:t>）</w:t>
      </w:r>
    </w:p>
    <w:p w:rsidR="00267823" w:rsidRPr="00F141C1" w:rsidRDefault="00267823" w:rsidP="00267823">
      <w:pPr>
        <w:rPr>
          <w:szCs w:val="22"/>
        </w:rPr>
      </w:pPr>
    </w:p>
    <w:p w:rsidR="00267823" w:rsidRPr="00F141C1" w:rsidRDefault="00267823" w:rsidP="00267823">
      <w:pPr>
        <w:rPr>
          <w:szCs w:val="22"/>
        </w:rPr>
      </w:pPr>
    </w:p>
    <w:p w:rsidR="00267823" w:rsidRPr="00F25803" w:rsidRDefault="00267823" w:rsidP="00267823">
      <w:pPr>
        <w:spacing w:line="360" w:lineRule="atLeast"/>
        <w:textAlignment w:val="bottom"/>
        <w:rPr>
          <w:rFonts w:ascii="KaiTi" w:eastAsia="KaiTi"/>
          <w:b/>
          <w:sz w:val="24"/>
          <w:szCs w:val="24"/>
        </w:rPr>
      </w:pPr>
      <w:r w:rsidRPr="00F25803">
        <w:rPr>
          <w:rFonts w:ascii="KaiTi" w:eastAsia="KaiTi" w:hint="eastAsia"/>
          <w:b/>
          <w:sz w:val="24"/>
          <w:szCs w:val="24"/>
        </w:rPr>
        <w:t>第</w:t>
      </w:r>
      <w:r>
        <w:rPr>
          <w:rFonts w:ascii="KaiTi" w:eastAsia="KaiTi" w:hint="eastAsia"/>
          <w:b/>
          <w:sz w:val="24"/>
          <w:szCs w:val="24"/>
        </w:rPr>
        <w:t>五</w:t>
      </w:r>
      <w:r w:rsidRPr="00F25803">
        <w:rPr>
          <w:rFonts w:ascii="KaiTi" w:eastAsia="KaiTi" w:hint="eastAsia"/>
          <w:b/>
          <w:sz w:val="24"/>
          <w:szCs w:val="24"/>
        </w:rPr>
        <w:t>届会议</w:t>
      </w:r>
    </w:p>
    <w:p w:rsidR="00267823" w:rsidRPr="0013563E" w:rsidRDefault="00267823" w:rsidP="00267823">
      <w:pPr>
        <w:spacing w:line="360" w:lineRule="atLeast"/>
        <w:textAlignment w:val="bottom"/>
        <w:rPr>
          <w:rFonts w:ascii="KaiTi" w:eastAsia="KaiTi"/>
          <w:b/>
          <w:sz w:val="24"/>
          <w:szCs w:val="24"/>
        </w:rPr>
      </w:pPr>
      <w:r w:rsidRPr="0013563E">
        <w:rPr>
          <w:rFonts w:ascii="KaiTi" w:eastAsia="KaiTi" w:hint="eastAsia"/>
          <w:b/>
          <w:sz w:val="24"/>
          <w:szCs w:val="24"/>
        </w:rPr>
        <w:t>2017年5月29日至6月2日，日内瓦</w:t>
      </w:r>
    </w:p>
    <w:p w:rsidR="00267823" w:rsidRPr="00F25803" w:rsidRDefault="00267823" w:rsidP="00267823"/>
    <w:p w:rsidR="00633C4B" w:rsidRPr="00267823" w:rsidRDefault="00633C4B" w:rsidP="008B2CC1"/>
    <w:p w:rsidR="008B2CC1" w:rsidRPr="008B2CC1" w:rsidRDefault="008B2CC1" w:rsidP="008B2CC1"/>
    <w:p w:rsidR="00633C4B" w:rsidRPr="00F97571" w:rsidRDefault="000927C7" w:rsidP="00EC090B">
      <w:pPr>
        <w:rPr>
          <w:rFonts w:ascii="KaiTi" w:eastAsia="KaiTi" w:hAnsi="KaiTi" w:cs="Times New Roman"/>
          <w:kern w:val="2"/>
          <w:sz w:val="24"/>
          <w:szCs w:val="32"/>
        </w:rPr>
      </w:pPr>
      <w:r w:rsidRPr="00474CE0">
        <w:rPr>
          <w:rFonts w:ascii="KaiTi" w:eastAsia="KaiTi" w:hAnsi="KaiTi" w:cs="Times New Roman" w:hint="eastAsia"/>
          <w:kern w:val="2"/>
          <w:sz w:val="24"/>
          <w:szCs w:val="32"/>
        </w:rPr>
        <w:t>关于</w:t>
      </w:r>
      <w:r w:rsidR="007E57CF">
        <w:rPr>
          <w:rFonts w:ascii="KaiTi" w:eastAsia="KaiTi" w:hAnsi="KaiTi" w:cs="Times New Roman" w:hint="eastAsia"/>
          <w:kern w:val="2"/>
          <w:sz w:val="24"/>
          <w:szCs w:val="32"/>
        </w:rPr>
        <w:t>制定</w:t>
      </w:r>
      <w:r w:rsidR="005B7CD4" w:rsidRPr="00474CE0">
        <w:rPr>
          <w:rFonts w:ascii="KaiTi" w:eastAsia="KaiTi" w:hAnsi="KaiTi" w:cs="Times New Roman" w:hint="eastAsia"/>
          <w:kern w:val="2"/>
          <w:sz w:val="24"/>
          <w:szCs w:val="32"/>
        </w:rPr>
        <w:t>动作商标和多媒体商标</w:t>
      </w:r>
      <w:r w:rsidR="00BA74B0" w:rsidRPr="00474CE0">
        <w:rPr>
          <w:rFonts w:ascii="KaiTi" w:eastAsia="KaiTi" w:hAnsi="KaiTi" w:cs="Times New Roman" w:hint="eastAsia"/>
          <w:kern w:val="2"/>
          <w:sz w:val="24"/>
          <w:szCs w:val="32"/>
        </w:rPr>
        <w:t>电子管理新WIPO标准的报告</w:t>
      </w:r>
    </w:p>
    <w:p w:rsidR="008B2CC1" w:rsidRPr="00F141C1" w:rsidRDefault="008B2CC1" w:rsidP="008B2CC1">
      <w:pPr>
        <w:rPr>
          <w:caps/>
          <w:szCs w:val="22"/>
        </w:rPr>
      </w:pPr>
    </w:p>
    <w:p w:rsidR="00EC090B" w:rsidRPr="00F141C1" w:rsidRDefault="00EC090B" w:rsidP="008B2CC1">
      <w:pPr>
        <w:rPr>
          <w:caps/>
          <w:szCs w:val="22"/>
        </w:rPr>
      </w:pPr>
    </w:p>
    <w:p w:rsidR="008B2CC1" w:rsidRPr="000D1D45" w:rsidRDefault="00474CE0" w:rsidP="008B2CC1">
      <w:pPr>
        <w:rPr>
          <w:rFonts w:ascii="KaiTi" w:eastAsia="KaiTi" w:hAnsi="STKaiti" w:cs="Times New Roman"/>
          <w:kern w:val="2"/>
          <w:sz w:val="21"/>
          <w:szCs w:val="24"/>
        </w:rPr>
      </w:pPr>
      <w:r w:rsidRPr="00CB7F0C">
        <w:rPr>
          <w:rFonts w:ascii="KaiTi" w:eastAsia="KaiTi" w:hAnsi="STKaiti" w:cs="Times New Roman" w:hint="eastAsia"/>
          <w:kern w:val="2"/>
          <w:sz w:val="21"/>
          <w:szCs w:val="24"/>
        </w:rPr>
        <w:t>秘书处编拟的文件</w:t>
      </w:r>
    </w:p>
    <w:p w:rsidR="00633C4B" w:rsidRDefault="00633C4B" w:rsidP="00EC090B"/>
    <w:p w:rsidR="000D1D45" w:rsidRPr="008B2CC1" w:rsidRDefault="000D1D45" w:rsidP="00EC090B"/>
    <w:p w:rsidR="00633C4B" w:rsidRPr="003845C1" w:rsidRDefault="00633C4B" w:rsidP="00633C4B">
      <w:pPr>
        <w:rPr>
          <w:caps/>
          <w:sz w:val="24"/>
        </w:rPr>
      </w:pPr>
    </w:p>
    <w:p w:rsidR="00AC205C" w:rsidRDefault="00AC205C"/>
    <w:p w:rsidR="00F141C1" w:rsidRDefault="00F141C1"/>
    <w:p w:rsidR="000D1D45" w:rsidRDefault="00A51B51"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0D1D45">
        <w:rPr>
          <w:rFonts w:asciiTheme="minorEastAsia" w:eastAsiaTheme="minorEastAsia" w:hAnsiTheme="minorEastAsia" w:hint="eastAsia"/>
          <w:sz w:val="21"/>
          <w:szCs w:val="21"/>
        </w:rPr>
        <w:t>WIPO标准委员会</w:t>
      </w:r>
      <w:r w:rsidR="0013563E" w:rsidRPr="000D1D45">
        <w:rPr>
          <w:rFonts w:asciiTheme="minorEastAsia" w:eastAsiaTheme="minorEastAsia" w:hAnsiTheme="minorEastAsia" w:hint="eastAsia"/>
          <w:sz w:val="21"/>
          <w:szCs w:val="21"/>
        </w:rPr>
        <w:t>（</w:t>
      </w:r>
      <w:r w:rsidRPr="000D1D45">
        <w:rPr>
          <w:rFonts w:asciiTheme="minorEastAsia" w:eastAsiaTheme="minorEastAsia" w:hAnsiTheme="minorEastAsia"/>
          <w:sz w:val="21"/>
          <w:szCs w:val="21"/>
        </w:rPr>
        <w:t>CWS</w:t>
      </w:r>
      <w:r w:rsidR="0013563E" w:rsidRPr="000D1D45">
        <w:rPr>
          <w:rFonts w:asciiTheme="minorEastAsia" w:eastAsiaTheme="minorEastAsia" w:hAnsiTheme="minorEastAsia" w:hint="eastAsia"/>
          <w:sz w:val="21"/>
          <w:szCs w:val="21"/>
        </w:rPr>
        <w:t>）</w:t>
      </w:r>
      <w:r w:rsidRPr="000D1D45">
        <w:rPr>
          <w:rFonts w:asciiTheme="minorEastAsia" w:eastAsiaTheme="minorEastAsia" w:hAnsiTheme="minorEastAsia" w:hint="eastAsia"/>
          <w:sz w:val="21"/>
          <w:szCs w:val="21"/>
        </w:rPr>
        <w:t>在2016年3月21日至24日召开的第四届会议续会上注意到商标标准化工作队的讨论结果，尤其是有必要</w:t>
      </w:r>
      <w:r w:rsidR="00FA000E" w:rsidRPr="000D1D45">
        <w:rPr>
          <w:rFonts w:asciiTheme="minorEastAsia" w:eastAsiaTheme="minorEastAsia" w:hAnsiTheme="minorEastAsia" w:hint="eastAsia"/>
          <w:sz w:val="21"/>
          <w:szCs w:val="21"/>
        </w:rPr>
        <w:t>监视动作商标</w:t>
      </w:r>
      <w:r w:rsidRPr="000D1D45">
        <w:rPr>
          <w:rFonts w:asciiTheme="minorEastAsia" w:eastAsiaTheme="minorEastAsia" w:hAnsiTheme="minorEastAsia" w:hint="eastAsia"/>
          <w:sz w:val="21"/>
          <w:szCs w:val="21"/>
        </w:rPr>
        <w:t>和多媒体商标电子管理领域的发展。它要求工作队在CWS第五届会议上报告</w:t>
      </w:r>
      <w:r w:rsidR="001C0DC7" w:rsidRPr="000D1D45">
        <w:rPr>
          <w:rFonts w:asciiTheme="minorEastAsia" w:eastAsiaTheme="minorEastAsia" w:hAnsiTheme="minorEastAsia" w:hint="eastAsia"/>
          <w:sz w:val="21"/>
          <w:szCs w:val="21"/>
        </w:rPr>
        <w:t>在</w:t>
      </w:r>
      <w:r w:rsidRPr="000D1D45">
        <w:rPr>
          <w:rFonts w:asciiTheme="minorEastAsia" w:eastAsiaTheme="minorEastAsia" w:hAnsiTheme="minorEastAsia" w:hint="eastAsia"/>
          <w:sz w:val="21"/>
          <w:szCs w:val="21"/>
        </w:rPr>
        <w:t>第49号任务下</w:t>
      </w:r>
      <w:r w:rsidR="00720BB3">
        <w:rPr>
          <w:rFonts w:asciiTheme="minorEastAsia" w:eastAsiaTheme="minorEastAsia" w:hAnsiTheme="minorEastAsia" w:hint="eastAsia"/>
          <w:sz w:val="21"/>
          <w:szCs w:val="21"/>
        </w:rPr>
        <w:t>制定</w:t>
      </w:r>
      <w:r w:rsidRPr="000D1D45">
        <w:rPr>
          <w:rFonts w:asciiTheme="minorEastAsia" w:eastAsiaTheme="minorEastAsia" w:hAnsiTheme="minorEastAsia" w:hint="eastAsia"/>
          <w:sz w:val="21"/>
          <w:szCs w:val="21"/>
        </w:rPr>
        <w:t>建议的进展情况</w:t>
      </w:r>
      <w:r w:rsidR="0013563E" w:rsidRPr="000D1D45">
        <w:rPr>
          <w:rFonts w:asciiTheme="minorEastAsia" w:eastAsiaTheme="minorEastAsia" w:hAnsiTheme="minorEastAsia" w:hint="eastAsia"/>
          <w:sz w:val="21"/>
          <w:szCs w:val="21"/>
        </w:rPr>
        <w:t>（</w:t>
      </w:r>
      <w:r w:rsidRPr="000D1D45">
        <w:rPr>
          <w:rFonts w:asciiTheme="minorEastAsia" w:eastAsiaTheme="minorEastAsia" w:hAnsiTheme="minorEastAsia" w:hint="eastAsia"/>
          <w:sz w:val="21"/>
          <w:szCs w:val="21"/>
        </w:rPr>
        <w:t>见文件</w:t>
      </w:r>
      <w:r w:rsidRPr="000D1D45">
        <w:rPr>
          <w:rFonts w:asciiTheme="minorEastAsia" w:eastAsiaTheme="minorEastAsia" w:hAnsiTheme="minorEastAsia"/>
          <w:sz w:val="21"/>
          <w:szCs w:val="21"/>
        </w:rPr>
        <w:t>CWS/4BIS/16</w:t>
      </w:r>
      <w:r w:rsidRPr="000D1D45">
        <w:rPr>
          <w:rFonts w:asciiTheme="minorEastAsia" w:eastAsiaTheme="minorEastAsia" w:hAnsiTheme="minorEastAsia" w:hint="eastAsia"/>
          <w:sz w:val="21"/>
          <w:szCs w:val="21"/>
        </w:rPr>
        <w:t>第88和89段</w:t>
      </w:r>
      <w:r w:rsidR="0013563E" w:rsidRPr="000D1D45">
        <w:rPr>
          <w:rFonts w:asciiTheme="minorEastAsia" w:eastAsiaTheme="minorEastAsia" w:hAnsiTheme="minorEastAsia" w:hint="eastAsia"/>
          <w:sz w:val="21"/>
          <w:szCs w:val="21"/>
        </w:rPr>
        <w:t>）</w:t>
      </w:r>
      <w:r w:rsidRPr="000D1D45">
        <w:rPr>
          <w:rFonts w:asciiTheme="minorEastAsia" w:eastAsiaTheme="minorEastAsia" w:hAnsiTheme="minorEastAsia" w:hint="eastAsia"/>
          <w:sz w:val="21"/>
          <w:szCs w:val="21"/>
        </w:rPr>
        <w:t>。</w:t>
      </w:r>
    </w:p>
    <w:p w:rsidR="00633C4B" w:rsidRPr="000D1D45" w:rsidRDefault="00FA000E"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0D1D45">
        <w:rPr>
          <w:rFonts w:asciiTheme="minorEastAsia" w:eastAsiaTheme="minorEastAsia" w:hAnsiTheme="minorEastAsia"/>
          <w:sz w:val="21"/>
          <w:szCs w:val="21"/>
        </w:rPr>
        <w:t>2016</w:t>
      </w:r>
      <w:r w:rsidRPr="000D1D45">
        <w:rPr>
          <w:rFonts w:asciiTheme="minorEastAsia" w:eastAsiaTheme="minorEastAsia" w:hAnsiTheme="minorEastAsia" w:hint="eastAsia"/>
          <w:sz w:val="21"/>
          <w:szCs w:val="21"/>
        </w:rPr>
        <w:t>年7月，商</w:t>
      </w:r>
      <w:r w:rsidR="001C0DC7" w:rsidRPr="000D1D45">
        <w:rPr>
          <w:rFonts w:asciiTheme="minorEastAsia" w:eastAsiaTheme="minorEastAsia" w:hAnsiTheme="minorEastAsia" w:hint="eastAsia"/>
          <w:sz w:val="21"/>
          <w:szCs w:val="21"/>
        </w:rPr>
        <w:t>标标准化工作队在其成员中间开展了一项关于动作商标和多媒体商标做法</w:t>
      </w:r>
      <w:r w:rsidRPr="000D1D45">
        <w:rPr>
          <w:rFonts w:asciiTheme="minorEastAsia" w:eastAsiaTheme="minorEastAsia" w:hAnsiTheme="minorEastAsia" w:hint="eastAsia"/>
          <w:sz w:val="21"/>
          <w:szCs w:val="21"/>
        </w:rPr>
        <w:t>的调查。</w:t>
      </w:r>
      <w:r w:rsidR="00795457" w:rsidRPr="000D1D45">
        <w:rPr>
          <w:rFonts w:asciiTheme="minorEastAsia" w:eastAsiaTheme="minorEastAsia" w:hAnsiTheme="minorEastAsia" w:hint="eastAsia"/>
          <w:sz w:val="21"/>
          <w:szCs w:val="21"/>
        </w:rPr>
        <w:t>调查结果的总结列于本文件附件。</w:t>
      </w:r>
    </w:p>
    <w:p w:rsidR="00633C4B" w:rsidRPr="000D1D45" w:rsidRDefault="00B26489"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0D1D45">
        <w:rPr>
          <w:rFonts w:asciiTheme="minorEastAsia" w:eastAsiaTheme="minorEastAsia" w:hAnsiTheme="minorEastAsia" w:hint="eastAsia"/>
          <w:sz w:val="21"/>
          <w:szCs w:val="21"/>
        </w:rPr>
        <w:t>工作队还重新研究了“多媒体商标”的定义，尤其是“多媒体商标”的范围是否应仅限于动作和声音的组合，还是可以包括其他要素。</w:t>
      </w:r>
    </w:p>
    <w:p w:rsidR="00633C4B" w:rsidRPr="000D1D45" w:rsidRDefault="009C7861"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0D1D45">
        <w:rPr>
          <w:rFonts w:asciiTheme="minorEastAsia" w:eastAsiaTheme="minorEastAsia" w:hAnsiTheme="minorEastAsia" w:hint="eastAsia"/>
          <w:sz w:val="21"/>
          <w:szCs w:val="21"/>
        </w:rPr>
        <w:t>若干工作队成员提议</w:t>
      </w:r>
      <w:r w:rsidR="00092EB2" w:rsidRPr="000D1D45">
        <w:rPr>
          <w:rFonts w:asciiTheme="minorEastAsia" w:eastAsiaTheme="minorEastAsia" w:hAnsiTheme="minorEastAsia" w:hint="eastAsia"/>
          <w:sz w:val="21"/>
          <w:szCs w:val="21"/>
        </w:rPr>
        <w:t>推迟</w:t>
      </w:r>
      <w:r w:rsidR="00720BB3">
        <w:rPr>
          <w:rFonts w:asciiTheme="minorEastAsia" w:eastAsiaTheme="minorEastAsia" w:hAnsiTheme="minorEastAsia" w:hint="eastAsia"/>
          <w:sz w:val="21"/>
          <w:szCs w:val="21"/>
        </w:rPr>
        <w:t>制定</w:t>
      </w:r>
      <w:r w:rsidR="00092EB2" w:rsidRPr="000D1D45">
        <w:rPr>
          <w:rFonts w:asciiTheme="minorEastAsia" w:eastAsiaTheme="minorEastAsia" w:hAnsiTheme="minorEastAsia" w:hint="eastAsia"/>
          <w:sz w:val="21"/>
          <w:szCs w:val="21"/>
        </w:rPr>
        <w:t>关于动作商标和多媒体商标电子管理的建议，直到相关工业产权局实施2008年10月22日的指令</w:t>
      </w:r>
      <w:r w:rsidR="00092EB2" w:rsidRPr="000D1D45">
        <w:rPr>
          <w:rFonts w:asciiTheme="minorEastAsia" w:eastAsiaTheme="minorEastAsia" w:hAnsiTheme="minorEastAsia"/>
          <w:sz w:val="21"/>
          <w:szCs w:val="21"/>
        </w:rPr>
        <w:t>2008/95/EC</w:t>
      </w:r>
      <w:r w:rsidR="00092EB2" w:rsidRPr="000D1D45">
        <w:rPr>
          <w:rFonts w:asciiTheme="minorEastAsia" w:eastAsiaTheme="minorEastAsia" w:hAnsiTheme="minorEastAsia" w:hint="eastAsia"/>
          <w:sz w:val="21"/>
          <w:szCs w:val="21"/>
        </w:rPr>
        <w:t>。计划在2019年实施该指令</w:t>
      </w:r>
      <w:r w:rsidR="0013563E" w:rsidRPr="000D1D45">
        <w:rPr>
          <w:rFonts w:asciiTheme="minorEastAsia" w:eastAsiaTheme="minorEastAsia" w:hAnsiTheme="minorEastAsia" w:hint="eastAsia"/>
          <w:sz w:val="21"/>
          <w:szCs w:val="21"/>
        </w:rPr>
        <w:t>（</w:t>
      </w:r>
      <w:r w:rsidR="00092EB2" w:rsidRPr="000D1D45">
        <w:rPr>
          <w:rFonts w:asciiTheme="minorEastAsia" w:eastAsiaTheme="minorEastAsia" w:hAnsiTheme="minorEastAsia" w:hint="eastAsia"/>
          <w:sz w:val="21"/>
          <w:szCs w:val="21"/>
        </w:rPr>
        <w:t>见本文件</w:t>
      </w:r>
      <w:r w:rsidR="001C0DC7" w:rsidRPr="000D1D45">
        <w:rPr>
          <w:rFonts w:asciiTheme="minorEastAsia" w:eastAsiaTheme="minorEastAsia" w:hAnsiTheme="minorEastAsia" w:hint="eastAsia"/>
          <w:sz w:val="21"/>
          <w:szCs w:val="21"/>
        </w:rPr>
        <w:t>附件</w:t>
      </w:r>
      <w:r w:rsidR="00092EB2" w:rsidRPr="000D1D45">
        <w:rPr>
          <w:rFonts w:asciiTheme="minorEastAsia" w:eastAsiaTheme="minorEastAsia" w:hAnsiTheme="minorEastAsia" w:hint="eastAsia"/>
          <w:sz w:val="21"/>
          <w:szCs w:val="21"/>
        </w:rPr>
        <w:t>第2</w:t>
      </w:r>
      <w:r w:rsidR="00720BB3">
        <w:rPr>
          <w:rFonts w:asciiTheme="minorEastAsia" w:eastAsiaTheme="minorEastAsia" w:hAnsiTheme="minorEastAsia" w:hint="eastAsia"/>
          <w:sz w:val="21"/>
          <w:szCs w:val="21"/>
        </w:rPr>
        <w:t>段</w:t>
      </w:r>
      <w:r w:rsidR="00092EB2" w:rsidRPr="000D1D45">
        <w:rPr>
          <w:rFonts w:asciiTheme="minorEastAsia" w:eastAsiaTheme="minorEastAsia" w:hAnsiTheme="minorEastAsia" w:hint="eastAsia"/>
          <w:sz w:val="21"/>
          <w:szCs w:val="21"/>
        </w:rPr>
        <w:t>和10(</w:t>
      </w:r>
      <w:r w:rsidR="00092EB2" w:rsidRPr="000D1D45">
        <w:rPr>
          <w:rFonts w:asciiTheme="minorEastAsia" w:eastAsiaTheme="minorEastAsia" w:hAnsiTheme="minorEastAsia"/>
          <w:sz w:val="21"/>
          <w:szCs w:val="21"/>
        </w:rPr>
        <w:t>a</w:t>
      </w:r>
      <w:r w:rsidR="00092EB2" w:rsidRPr="000D1D45">
        <w:rPr>
          <w:rFonts w:asciiTheme="minorEastAsia" w:eastAsiaTheme="minorEastAsia" w:hAnsiTheme="minorEastAsia" w:hint="eastAsia"/>
          <w:sz w:val="21"/>
          <w:szCs w:val="21"/>
        </w:rPr>
        <w:t>)段</w:t>
      </w:r>
      <w:r w:rsidR="0013563E" w:rsidRPr="000D1D45">
        <w:rPr>
          <w:rFonts w:asciiTheme="minorEastAsia" w:eastAsiaTheme="minorEastAsia" w:hAnsiTheme="minorEastAsia" w:hint="eastAsia"/>
          <w:sz w:val="21"/>
          <w:szCs w:val="21"/>
        </w:rPr>
        <w:t>）</w:t>
      </w:r>
      <w:r w:rsidR="00092EB2" w:rsidRPr="000D1D45">
        <w:rPr>
          <w:rFonts w:asciiTheme="minorEastAsia" w:eastAsiaTheme="minorEastAsia" w:hAnsiTheme="minorEastAsia" w:hint="eastAsia"/>
          <w:sz w:val="21"/>
          <w:szCs w:val="21"/>
        </w:rPr>
        <w:t>。考虑到缺少动作商标和多媒体商标方面的经验</w:t>
      </w:r>
      <w:r w:rsidR="0013563E" w:rsidRPr="000D1D45">
        <w:rPr>
          <w:rFonts w:asciiTheme="minorEastAsia" w:eastAsiaTheme="minorEastAsia" w:hAnsiTheme="minorEastAsia" w:hint="eastAsia"/>
          <w:sz w:val="21"/>
          <w:szCs w:val="21"/>
        </w:rPr>
        <w:t>（</w:t>
      </w:r>
      <w:r w:rsidR="00092EB2" w:rsidRPr="000D1D45">
        <w:rPr>
          <w:rFonts w:asciiTheme="minorEastAsia" w:eastAsiaTheme="minorEastAsia" w:hAnsiTheme="minorEastAsia" w:hint="eastAsia"/>
          <w:sz w:val="21"/>
          <w:szCs w:val="21"/>
        </w:rPr>
        <w:t>见本文件附件第3段</w:t>
      </w:r>
      <w:r w:rsidR="0013563E" w:rsidRPr="000D1D45">
        <w:rPr>
          <w:rFonts w:asciiTheme="minorEastAsia" w:eastAsiaTheme="minorEastAsia" w:hAnsiTheme="minorEastAsia" w:hint="eastAsia"/>
          <w:sz w:val="21"/>
          <w:szCs w:val="21"/>
        </w:rPr>
        <w:t>）</w:t>
      </w:r>
      <w:r w:rsidR="00092EB2" w:rsidRPr="000D1D45">
        <w:rPr>
          <w:rFonts w:asciiTheme="minorEastAsia" w:eastAsiaTheme="minorEastAsia" w:hAnsiTheme="minorEastAsia" w:hint="eastAsia"/>
          <w:sz w:val="21"/>
          <w:szCs w:val="21"/>
        </w:rPr>
        <w:t>，其他工作队成员不反对该提案。</w:t>
      </w:r>
    </w:p>
    <w:p w:rsidR="00633C4B" w:rsidRPr="004C2399" w:rsidRDefault="006B28D6" w:rsidP="00F073A5">
      <w:pPr>
        <w:pStyle w:val="ONUME"/>
        <w:spacing w:afterLines="50" w:after="120" w:line="340" w:lineRule="atLeast"/>
        <w:ind w:left="5529" w:firstLine="7"/>
        <w:jc w:val="both"/>
        <w:rPr>
          <w:rFonts w:ascii="KaiTi" w:eastAsia="KaiTi" w:hAnsi="KaiTi"/>
          <w:sz w:val="21"/>
          <w:szCs w:val="21"/>
        </w:rPr>
      </w:pPr>
      <w:r w:rsidRPr="004C2399">
        <w:rPr>
          <w:rFonts w:ascii="KaiTi" w:eastAsia="KaiTi" w:hAnsi="KaiTi" w:hint="eastAsia"/>
          <w:sz w:val="21"/>
          <w:szCs w:val="21"/>
        </w:rPr>
        <w:t>5</w:t>
      </w:r>
      <w:r w:rsidRPr="004C2399">
        <w:rPr>
          <w:rFonts w:ascii="KaiTi" w:eastAsia="KaiTi" w:hAnsi="KaiTi" w:hint="eastAsia"/>
          <w:i/>
          <w:sz w:val="21"/>
          <w:szCs w:val="21"/>
        </w:rPr>
        <w:t>.</w:t>
      </w:r>
      <w:r w:rsidRPr="004C2399">
        <w:rPr>
          <w:rFonts w:ascii="KaiTi" w:eastAsia="KaiTi" w:hAnsi="KaiTi" w:hint="eastAsia"/>
          <w:i/>
          <w:sz w:val="21"/>
          <w:szCs w:val="21"/>
        </w:rPr>
        <w:tab/>
      </w:r>
      <w:r w:rsidR="00092EB2" w:rsidRPr="004C2399">
        <w:rPr>
          <w:rFonts w:ascii="KaiTi" w:eastAsia="KaiTi" w:hAnsi="KaiTi" w:hint="eastAsia"/>
          <w:sz w:val="21"/>
          <w:szCs w:val="21"/>
        </w:rPr>
        <w:t>请CWS</w:t>
      </w:r>
      <w:r w:rsidR="00FA618F" w:rsidRPr="004C2399">
        <w:rPr>
          <w:rFonts w:ascii="KaiTi" w:eastAsia="KaiTi" w:hAnsi="KaiTi" w:hint="eastAsia"/>
          <w:sz w:val="21"/>
          <w:szCs w:val="21"/>
        </w:rPr>
        <w:t>：</w:t>
      </w:r>
    </w:p>
    <w:p w:rsidR="00633C4B" w:rsidRPr="004C2399" w:rsidRDefault="00EC090B" w:rsidP="00441587">
      <w:pPr>
        <w:pStyle w:val="ONUME"/>
        <w:spacing w:afterLines="50" w:after="120" w:line="340" w:lineRule="atLeast"/>
        <w:ind w:left="5528" w:firstLine="567"/>
        <w:jc w:val="both"/>
        <w:rPr>
          <w:rFonts w:ascii="KaiTi" w:eastAsia="KaiTi" w:hAnsi="KaiTi"/>
          <w:sz w:val="21"/>
          <w:szCs w:val="21"/>
        </w:rPr>
      </w:pPr>
      <w:r w:rsidRPr="004C2399">
        <w:rPr>
          <w:rFonts w:ascii="KaiTi" w:eastAsia="KaiTi" w:hAnsi="KaiTi"/>
          <w:sz w:val="21"/>
          <w:szCs w:val="21"/>
        </w:rPr>
        <w:t>(a)</w:t>
      </w:r>
      <w:r w:rsidRPr="004C2399">
        <w:rPr>
          <w:rFonts w:ascii="KaiTi" w:eastAsia="KaiTi" w:hAnsi="KaiTi"/>
          <w:sz w:val="21"/>
          <w:szCs w:val="21"/>
        </w:rPr>
        <w:tab/>
      </w:r>
      <w:r w:rsidR="00092EB2" w:rsidRPr="004C2399">
        <w:rPr>
          <w:rFonts w:ascii="KaiTi" w:eastAsia="KaiTi" w:hAnsi="KaiTi" w:hint="eastAsia"/>
          <w:sz w:val="21"/>
          <w:szCs w:val="21"/>
        </w:rPr>
        <w:t>注意本文件及其附件的内容，尤其是列于附件第10段</w:t>
      </w:r>
      <w:r w:rsidR="00720BB3">
        <w:rPr>
          <w:rFonts w:ascii="KaiTi" w:eastAsia="KaiTi" w:hAnsi="KaiTi" w:hint="eastAsia"/>
          <w:sz w:val="21"/>
          <w:szCs w:val="21"/>
        </w:rPr>
        <w:t>中</w:t>
      </w:r>
      <w:r w:rsidR="00092EB2" w:rsidRPr="004C2399">
        <w:rPr>
          <w:rFonts w:ascii="KaiTi" w:eastAsia="KaiTi" w:hAnsi="KaiTi" w:hint="eastAsia"/>
          <w:sz w:val="21"/>
          <w:szCs w:val="21"/>
        </w:rPr>
        <w:t>的评论意见和提案；</w:t>
      </w:r>
      <w:r w:rsidR="00720BB3">
        <w:rPr>
          <w:rFonts w:ascii="KaiTi" w:eastAsia="KaiTi" w:hAnsi="KaiTi" w:hint="eastAsia"/>
          <w:sz w:val="21"/>
          <w:szCs w:val="21"/>
        </w:rPr>
        <w:t>以及</w:t>
      </w:r>
      <w:bookmarkStart w:id="0" w:name="_GoBack"/>
      <w:bookmarkEnd w:id="0"/>
    </w:p>
    <w:p w:rsidR="00633C4B" w:rsidRPr="004C2399" w:rsidRDefault="00EC090B" w:rsidP="00F141C1">
      <w:pPr>
        <w:pStyle w:val="ONUME"/>
        <w:spacing w:afterLines="50" w:after="120" w:line="340" w:lineRule="atLeast"/>
        <w:ind w:left="5528" w:firstLine="567"/>
        <w:jc w:val="both"/>
        <w:rPr>
          <w:rFonts w:ascii="KaiTi" w:eastAsia="KaiTi" w:hAnsi="KaiTi"/>
          <w:sz w:val="21"/>
          <w:szCs w:val="21"/>
        </w:rPr>
      </w:pPr>
      <w:r w:rsidRPr="004C2399">
        <w:rPr>
          <w:rFonts w:ascii="KaiTi" w:eastAsia="KaiTi" w:hAnsi="KaiTi"/>
          <w:sz w:val="21"/>
          <w:szCs w:val="21"/>
        </w:rPr>
        <w:lastRenderedPageBreak/>
        <w:t>(b)</w:t>
      </w:r>
      <w:r w:rsidRPr="004C2399">
        <w:rPr>
          <w:rFonts w:ascii="KaiTi" w:eastAsia="KaiTi" w:hAnsi="KaiTi"/>
          <w:sz w:val="21"/>
          <w:szCs w:val="21"/>
        </w:rPr>
        <w:tab/>
      </w:r>
      <w:r w:rsidR="00F822CF" w:rsidRPr="004C2399">
        <w:rPr>
          <w:rFonts w:ascii="KaiTi" w:eastAsia="KaiTi" w:hAnsi="KaiTi" w:hint="eastAsia"/>
          <w:sz w:val="21"/>
          <w:szCs w:val="21"/>
        </w:rPr>
        <w:t>审议并决定</w:t>
      </w:r>
      <w:r w:rsidR="00720BB3">
        <w:rPr>
          <w:rFonts w:ascii="KaiTi" w:eastAsia="KaiTi" w:hAnsi="KaiTi" w:hint="eastAsia"/>
          <w:sz w:val="21"/>
          <w:szCs w:val="21"/>
        </w:rPr>
        <w:t>将制定</w:t>
      </w:r>
      <w:r w:rsidR="00F822CF" w:rsidRPr="004C2399">
        <w:rPr>
          <w:rFonts w:ascii="KaiTi" w:eastAsia="KaiTi" w:hAnsi="KaiTi" w:hint="eastAsia"/>
          <w:sz w:val="21"/>
          <w:szCs w:val="21"/>
        </w:rPr>
        <w:t>关于动作商标和多媒体商标电子管理的建议</w:t>
      </w:r>
      <w:r w:rsidR="00720BB3">
        <w:rPr>
          <w:rFonts w:ascii="KaiTi" w:eastAsia="KaiTi" w:hAnsi="KaiTi" w:hint="eastAsia"/>
          <w:sz w:val="21"/>
          <w:szCs w:val="21"/>
        </w:rPr>
        <w:t>推迟</w:t>
      </w:r>
      <w:r w:rsidR="00F822CF" w:rsidRPr="004C2399">
        <w:rPr>
          <w:rFonts w:ascii="KaiTi" w:eastAsia="KaiTi" w:hAnsi="KaiTi" w:hint="eastAsia"/>
          <w:sz w:val="21"/>
          <w:szCs w:val="21"/>
        </w:rPr>
        <w:t>至2019年</w:t>
      </w:r>
      <w:r w:rsidR="0013563E" w:rsidRPr="004C2399">
        <w:rPr>
          <w:rFonts w:ascii="KaiTi" w:eastAsia="KaiTi" w:hAnsi="KaiTi" w:hint="eastAsia"/>
          <w:sz w:val="21"/>
          <w:szCs w:val="21"/>
        </w:rPr>
        <w:t>（</w:t>
      </w:r>
      <w:r w:rsidR="00F822CF" w:rsidRPr="004C2399">
        <w:rPr>
          <w:rFonts w:ascii="KaiTi" w:eastAsia="KaiTi" w:hAnsi="KaiTi" w:hint="eastAsia"/>
          <w:sz w:val="21"/>
          <w:szCs w:val="21"/>
        </w:rPr>
        <w:t>见上文第4段</w:t>
      </w:r>
      <w:r w:rsidR="0013563E" w:rsidRPr="004C2399">
        <w:rPr>
          <w:rFonts w:ascii="KaiTi" w:eastAsia="KaiTi" w:hAnsi="KaiTi" w:hint="eastAsia"/>
          <w:sz w:val="21"/>
          <w:szCs w:val="21"/>
        </w:rPr>
        <w:t>）</w:t>
      </w:r>
      <w:r w:rsidR="00F822CF" w:rsidRPr="004C2399">
        <w:rPr>
          <w:rFonts w:ascii="KaiTi" w:eastAsia="KaiTi" w:hAnsi="KaiTi" w:hint="eastAsia"/>
          <w:sz w:val="21"/>
          <w:szCs w:val="21"/>
        </w:rPr>
        <w:t>，以及</w:t>
      </w:r>
      <w:r w:rsidR="0019157F" w:rsidRPr="004C2399">
        <w:rPr>
          <w:rFonts w:ascii="KaiTi" w:eastAsia="KaiTi" w:hAnsi="KaiTi" w:hint="eastAsia"/>
          <w:sz w:val="21"/>
          <w:szCs w:val="21"/>
        </w:rPr>
        <w:t>在此之前是否应中止</w:t>
      </w:r>
      <w:r w:rsidR="00F822CF" w:rsidRPr="004C2399">
        <w:rPr>
          <w:rFonts w:ascii="KaiTi" w:eastAsia="KaiTi" w:hAnsi="KaiTi" w:hint="eastAsia"/>
          <w:sz w:val="21"/>
          <w:szCs w:val="21"/>
        </w:rPr>
        <w:t>第49号任务</w:t>
      </w:r>
      <w:r w:rsidR="0019157F" w:rsidRPr="004C2399">
        <w:rPr>
          <w:rFonts w:ascii="KaiTi" w:eastAsia="KaiTi" w:hAnsi="KaiTi" w:hint="eastAsia"/>
          <w:sz w:val="21"/>
          <w:szCs w:val="21"/>
        </w:rPr>
        <w:t>。</w:t>
      </w:r>
    </w:p>
    <w:p w:rsidR="00B6246A" w:rsidRDefault="00B6246A" w:rsidP="000D1D45">
      <w:pPr>
        <w:pStyle w:val="Endofdocument-Annex"/>
        <w:jc w:val="both"/>
        <w:rPr>
          <w:rFonts w:ascii="KaiTi" w:eastAsia="KaiTi" w:hAnsi="KaiTi"/>
          <w:sz w:val="21"/>
          <w:szCs w:val="21"/>
        </w:rPr>
      </w:pPr>
    </w:p>
    <w:p w:rsidR="00F141C1" w:rsidRPr="004C2399" w:rsidRDefault="00F141C1" w:rsidP="000D1D45">
      <w:pPr>
        <w:pStyle w:val="Endofdocument-Annex"/>
        <w:jc w:val="both"/>
        <w:rPr>
          <w:rFonts w:ascii="KaiTi" w:eastAsia="KaiTi" w:hAnsi="KaiTi"/>
          <w:sz w:val="21"/>
          <w:szCs w:val="21"/>
        </w:rPr>
      </w:pPr>
    </w:p>
    <w:p w:rsidR="006A6DBF" w:rsidRPr="004C2399" w:rsidRDefault="00633C4B" w:rsidP="000D1D45">
      <w:pPr>
        <w:pStyle w:val="Endofdocument-Annex"/>
        <w:jc w:val="both"/>
        <w:rPr>
          <w:rFonts w:ascii="KaiTi" w:eastAsia="KaiTi" w:hAnsi="KaiTi"/>
          <w:sz w:val="21"/>
          <w:szCs w:val="21"/>
        </w:rPr>
      </w:pPr>
      <w:r w:rsidRPr="004C2399">
        <w:rPr>
          <w:rFonts w:ascii="KaiTi" w:eastAsia="KaiTi" w:hAnsi="KaiTi"/>
          <w:sz w:val="21"/>
          <w:szCs w:val="21"/>
        </w:rPr>
        <w:t>[</w:t>
      </w:r>
      <w:r w:rsidR="0019157F" w:rsidRPr="004C2399">
        <w:rPr>
          <w:rFonts w:ascii="KaiTi" w:eastAsia="KaiTi" w:hAnsi="KaiTi" w:hint="eastAsia"/>
          <w:sz w:val="21"/>
          <w:szCs w:val="21"/>
        </w:rPr>
        <w:t>后接附件</w:t>
      </w:r>
      <w:r w:rsidRPr="004C2399">
        <w:rPr>
          <w:rFonts w:ascii="KaiTi" w:eastAsia="KaiTi" w:hAnsi="KaiTi"/>
          <w:sz w:val="21"/>
          <w:szCs w:val="21"/>
        </w:rPr>
        <w:t>]</w:t>
      </w:r>
    </w:p>
    <w:sectPr w:rsidR="006A6DBF" w:rsidRPr="004C2399" w:rsidSect="00D31FF1">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54" w:rsidRDefault="00320254">
      <w:r>
        <w:separator/>
      </w:r>
    </w:p>
  </w:endnote>
  <w:endnote w:type="continuationSeparator" w:id="0">
    <w:p w:rsidR="00320254" w:rsidRDefault="00320254" w:rsidP="003B38C1">
      <w:r>
        <w:separator/>
      </w:r>
    </w:p>
    <w:p w:rsidR="00320254" w:rsidRPr="003B38C1" w:rsidRDefault="00320254" w:rsidP="003B38C1">
      <w:pPr>
        <w:spacing w:after="60"/>
        <w:rPr>
          <w:sz w:val="17"/>
        </w:rPr>
      </w:pPr>
      <w:r>
        <w:rPr>
          <w:sz w:val="17"/>
        </w:rPr>
        <w:t>[Endnote continued from previous page]</w:t>
      </w:r>
    </w:p>
  </w:endnote>
  <w:endnote w:type="continuationNotice" w:id="1">
    <w:p w:rsidR="00320254" w:rsidRPr="003B38C1" w:rsidRDefault="003202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54" w:rsidRDefault="00320254">
      <w:r>
        <w:separator/>
      </w:r>
    </w:p>
  </w:footnote>
  <w:footnote w:type="continuationSeparator" w:id="0">
    <w:p w:rsidR="00320254" w:rsidRDefault="00320254" w:rsidP="008B60B2">
      <w:r>
        <w:separator/>
      </w:r>
    </w:p>
    <w:p w:rsidR="00320254" w:rsidRPr="00ED77FB" w:rsidRDefault="00320254" w:rsidP="008B60B2">
      <w:pPr>
        <w:spacing w:after="60"/>
        <w:rPr>
          <w:sz w:val="17"/>
          <w:szCs w:val="17"/>
        </w:rPr>
      </w:pPr>
      <w:r w:rsidRPr="00ED77FB">
        <w:rPr>
          <w:sz w:val="17"/>
          <w:szCs w:val="17"/>
        </w:rPr>
        <w:t>[Footnote continued from previous page]</w:t>
      </w:r>
    </w:p>
  </w:footnote>
  <w:footnote w:type="continuationNotice" w:id="1">
    <w:p w:rsidR="00320254" w:rsidRPr="00ED77FB" w:rsidRDefault="003202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12" w:rsidRPr="00F073A5" w:rsidRDefault="00B90912">
    <w:pPr>
      <w:pStyle w:val="Header"/>
      <w:jc w:val="right"/>
      <w:rPr>
        <w:rFonts w:asciiTheme="minorEastAsia" w:eastAsiaTheme="minorEastAsia" w:hAnsiTheme="minorEastAsia"/>
        <w:sz w:val="21"/>
        <w:szCs w:val="21"/>
      </w:rPr>
    </w:pPr>
    <w:r w:rsidRPr="00F073A5">
      <w:rPr>
        <w:rFonts w:asciiTheme="minorEastAsia" w:eastAsiaTheme="minorEastAsia" w:hAnsiTheme="minorEastAsia"/>
        <w:sz w:val="21"/>
        <w:szCs w:val="21"/>
      </w:rPr>
      <w:t>CWS/5/10</w:t>
    </w:r>
  </w:p>
  <w:p w:rsidR="00B90912" w:rsidRPr="00F073A5" w:rsidRDefault="001C0DC7">
    <w:pPr>
      <w:pStyle w:val="Header"/>
      <w:jc w:val="right"/>
      <w:rPr>
        <w:rFonts w:asciiTheme="minorEastAsia" w:eastAsiaTheme="minorEastAsia" w:hAnsiTheme="minorEastAsia"/>
        <w:sz w:val="21"/>
        <w:szCs w:val="21"/>
      </w:rPr>
    </w:pPr>
    <w:r w:rsidRPr="00F073A5">
      <w:rPr>
        <w:rFonts w:asciiTheme="minorEastAsia" w:eastAsiaTheme="minorEastAsia" w:hAnsiTheme="minorEastAsia" w:hint="eastAsia"/>
        <w:sz w:val="21"/>
        <w:szCs w:val="21"/>
      </w:rPr>
      <w:t>第</w:t>
    </w:r>
    <w:sdt>
      <w:sdtPr>
        <w:rPr>
          <w:rFonts w:asciiTheme="minorEastAsia" w:eastAsiaTheme="minorEastAsia" w:hAnsiTheme="minorEastAsia" w:hint="eastAsia"/>
          <w:sz w:val="21"/>
          <w:szCs w:val="21"/>
        </w:rPr>
        <w:id w:val="-1238783833"/>
        <w:docPartObj>
          <w:docPartGallery w:val="Page Numbers (Top of Page)"/>
          <w:docPartUnique/>
        </w:docPartObj>
      </w:sdtPr>
      <w:sdtEndPr>
        <w:rPr>
          <w:rFonts w:hint="default"/>
          <w:noProof/>
        </w:rPr>
      </w:sdtEndPr>
      <w:sdtContent>
        <w:r w:rsidR="00B90912" w:rsidRPr="00F073A5">
          <w:rPr>
            <w:rFonts w:asciiTheme="minorEastAsia" w:eastAsiaTheme="minorEastAsia" w:hAnsiTheme="minorEastAsia"/>
            <w:sz w:val="21"/>
            <w:szCs w:val="21"/>
          </w:rPr>
          <w:fldChar w:fldCharType="begin"/>
        </w:r>
        <w:r w:rsidR="00B90912" w:rsidRPr="00F073A5">
          <w:rPr>
            <w:rFonts w:asciiTheme="minorEastAsia" w:eastAsiaTheme="minorEastAsia" w:hAnsiTheme="minorEastAsia"/>
            <w:sz w:val="21"/>
            <w:szCs w:val="21"/>
          </w:rPr>
          <w:instrText xml:space="preserve"> PAGE   \* MERGEFORMAT </w:instrText>
        </w:r>
        <w:r w:rsidR="00B90912" w:rsidRPr="00F073A5">
          <w:rPr>
            <w:rFonts w:asciiTheme="minorEastAsia" w:eastAsiaTheme="minorEastAsia" w:hAnsiTheme="minorEastAsia"/>
            <w:sz w:val="21"/>
            <w:szCs w:val="21"/>
          </w:rPr>
          <w:fldChar w:fldCharType="separate"/>
        </w:r>
        <w:r w:rsidR="00F141C1">
          <w:rPr>
            <w:rFonts w:asciiTheme="minorEastAsia" w:eastAsiaTheme="minorEastAsia" w:hAnsiTheme="minorEastAsia"/>
            <w:noProof/>
            <w:sz w:val="21"/>
            <w:szCs w:val="21"/>
          </w:rPr>
          <w:t>2</w:t>
        </w:r>
        <w:r w:rsidR="00B90912" w:rsidRPr="00F073A5">
          <w:rPr>
            <w:rFonts w:asciiTheme="minorEastAsia" w:eastAsiaTheme="minorEastAsia" w:hAnsiTheme="minorEastAsia"/>
            <w:noProof/>
            <w:sz w:val="21"/>
            <w:szCs w:val="21"/>
          </w:rPr>
          <w:fldChar w:fldCharType="end"/>
        </w:r>
        <w:r w:rsidRPr="00F073A5">
          <w:rPr>
            <w:rFonts w:asciiTheme="minorEastAsia" w:eastAsiaTheme="minorEastAsia" w:hAnsiTheme="minorEastAsia" w:hint="eastAsia"/>
            <w:noProof/>
            <w:sz w:val="21"/>
            <w:szCs w:val="21"/>
          </w:rPr>
          <w:t>页</w:t>
        </w:r>
      </w:sdtContent>
    </w:sdt>
  </w:p>
  <w:p w:rsidR="00B90912" w:rsidRDefault="00B90912" w:rsidP="00B6246A">
    <w:pPr>
      <w:pStyle w:val="Header"/>
      <w:jc w:val="right"/>
    </w:pPr>
  </w:p>
  <w:p w:rsidR="00F141C1" w:rsidRDefault="00F141C1" w:rsidP="00B624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F5173B"/>
    <w:multiLevelType w:val="multilevel"/>
    <w:tmpl w:val="21925CCA"/>
    <w:lvl w:ilvl="0">
      <w:start w:val="1"/>
      <w:numFmt w:val="decimal"/>
      <w:lvlText w:val="%1."/>
      <w:lvlJc w:val="left"/>
      <w:pPr>
        <w:ind w:left="360" w:hanging="360"/>
      </w:pPr>
      <w:rPr>
        <w:rFonts w:asciiTheme="minorEastAsia" w:eastAsiaTheme="minorEastAsia" w:hAnsiTheme="minorEastAsia"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B23FE7"/>
    <w:multiLevelType w:val="hybridMultilevel"/>
    <w:tmpl w:val="4B102FD0"/>
    <w:lvl w:ilvl="0" w:tplc="C0424EC6">
      <w:start w:val="1"/>
      <w:numFmt w:val="decimal"/>
      <w:lvlText w:val="%1."/>
      <w:lvlJc w:val="left"/>
      <w:pPr>
        <w:ind w:left="360" w:hanging="360"/>
      </w:pPr>
      <w:rPr>
        <w:rFonts w:asciiTheme="minorEastAsia" w:eastAsiaTheme="minorEastAsia" w:hAnsiTheme="minorEastAsia"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0B1986"/>
    <w:multiLevelType w:val="hybridMultilevel"/>
    <w:tmpl w:val="DEB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E32E8"/>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10">
    <w:nsid w:val="595F551F"/>
    <w:multiLevelType w:val="hybridMultilevel"/>
    <w:tmpl w:val="9710B682"/>
    <w:lvl w:ilvl="0" w:tplc="EFEE3688">
      <w:start w:val="1"/>
      <w:numFmt w:val="lowerLetter"/>
      <w:lvlText w:val="(%1)"/>
      <w:lvlJc w:val="left"/>
      <w:pPr>
        <w:ind w:left="5222" w:hanging="360"/>
      </w:pPr>
      <w:rPr>
        <w:rFonts w:hint="default"/>
      </w:rPr>
    </w:lvl>
    <w:lvl w:ilvl="1" w:tplc="04090019">
      <w:start w:val="1"/>
      <w:numFmt w:val="lowerLetter"/>
      <w:lvlText w:val="%2."/>
      <w:lvlJc w:val="left"/>
      <w:pPr>
        <w:ind w:left="5942" w:hanging="360"/>
      </w:pPr>
    </w:lvl>
    <w:lvl w:ilvl="2" w:tplc="0409001B" w:tentative="1">
      <w:start w:val="1"/>
      <w:numFmt w:val="lowerRoman"/>
      <w:lvlText w:val="%3."/>
      <w:lvlJc w:val="right"/>
      <w:pPr>
        <w:ind w:left="6662" w:hanging="180"/>
      </w:pPr>
    </w:lvl>
    <w:lvl w:ilvl="3" w:tplc="0409000F" w:tentative="1">
      <w:start w:val="1"/>
      <w:numFmt w:val="decimal"/>
      <w:lvlText w:val="%4."/>
      <w:lvlJc w:val="left"/>
      <w:pPr>
        <w:ind w:left="7382" w:hanging="360"/>
      </w:pPr>
    </w:lvl>
    <w:lvl w:ilvl="4" w:tplc="04090019" w:tentative="1">
      <w:start w:val="1"/>
      <w:numFmt w:val="lowerLetter"/>
      <w:lvlText w:val="%5."/>
      <w:lvlJc w:val="left"/>
      <w:pPr>
        <w:ind w:left="8102" w:hanging="360"/>
      </w:pPr>
    </w:lvl>
    <w:lvl w:ilvl="5" w:tplc="0409001B" w:tentative="1">
      <w:start w:val="1"/>
      <w:numFmt w:val="lowerRoman"/>
      <w:lvlText w:val="%6."/>
      <w:lvlJc w:val="right"/>
      <w:pPr>
        <w:ind w:left="8822" w:hanging="180"/>
      </w:pPr>
    </w:lvl>
    <w:lvl w:ilvl="6" w:tplc="0409000F" w:tentative="1">
      <w:start w:val="1"/>
      <w:numFmt w:val="decimal"/>
      <w:lvlText w:val="%7."/>
      <w:lvlJc w:val="left"/>
      <w:pPr>
        <w:ind w:left="9542" w:hanging="360"/>
      </w:pPr>
    </w:lvl>
    <w:lvl w:ilvl="7" w:tplc="04090019" w:tentative="1">
      <w:start w:val="1"/>
      <w:numFmt w:val="lowerLetter"/>
      <w:lvlText w:val="%8."/>
      <w:lvlJc w:val="left"/>
      <w:pPr>
        <w:ind w:left="10262" w:hanging="360"/>
      </w:pPr>
    </w:lvl>
    <w:lvl w:ilvl="8" w:tplc="0409001B" w:tentative="1">
      <w:start w:val="1"/>
      <w:numFmt w:val="lowerRoman"/>
      <w:lvlText w:val="%9."/>
      <w:lvlJc w:val="right"/>
      <w:pPr>
        <w:ind w:left="10982" w:hanging="180"/>
      </w:pPr>
    </w:lvl>
  </w:abstractNum>
  <w:abstractNum w:abstractNumId="11">
    <w:nsid w:val="5EA82C42"/>
    <w:multiLevelType w:val="multilevel"/>
    <w:tmpl w:val="2688A716"/>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2"/>
  </w:num>
  <w:num w:numId="8">
    <w:abstractNumId w:val="10"/>
  </w:num>
  <w:num w:numId="9">
    <w:abstractNumId w:val="8"/>
  </w:num>
  <w:num w:numId="10">
    <w:abstractNumId w:val="11"/>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4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4B"/>
    <w:rsid w:val="00043CAA"/>
    <w:rsid w:val="00044D72"/>
    <w:rsid w:val="00075432"/>
    <w:rsid w:val="000927C7"/>
    <w:rsid w:val="00092EB2"/>
    <w:rsid w:val="000968ED"/>
    <w:rsid w:val="000D1D45"/>
    <w:rsid w:val="000D7883"/>
    <w:rsid w:val="000F5E56"/>
    <w:rsid w:val="00107671"/>
    <w:rsid w:val="0013563E"/>
    <w:rsid w:val="001362EE"/>
    <w:rsid w:val="001647D5"/>
    <w:rsid w:val="001832A6"/>
    <w:rsid w:val="0019157F"/>
    <w:rsid w:val="00194D5C"/>
    <w:rsid w:val="001C0DC7"/>
    <w:rsid w:val="0021217E"/>
    <w:rsid w:val="002634C4"/>
    <w:rsid w:val="00265989"/>
    <w:rsid w:val="00267823"/>
    <w:rsid w:val="002928D3"/>
    <w:rsid w:val="002B1B00"/>
    <w:rsid w:val="002F1FE6"/>
    <w:rsid w:val="002F4E68"/>
    <w:rsid w:val="00312F7F"/>
    <w:rsid w:val="00320254"/>
    <w:rsid w:val="00361450"/>
    <w:rsid w:val="003673CF"/>
    <w:rsid w:val="003845C1"/>
    <w:rsid w:val="003A48D3"/>
    <w:rsid w:val="003A6F89"/>
    <w:rsid w:val="003B38C1"/>
    <w:rsid w:val="00423E3E"/>
    <w:rsid w:val="00427AF4"/>
    <w:rsid w:val="00441587"/>
    <w:rsid w:val="004647DA"/>
    <w:rsid w:val="0047077D"/>
    <w:rsid w:val="00474062"/>
    <w:rsid w:val="00474CE0"/>
    <w:rsid w:val="00477D6B"/>
    <w:rsid w:val="004C2399"/>
    <w:rsid w:val="005019FF"/>
    <w:rsid w:val="0053057A"/>
    <w:rsid w:val="00544D82"/>
    <w:rsid w:val="00546CF8"/>
    <w:rsid w:val="00560A29"/>
    <w:rsid w:val="00577BCE"/>
    <w:rsid w:val="005B7CD4"/>
    <w:rsid w:val="005C6649"/>
    <w:rsid w:val="005D38CF"/>
    <w:rsid w:val="00605827"/>
    <w:rsid w:val="00633C4B"/>
    <w:rsid w:val="00646050"/>
    <w:rsid w:val="00647864"/>
    <w:rsid w:val="006713CA"/>
    <w:rsid w:val="00676C5C"/>
    <w:rsid w:val="006A6DBF"/>
    <w:rsid w:val="006B28D6"/>
    <w:rsid w:val="00720BB3"/>
    <w:rsid w:val="00795457"/>
    <w:rsid w:val="007D1613"/>
    <w:rsid w:val="007E4C0E"/>
    <w:rsid w:val="007E57CF"/>
    <w:rsid w:val="008A2C93"/>
    <w:rsid w:val="008B2CC1"/>
    <w:rsid w:val="008B60B2"/>
    <w:rsid w:val="008B66FE"/>
    <w:rsid w:val="0090731E"/>
    <w:rsid w:val="00916EE2"/>
    <w:rsid w:val="00966A22"/>
    <w:rsid w:val="0096722F"/>
    <w:rsid w:val="00980843"/>
    <w:rsid w:val="009C7861"/>
    <w:rsid w:val="009E2791"/>
    <w:rsid w:val="009E3F6F"/>
    <w:rsid w:val="009F499F"/>
    <w:rsid w:val="00A407D1"/>
    <w:rsid w:val="00A42DAF"/>
    <w:rsid w:val="00A45BD8"/>
    <w:rsid w:val="00A51B51"/>
    <w:rsid w:val="00A869B7"/>
    <w:rsid w:val="00A962A0"/>
    <w:rsid w:val="00AA1E3C"/>
    <w:rsid w:val="00AB5F7D"/>
    <w:rsid w:val="00AC205C"/>
    <w:rsid w:val="00AF0A6B"/>
    <w:rsid w:val="00B05A69"/>
    <w:rsid w:val="00B13D9D"/>
    <w:rsid w:val="00B26489"/>
    <w:rsid w:val="00B452F1"/>
    <w:rsid w:val="00B53D75"/>
    <w:rsid w:val="00B6246A"/>
    <w:rsid w:val="00B673CC"/>
    <w:rsid w:val="00B82B25"/>
    <w:rsid w:val="00B84E62"/>
    <w:rsid w:val="00B90912"/>
    <w:rsid w:val="00B9734B"/>
    <w:rsid w:val="00BA30E2"/>
    <w:rsid w:val="00BA74B0"/>
    <w:rsid w:val="00C11BFE"/>
    <w:rsid w:val="00C31D84"/>
    <w:rsid w:val="00C5068F"/>
    <w:rsid w:val="00C86D74"/>
    <w:rsid w:val="00CD04F1"/>
    <w:rsid w:val="00D168F7"/>
    <w:rsid w:val="00D31FF1"/>
    <w:rsid w:val="00D45252"/>
    <w:rsid w:val="00D71B4D"/>
    <w:rsid w:val="00D93D55"/>
    <w:rsid w:val="00DA4C32"/>
    <w:rsid w:val="00DC205D"/>
    <w:rsid w:val="00E15015"/>
    <w:rsid w:val="00E335FE"/>
    <w:rsid w:val="00EA49B1"/>
    <w:rsid w:val="00EC090B"/>
    <w:rsid w:val="00EC4E49"/>
    <w:rsid w:val="00ED29C6"/>
    <w:rsid w:val="00ED77FB"/>
    <w:rsid w:val="00EE45FA"/>
    <w:rsid w:val="00F073A5"/>
    <w:rsid w:val="00F141C1"/>
    <w:rsid w:val="00F66152"/>
    <w:rsid w:val="00F822CF"/>
    <w:rsid w:val="00F97571"/>
    <w:rsid w:val="00FA000E"/>
    <w:rsid w:val="00FA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C588-27F2-4F61-A11B-AFAB01B4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CWS/5/10</vt:lpstr>
    </vt:vector>
  </TitlesOfParts>
  <Company>WIPO</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CWS/5/10 (in Chinese)</dc:title>
  <dc:subject>Report on the Preparation of a new WIPO Standard for the electronic management of motion and multimedia marks</dc:subject>
  <dc:creator>WIPO</dc:creator>
  <cp:keywords>CWS</cp:keywords>
  <cp:lastModifiedBy>ZAGO Bétina</cp:lastModifiedBy>
  <cp:revision>4</cp:revision>
  <cp:lastPrinted>2017-04-28T17:00:00Z</cp:lastPrinted>
  <dcterms:created xsi:type="dcterms:W3CDTF">2017-05-01T08:22:00Z</dcterms:created>
  <dcterms:modified xsi:type="dcterms:W3CDTF">2017-05-01T08:29:00Z</dcterms:modified>
</cp:coreProperties>
</file>