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B248F" w:rsidRPr="00CB7F0C" w:rsidTr="00C02E72">
        <w:trPr>
          <w:trHeight w:val="1977"/>
        </w:trPr>
        <w:tc>
          <w:tcPr>
            <w:tcW w:w="4594" w:type="dxa"/>
            <w:tcBorders>
              <w:bottom w:val="single" w:sz="4" w:space="0" w:color="auto"/>
            </w:tcBorders>
            <w:tcMar>
              <w:bottom w:w="170" w:type="dxa"/>
            </w:tcMar>
          </w:tcPr>
          <w:p w:rsidR="007B248F" w:rsidRPr="00CB7F0C" w:rsidRDefault="007B248F" w:rsidP="00C02E72">
            <w:pPr>
              <w:jc w:val="both"/>
            </w:pPr>
            <w:r w:rsidRPr="00CB7F0C">
              <w:rPr>
                <w:noProof/>
                <w:lang w:eastAsia="en-US"/>
              </w:rPr>
              <w:drawing>
                <wp:anchor distT="0" distB="0" distL="114300" distR="114300" simplePos="0" relativeHeight="251659264" behindDoc="1" locked="0" layoutInCell="0" allowOverlap="1" wp14:anchorId="05911C6C" wp14:editId="2AFC121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B248F" w:rsidRPr="00CB7F0C" w:rsidRDefault="007B248F" w:rsidP="00C02E72"/>
        </w:tc>
        <w:tc>
          <w:tcPr>
            <w:tcW w:w="425" w:type="dxa"/>
            <w:tcBorders>
              <w:bottom w:val="single" w:sz="4" w:space="0" w:color="auto"/>
            </w:tcBorders>
            <w:tcMar>
              <w:left w:w="0" w:type="dxa"/>
              <w:right w:w="0" w:type="dxa"/>
            </w:tcMar>
          </w:tcPr>
          <w:p w:rsidR="007B248F" w:rsidRPr="00CB7F0C" w:rsidRDefault="007B248F" w:rsidP="00C02E72">
            <w:pPr>
              <w:jc w:val="right"/>
            </w:pPr>
            <w:r w:rsidRPr="00CB7F0C">
              <w:rPr>
                <w:b/>
                <w:sz w:val="40"/>
                <w:szCs w:val="40"/>
              </w:rPr>
              <w:t>C</w:t>
            </w:r>
          </w:p>
        </w:tc>
      </w:tr>
      <w:tr w:rsidR="007B248F" w:rsidRPr="00CB7F0C" w:rsidTr="00C02E72">
        <w:trPr>
          <w:trHeight w:hRule="exact" w:val="340"/>
        </w:trPr>
        <w:tc>
          <w:tcPr>
            <w:tcW w:w="9356" w:type="dxa"/>
            <w:gridSpan w:val="3"/>
            <w:tcBorders>
              <w:top w:val="single" w:sz="4" w:space="0" w:color="auto"/>
            </w:tcBorders>
            <w:tcMar>
              <w:top w:w="170" w:type="dxa"/>
              <w:left w:w="0" w:type="dxa"/>
              <w:right w:w="0" w:type="dxa"/>
            </w:tcMar>
            <w:vAlign w:val="bottom"/>
          </w:tcPr>
          <w:p w:rsidR="007B248F" w:rsidRPr="00CB7F0C" w:rsidRDefault="0071489B" w:rsidP="007B248F">
            <w:pPr>
              <w:jc w:val="right"/>
              <w:rPr>
                <w:rFonts w:ascii="Arial Black" w:hAnsi="Arial Black"/>
                <w:caps/>
                <w:sz w:val="15"/>
              </w:rPr>
            </w:pPr>
            <w:r w:rsidRPr="004C079B">
              <w:rPr>
                <w:rFonts w:ascii="Arial Black" w:hAnsi="Arial Black"/>
                <w:caps/>
                <w:sz w:val="15"/>
              </w:rPr>
              <w:t>CWS/</w:t>
            </w:r>
            <w:r>
              <w:rPr>
                <w:rFonts w:ascii="Arial Black" w:hAnsi="Arial Black"/>
                <w:caps/>
                <w:sz w:val="15"/>
              </w:rPr>
              <w:t>5</w:t>
            </w:r>
            <w:r w:rsidRPr="004C079B">
              <w:rPr>
                <w:rFonts w:ascii="Arial Black" w:hAnsi="Arial Black"/>
                <w:caps/>
                <w:sz w:val="15"/>
              </w:rPr>
              <w:t>/</w:t>
            </w:r>
            <w:r>
              <w:rPr>
                <w:rFonts w:ascii="Arial Black" w:hAnsi="Arial Black"/>
                <w:caps/>
                <w:sz w:val="15"/>
              </w:rPr>
              <w:t>7 Rev.1</w:t>
            </w:r>
          </w:p>
        </w:tc>
      </w:tr>
      <w:tr w:rsidR="007B248F" w:rsidRPr="00CB7F0C" w:rsidTr="00C02E72">
        <w:trPr>
          <w:trHeight w:hRule="exact" w:val="170"/>
        </w:trPr>
        <w:tc>
          <w:tcPr>
            <w:tcW w:w="9356" w:type="dxa"/>
            <w:gridSpan w:val="3"/>
            <w:noWrap/>
            <w:tcMar>
              <w:left w:w="0" w:type="dxa"/>
              <w:right w:w="0" w:type="dxa"/>
            </w:tcMar>
            <w:vAlign w:val="bottom"/>
          </w:tcPr>
          <w:p w:rsidR="007B248F" w:rsidRPr="00CB7F0C" w:rsidRDefault="007B248F" w:rsidP="00C02E72">
            <w:pPr>
              <w:jc w:val="right"/>
              <w:rPr>
                <w:rFonts w:ascii="Arial Black" w:hAnsi="Arial Black"/>
                <w:b/>
                <w:caps/>
                <w:sz w:val="15"/>
                <w:szCs w:val="15"/>
              </w:rPr>
            </w:pPr>
            <w:r w:rsidRPr="00CB7F0C">
              <w:rPr>
                <w:rFonts w:eastAsia="SimHei" w:hint="eastAsia"/>
                <w:b/>
                <w:sz w:val="15"/>
                <w:szCs w:val="15"/>
              </w:rPr>
              <w:t>原</w:t>
            </w:r>
            <w:r w:rsidRPr="00CB7F0C">
              <w:rPr>
                <w:rFonts w:eastAsia="SimHei"/>
                <w:b/>
                <w:sz w:val="15"/>
                <w:szCs w:val="15"/>
                <w:lang w:val="pt-BR"/>
              </w:rPr>
              <w:t xml:space="preserve"> </w:t>
            </w:r>
            <w:r w:rsidRPr="00CB7F0C">
              <w:rPr>
                <w:rFonts w:eastAsia="SimHei" w:hint="eastAsia"/>
                <w:b/>
                <w:sz w:val="15"/>
                <w:szCs w:val="15"/>
              </w:rPr>
              <w:t>文</w:t>
            </w:r>
            <w:r w:rsidRPr="00CB7F0C">
              <w:rPr>
                <w:rFonts w:eastAsia="SimHei" w:hint="eastAsia"/>
                <w:b/>
                <w:sz w:val="15"/>
                <w:szCs w:val="15"/>
                <w:lang w:val="pt-BR"/>
              </w:rPr>
              <w:t>：英</w:t>
            </w:r>
            <w:r w:rsidRPr="00CB7F0C">
              <w:rPr>
                <w:rFonts w:eastAsia="SimHei" w:hint="eastAsia"/>
                <w:b/>
                <w:sz w:val="15"/>
                <w:szCs w:val="15"/>
              </w:rPr>
              <w:t>文</w:t>
            </w:r>
          </w:p>
        </w:tc>
      </w:tr>
      <w:tr w:rsidR="007B248F" w:rsidRPr="00CB7F0C" w:rsidTr="00C02E72">
        <w:trPr>
          <w:trHeight w:hRule="exact" w:val="198"/>
        </w:trPr>
        <w:tc>
          <w:tcPr>
            <w:tcW w:w="9356" w:type="dxa"/>
            <w:gridSpan w:val="3"/>
            <w:tcMar>
              <w:left w:w="0" w:type="dxa"/>
              <w:right w:w="0" w:type="dxa"/>
            </w:tcMar>
            <w:vAlign w:val="bottom"/>
          </w:tcPr>
          <w:p w:rsidR="007B248F" w:rsidRPr="00CB7F0C" w:rsidRDefault="007B248F" w:rsidP="007B248F">
            <w:pPr>
              <w:jc w:val="right"/>
              <w:rPr>
                <w:rFonts w:ascii="SimHei" w:eastAsia="SimHei" w:hAnsi="Arial Black"/>
                <w:b/>
                <w:caps/>
                <w:sz w:val="15"/>
                <w:szCs w:val="15"/>
              </w:rPr>
            </w:pPr>
            <w:r w:rsidRPr="00CB7F0C">
              <w:rPr>
                <w:rFonts w:ascii="SimHei" w:eastAsia="SimHei" w:hint="eastAsia"/>
                <w:b/>
                <w:sz w:val="15"/>
                <w:szCs w:val="15"/>
              </w:rPr>
              <w:t>日</w:t>
            </w:r>
            <w:r w:rsidRPr="00CB7F0C">
              <w:rPr>
                <w:rFonts w:ascii="SimHei" w:eastAsia="SimHei" w:hint="eastAsia"/>
                <w:b/>
                <w:sz w:val="15"/>
                <w:szCs w:val="15"/>
                <w:lang w:val="pt-BR"/>
              </w:rPr>
              <w:t xml:space="preserve"> </w:t>
            </w:r>
            <w:r w:rsidRPr="00CB7F0C">
              <w:rPr>
                <w:rFonts w:ascii="SimHei" w:eastAsia="SimHei" w:hint="eastAsia"/>
                <w:b/>
                <w:sz w:val="15"/>
                <w:szCs w:val="15"/>
              </w:rPr>
              <w:t>期</w:t>
            </w:r>
            <w:r w:rsidRPr="00CB7F0C">
              <w:rPr>
                <w:rFonts w:ascii="SimHei" w:eastAsia="SimHei" w:hAnsi="SimSun" w:hint="eastAsia"/>
                <w:b/>
                <w:sz w:val="15"/>
                <w:szCs w:val="15"/>
                <w:lang w:val="pt-BR"/>
              </w:rPr>
              <w:t>：</w:t>
            </w:r>
            <w:r w:rsidRPr="00CB7F0C">
              <w:rPr>
                <w:rFonts w:ascii="Arial Black" w:eastAsia="SimHei" w:hAnsi="Arial Black"/>
                <w:sz w:val="15"/>
                <w:szCs w:val="15"/>
                <w:lang w:val="pt-BR"/>
              </w:rPr>
              <w:t>201</w:t>
            </w:r>
            <w:r w:rsidRPr="00B13735">
              <w:rPr>
                <w:rFonts w:ascii="Arial Black" w:eastAsia="SimHei" w:hAnsi="Arial Black" w:hint="eastAsia"/>
                <w:sz w:val="15"/>
                <w:szCs w:val="15"/>
                <w:lang w:val="pt-BR"/>
              </w:rPr>
              <w:t>7</w:t>
            </w:r>
            <w:r w:rsidRPr="00CB7F0C">
              <w:rPr>
                <w:rFonts w:ascii="SimHei" w:eastAsia="SimHei" w:hAnsi="Times New Roman" w:hint="eastAsia"/>
                <w:b/>
                <w:sz w:val="15"/>
                <w:szCs w:val="15"/>
              </w:rPr>
              <w:t>年</w:t>
            </w:r>
            <w:r>
              <w:rPr>
                <w:rFonts w:ascii="Arial Black" w:eastAsia="SimHei" w:hAnsi="Arial Black" w:hint="eastAsia"/>
                <w:sz w:val="15"/>
                <w:szCs w:val="15"/>
                <w:lang w:val="pt-BR"/>
              </w:rPr>
              <w:t>4</w:t>
            </w:r>
            <w:r w:rsidRPr="00CB7F0C">
              <w:rPr>
                <w:rFonts w:ascii="SimHei" w:eastAsia="SimHei" w:hAnsi="Times New Roman" w:hint="eastAsia"/>
                <w:b/>
                <w:sz w:val="15"/>
                <w:szCs w:val="15"/>
              </w:rPr>
              <w:t>月</w:t>
            </w:r>
            <w:r>
              <w:rPr>
                <w:rFonts w:ascii="Arial Black" w:eastAsia="SimHei" w:hAnsi="Arial Black" w:hint="eastAsia"/>
                <w:sz w:val="15"/>
                <w:szCs w:val="15"/>
              </w:rPr>
              <w:t>19</w:t>
            </w:r>
            <w:r w:rsidRPr="00CB7F0C">
              <w:rPr>
                <w:rFonts w:ascii="SimHei" w:eastAsia="SimHei" w:hAnsi="Times New Roman" w:hint="eastAsia"/>
                <w:b/>
                <w:sz w:val="15"/>
                <w:szCs w:val="15"/>
              </w:rPr>
              <w:t>日</w:t>
            </w:r>
            <w:r w:rsidRPr="00CB7F0C">
              <w:rPr>
                <w:rFonts w:ascii="SimHei" w:eastAsia="SimHei" w:hAnsi="Arial Black" w:hint="eastAsia"/>
                <w:b/>
                <w:caps/>
                <w:sz w:val="15"/>
                <w:szCs w:val="15"/>
              </w:rPr>
              <w:t xml:space="preserve">  </w:t>
            </w:r>
          </w:p>
        </w:tc>
      </w:tr>
    </w:tbl>
    <w:p w:rsidR="007B248F" w:rsidRPr="00CB7F0C" w:rsidRDefault="007B248F" w:rsidP="007B248F"/>
    <w:p w:rsidR="007B248F" w:rsidRPr="00CB7F0C" w:rsidRDefault="007B248F" w:rsidP="007B248F"/>
    <w:p w:rsidR="007B248F" w:rsidRPr="00CB7F0C" w:rsidRDefault="007B248F" w:rsidP="007B248F"/>
    <w:p w:rsidR="007B248F" w:rsidRPr="00CB7F0C" w:rsidRDefault="007B248F" w:rsidP="007B248F"/>
    <w:p w:rsidR="007B248F" w:rsidRPr="00CB7F0C" w:rsidRDefault="007B248F" w:rsidP="007B248F"/>
    <w:p w:rsidR="007B248F" w:rsidRPr="00CB7F0C" w:rsidRDefault="007B248F" w:rsidP="007B248F">
      <w:pPr>
        <w:rPr>
          <w:rFonts w:ascii="SimHei" w:eastAsia="SimHei"/>
          <w:sz w:val="28"/>
          <w:szCs w:val="28"/>
        </w:rPr>
      </w:pPr>
      <w:r w:rsidRPr="00CB7F0C">
        <w:rPr>
          <w:rFonts w:ascii="SimHei" w:eastAsia="SimHei" w:hint="eastAsia"/>
          <w:sz w:val="28"/>
          <w:szCs w:val="28"/>
        </w:rPr>
        <w:t>世界知识产权组织标准委员会</w:t>
      </w:r>
      <w:r>
        <w:rPr>
          <w:rFonts w:ascii="SimHei" w:eastAsia="SimHei" w:hint="eastAsia"/>
          <w:sz w:val="28"/>
          <w:szCs w:val="28"/>
        </w:rPr>
        <w:t>（</w:t>
      </w:r>
      <w:r w:rsidRPr="00CB7F0C">
        <w:rPr>
          <w:rFonts w:ascii="SimHei" w:eastAsia="SimHei" w:hint="eastAsia"/>
          <w:sz w:val="28"/>
          <w:szCs w:val="28"/>
        </w:rPr>
        <w:t>CWS</w:t>
      </w:r>
      <w:r>
        <w:rPr>
          <w:rFonts w:ascii="SimHei" w:eastAsia="SimHei" w:hint="eastAsia"/>
          <w:sz w:val="28"/>
          <w:szCs w:val="28"/>
        </w:rPr>
        <w:t>）</w:t>
      </w:r>
    </w:p>
    <w:p w:rsidR="007B248F" w:rsidRPr="00CB7F0C" w:rsidRDefault="007B248F" w:rsidP="007B248F"/>
    <w:p w:rsidR="007B248F" w:rsidRPr="00CB7F0C" w:rsidRDefault="007B248F" w:rsidP="007B248F"/>
    <w:p w:rsidR="007B248F" w:rsidRPr="00CB7F0C" w:rsidRDefault="007B248F" w:rsidP="007B248F">
      <w:pPr>
        <w:textAlignment w:val="bottom"/>
        <w:rPr>
          <w:rFonts w:ascii="KaiTi" w:eastAsia="KaiTi"/>
          <w:b/>
          <w:sz w:val="24"/>
          <w:szCs w:val="24"/>
        </w:rPr>
      </w:pPr>
      <w:r w:rsidRPr="00CB7F0C">
        <w:rPr>
          <w:rFonts w:ascii="KaiTi" w:eastAsia="KaiTi" w:hint="eastAsia"/>
          <w:b/>
          <w:sz w:val="24"/>
          <w:szCs w:val="24"/>
        </w:rPr>
        <w:t>第</w:t>
      </w:r>
      <w:r>
        <w:rPr>
          <w:rFonts w:ascii="KaiTi" w:eastAsia="KaiTi" w:hint="eastAsia"/>
          <w:b/>
          <w:sz w:val="24"/>
          <w:szCs w:val="24"/>
        </w:rPr>
        <w:t>五</w:t>
      </w:r>
      <w:r w:rsidRPr="00CB7F0C">
        <w:rPr>
          <w:rFonts w:ascii="KaiTi" w:eastAsia="KaiTi" w:hint="eastAsia"/>
          <w:b/>
          <w:sz w:val="24"/>
          <w:szCs w:val="24"/>
        </w:rPr>
        <w:t>届会议</w:t>
      </w:r>
    </w:p>
    <w:p w:rsidR="007B248F" w:rsidRPr="00CB7F0C" w:rsidRDefault="007B248F" w:rsidP="007B248F">
      <w:pPr>
        <w:textAlignment w:val="bottom"/>
        <w:rPr>
          <w:rFonts w:ascii="KaiTi" w:eastAsia="KaiTi" w:hAnsi="KaiTi"/>
          <w:b/>
          <w:sz w:val="24"/>
          <w:szCs w:val="24"/>
        </w:rPr>
      </w:pPr>
      <w:r w:rsidRPr="00CB7F0C">
        <w:rPr>
          <w:rFonts w:ascii="KaiTi" w:eastAsia="KaiTi" w:hAnsi="KaiTi" w:hint="eastAsia"/>
          <w:sz w:val="24"/>
          <w:szCs w:val="24"/>
        </w:rPr>
        <w:t>201</w:t>
      </w:r>
      <w:r>
        <w:rPr>
          <w:rFonts w:ascii="KaiTi" w:eastAsia="KaiTi" w:hAnsi="KaiTi" w:hint="eastAsia"/>
          <w:sz w:val="24"/>
          <w:szCs w:val="24"/>
        </w:rPr>
        <w:t>7</w:t>
      </w:r>
      <w:r w:rsidRPr="00CB7F0C">
        <w:rPr>
          <w:rFonts w:ascii="KaiTi" w:eastAsia="KaiTi" w:hAnsi="KaiTi" w:hint="eastAsia"/>
          <w:b/>
          <w:sz w:val="24"/>
          <w:szCs w:val="24"/>
        </w:rPr>
        <w:t>年</w:t>
      </w:r>
      <w:r>
        <w:rPr>
          <w:rFonts w:ascii="KaiTi" w:eastAsia="KaiTi" w:hAnsi="KaiTi" w:hint="eastAsia"/>
          <w:sz w:val="24"/>
          <w:szCs w:val="24"/>
        </w:rPr>
        <w:t>5</w:t>
      </w:r>
      <w:r w:rsidRPr="00CB7F0C">
        <w:rPr>
          <w:rFonts w:ascii="KaiTi" w:eastAsia="KaiTi" w:hAnsi="KaiTi" w:hint="eastAsia"/>
          <w:b/>
          <w:sz w:val="24"/>
          <w:szCs w:val="24"/>
        </w:rPr>
        <w:t>月</w:t>
      </w:r>
      <w:r w:rsidRPr="00CB7F0C">
        <w:rPr>
          <w:rFonts w:ascii="KaiTi" w:eastAsia="KaiTi" w:hAnsi="KaiTi" w:hint="eastAsia"/>
          <w:sz w:val="24"/>
          <w:szCs w:val="24"/>
        </w:rPr>
        <w:t>2</w:t>
      </w:r>
      <w:r>
        <w:rPr>
          <w:rFonts w:ascii="KaiTi" w:eastAsia="KaiTi" w:hAnsi="KaiTi" w:hint="eastAsia"/>
          <w:sz w:val="24"/>
          <w:szCs w:val="24"/>
        </w:rPr>
        <w:t>9</w:t>
      </w:r>
      <w:r w:rsidRPr="00CB7F0C">
        <w:rPr>
          <w:rFonts w:ascii="KaiTi" w:eastAsia="KaiTi" w:hAnsi="KaiTi" w:hint="eastAsia"/>
          <w:b/>
          <w:sz w:val="24"/>
          <w:szCs w:val="24"/>
        </w:rPr>
        <w:t>日至</w:t>
      </w:r>
      <w:r>
        <w:rPr>
          <w:rFonts w:ascii="KaiTi" w:eastAsia="KaiTi" w:hAnsi="KaiTi" w:hint="eastAsia"/>
          <w:sz w:val="24"/>
          <w:szCs w:val="24"/>
        </w:rPr>
        <w:t>6</w:t>
      </w:r>
      <w:r w:rsidRPr="00CB7F0C">
        <w:rPr>
          <w:rFonts w:ascii="KaiTi" w:eastAsia="KaiTi" w:hAnsi="KaiTi" w:hint="eastAsia"/>
          <w:b/>
          <w:sz w:val="24"/>
          <w:szCs w:val="24"/>
        </w:rPr>
        <w:t>月</w:t>
      </w:r>
      <w:r w:rsidRPr="00CB7F0C">
        <w:rPr>
          <w:rFonts w:ascii="KaiTi" w:eastAsia="KaiTi" w:hAnsi="KaiTi" w:hint="eastAsia"/>
          <w:sz w:val="24"/>
          <w:szCs w:val="24"/>
        </w:rPr>
        <w:t>2</w:t>
      </w:r>
      <w:r w:rsidRPr="00CB7F0C">
        <w:rPr>
          <w:rFonts w:ascii="KaiTi" w:eastAsia="KaiTi" w:hAnsi="KaiTi" w:hint="eastAsia"/>
          <w:b/>
          <w:sz w:val="24"/>
          <w:szCs w:val="24"/>
        </w:rPr>
        <w:t>日，日内瓦</w:t>
      </w:r>
    </w:p>
    <w:p w:rsidR="007B248F" w:rsidRPr="00CB7F0C" w:rsidRDefault="007B248F" w:rsidP="007B248F"/>
    <w:p w:rsidR="007B248F" w:rsidRPr="00CB7F0C" w:rsidRDefault="007B248F" w:rsidP="007B248F"/>
    <w:p w:rsidR="007B248F" w:rsidRPr="00CB7F0C" w:rsidRDefault="007B248F" w:rsidP="007B248F"/>
    <w:p w:rsidR="007B248F" w:rsidRPr="00CB7F0C" w:rsidRDefault="007B248F" w:rsidP="007B248F">
      <w:pPr>
        <w:rPr>
          <w:rFonts w:ascii="KaiTi" w:eastAsia="KaiTi" w:hAnsi="KaiTi" w:cs="Times New Roman"/>
          <w:kern w:val="2"/>
          <w:sz w:val="24"/>
          <w:szCs w:val="32"/>
        </w:rPr>
      </w:pPr>
      <w:r w:rsidRPr="007B248F">
        <w:rPr>
          <w:rFonts w:ascii="KaiTi" w:eastAsia="KaiTi" w:hAnsi="KaiTi" w:cs="Times New Roman" w:hint="eastAsia"/>
          <w:kern w:val="2"/>
          <w:sz w:val="24"/>
          <w:szCs w:val="32"/>
        </w:rPr>
        <w:t>关于WIPO标准ST.25向ST.26的过渡规定的建议</w:t>
      </w:r>
    </w:p>
    <w:p w:rsidR="007B248F" w:rsidRDefault="007B248F" w:rsidP="007B248F"/>
    <w:p w:rsidR="0071489B" w:rsidRPr="00CB7F0C" w:rsidRDefault="0071489B" w:rsidP="007B248F"/>
    <w:p w:rsidR="007B248F" w:rsidRPr="0071489B" w:rsidRDefault="007B248F" w:rsidP="007B248F">
      <w:pPr>
        <w:rPr>
          <w:rFonts w:ascii="KaiTi" w:eastAsia="KaiTi" w:hAnsi="STKaiti" w:cs="Times New Roman"/>
          <w:kern w:val="2"/>
          <w:szCs w:val="24"/>
        </w:rPr>
      </w:pPr>
      <w:r w:rsidRPr="0071489B">
        <w:rPr>
          <w:rFonts w:ascii="KaiTi" w:eastAsia="KaiTi" w:hAnsi="STKaiti" w:cs="Times New Roman" w:hint="eastAsia"/>
          <w:kern w:val="2"/>
          <w:szCs w:val="24"/>
        </w:rPr>
        <w:t>秘书处编拟的文件</w:t>
      </w:r>
    </w:p>
    <w:p w:rsidR="007B248F" w:rsidRPr="00CB7F0C" w:rsidRDefault="007B248F" w:rsidP="007B248F"/>
    <w:p w:rsidR="007B248F" w:rsidRPr="00CB7F0C" w:rsidRDefault="007B248F" w:rsidP="007B248F"/>
    <w:p w:rsidR="007B248F" w:rsidRPr="00CB7F0C" w:rsidRDefault="007B248F" w:rsidP="007B248F"/>
    <w:p w:rsidR="007B248F" w:rsidRDefault="007B248F" w:rsidP="007B248F"/>
    <w:p w:rsidR="0071489B" w:rsidRPr="00CB7F0C" w:rsidRDefault="0071489B" w:rsidP="007B248F"/>
    <w:p w:rsidR="005A0926" w:rsidRPr="007B248F" w:rsidRDefault="002A77FE" w:rsidP="005A0926">
      <w:pPr>
        <w:pStyle w:val="ONUME"/>
        <w:numPr>
          <w:ilvl w:val="0"/>
          <w:numId w:val="12"/>
        </w:numPr>
        <w:tabs>
          <w:tab w:val="num" w:pos="567"/>
        </w:tabs>
        <w:spacing w:afterLines="50" w:after="120" w:line="340" w:lineRule="atLeast"/>
        <w:ind w:left="0" w:firstLine="0"/>
        <w:jc w:val="both"/>
        <w:rPr>
          <w:rFonts w:asciiTheme="minorEastAsia" w:eastAsiaTheme="minorEastAsia" w:hAnsiTheme="minorEastAsia"/>
          <w:sz w:val="21"/>
          <w:szCs w:val="21"/>
        </w:rPr>
      </w:pPr>
      <w:r w:rsidRPr="007B248F">
        <w:rPr>
          <w:rFonts w:asciiTheme="minorEastAsia" w:eastAsiaTheme="minorEastAsia" w:hAnsiTheme="minorEastAsia" w:hint="eastAsia"/>
          <w:sz w:val="21"/>
          <w:szCs w:val="21"/>
        </w:rPr>
        <w:t>在2016年3月举行的第四届会议续会上，WIPO标准委员会（</w:t>
      </w:r>
      <w:r w:rsidRPr="007B248F">
        <w:rPr>
          <w:rFonts w:asciiTheme="minorEastAsia" w:eastAsiaTheme="minorEastAsia" w:hAnsiTheme="minorEastAsia"/>
          <w:sz w:val="21"/>
          <w:szCs w:val="21"/>
        </w:rPr>
        <w:t>CWS</w:t>
      </w:r>
      <w:r w:rsidRPr="007B248F">
        <w:rPr>
          <w:rFonts w:asciiTheme="minorEastAsia" w:eastAsiaTheme="minorEastAsia" w:hAnsiTheme="minorEastAsia" w:hint="eastAsia"/>
          <w:sz w:val="21"/>
          <w:szCs w:val="21"/>
        </w:rPr>
        <w:t>）</w:t>
      </w:r>
      <w:r w:rsidR="005A0926" w:rsidRPr="007B248F">
        <w:rPr>
          <w:rFonts w:asciiTheme="minorEastAsia" w:eastAsiaTheme="minorEastAsia" w:hAnsiTheme="minorEastAsia" w:hint="eastAsia"/>
          <w:sz w:val="21"/>
          <w:szCs w:val="21"/>
        </w:rPr>
        <w:t>商定了修改后的第44号任务说明：“为WIPO标准ST.25向ST.26的过渡规定制定建议，并在必要时编拟一份关于修订WIPO标准ST.26的提案”。而且，标准委员会请序列表（SEQL）工作队提交WIPO标准ST.25向ST.26的过渡规定的提案，供标准委员会下届会议审议批准。（见文件CWS/4BIS/16第82至84段。）</w:t>
      </w:r>
    </w:p>
    <w:p w:rsidR="00633C4B" w:rsidRPr="007B248F" w:rsidRDefault="00AF7760" w:rsidP="00DA4C32">
      <w:pPr>
        <w:pStyle w:val="ONUME"/>
        <w:numPr>
          <w:ilvl w:val="0"/>
          <w:numId w:val="12"/>
        </w:numPr>
        <w:tabs>
          <w:tab w:val="num" w:pos="567"/>
        </w:tabs>
        <w:spacing w:afterLines="50" w:after="120" w:line="340" w:lineRule="atLeast"/>
        <w:ind w:left="0" w:firstLine="0"/>
        <w:jc w:val="both"/>
        <w:rPr>
          <w:rFonts w:asciiTheme="minorEastAsia" w:eastAsiaTheme="minorEastAsia" w:hAnsiTheme="minorEastAsia"/>
          <w:sz w:val="21"/>
          <w:szCs w:val="21"/>
        </w:rPr>
      </w:pPr>
      <w:r w:rsidRPr="007B248F">
        <w:rPr>
          <w:rFonts w:asciiTheme="minorEastAsia" w:eastAsiaTheme="minorEastAsia" w:hAnsiTheme="minorEastAsia" w:hint="eastAsia"/>
          <w:sz w:val="21"/>
          <w:szCs w:val="21"/>
        </w:rPr>
        <w:t>在标准委员会作出决定后，SEQL工作队</w:t>
      </w:r>
      <w:r w:rsidR="00183F64" w:rsidRPr="007B248F">
        <w:rPr>
          <w:rFonts w:asciiTheme="minorEastAsia" w:eastAsiaTheme="minorEastAsia" w:hAnsiTheme="minorEastAsia" w:hint="eastAsia"/>
          <w:sz w:val="21"/>
          <w:szCs w:val="21"/>
        </w:rPr>
        <w:t>就可能采用的过渡规定（ST.25向ST.26）作了讨论，</w:t>
      </w:r>
      <w:r w:rsidR="00A01BCA" w:rsidRPr="007B248F">
        <w:rPr>
          <w:rFonts w:asciiTheme="minorEastAsia" w:eastAsiaTheme="minorEastAsia" w:hAnsiTheme="minorEastAsia" w:hint="eastAsia"/>
          <w:sz w:val="21"/>
          <w:szCs w:val="21"/>
        </w:rPr>
        <w:t>并</w:t>
      </w:r>
      <w:r w:rsidR="00183F64" w:rsidRPr="007B248F">
        <w:rPr>
          <w:rFonts w:asciiTheme="minorEastAsia" w:eastAsiaTheme="minorEastAsia" w:hAnsiTheme="minorEastAsia" w:hint="eastAsia"/>
          <w:sz w:val="21"/>
          <w:szCs w:val="21"/>
        </w:rPr>
        <w:t>考虑了在国家、地区和国际层面</w:t>
      </w:r>
      <w:r w:rsidR="00A01BCA" w:rsidRPr="007B248F">
        <w:rPr>
          <w:rFonts w:asciiTheme="minorEastAsia" w:eastAsiaTheme="minorEastAsia" w:hAnsiTheme="minorEastAsia" w:hint="eastAsia"/>
          <w:sz w:val="21"/>
          <w:szCs w:val="21"/>
        </w:rPr>
        <w:t>可能</w:t>
      </w:r>
      <w:r w:rsidR="00183F64" w:rsidRPr="007B248F">
        <w:rPr>
          <w:rFonts w:asciiTheme="minorEastAsia" w:eastAsiaTheme="minorEastAsia" w:hAnsiTheme="minorEastAsia" w:hint="eastAsia"/>
          <w:sz w:val="21"/>
          <w:szCs w:val="21"/>
        </w:rPr>
        <w:t>对工业产权局的业务和信息技术（IT）系统以及申请人产生的影响。</w:t>
      </w:r>
    </w:p>
    <w:p w:rsidR="00956BAB" w:rsidRPr="0071489B" w:rsidRDefault="00A01BCA" w:rsidP="00956BAB">
      <w:pPr>
        <w:pStyle w:val="ONUME"/>
        <w:numPr>
          <w:ilvl w:val="0"/>
          <w:numId w:val="12"/>
        </w:numPr>
        <w:tabs>
          <w:tab w:val="num" w:pos="567"/>
        </w:tabs>
        <w:spacing w:afterLines="50" w:after="120" w:line="340" w:lineRule="atLeast"/>
        <w:ind w:left="0" w:firstLine="0"/>
        <w:jc w:val="both"/>
        <w:rPr>
          <w:rFonts w:asciiTheme="minorEastAsia" w:eastAsiaTheme="minorEastAsia" w:hAnsiTheme="minorEastAsia"/>
          <w:sz w:val="21"/>
          <w:szCs w:val="21"/>
        </w:rPr>
      </w:pPr>
      <w:r w:rsidRPr="007B248F">
        <w:rPr>
          <w:rFonts w:asciiTheme="minorEastAsia" w:eastAsiaTheme="minorEastAsia" w:hAnsiTheme="minorEastAsia" w:hint="eastAsia"/>
          <w:sz w:val="21"/>
          <w:szCs w:val="21"/>
        </w:rPr>
        <w:t>考虑到WIPO标准ST.25向ST.26过渡对专利合作条约（PCT）的相关意义，工作队请国际局向PCT成员和标准委员会成员征询，为其编拟两代标准过渡提案的工作提供输入意见。应工作队的上述请求，国际局</w:t>
      </w:r>
      <w:r w:rsidR="00956BAB" w:rsidRPr="007B248F">
        <w:rPr>
          <w:rFonts w:asciiTheme="minorEastAsia" w:eastAsiaTheme="minorEastAsia" w:hAnsiTheme="minorEastAsia" w:hint="eastAsia"/>
          <w:sz w:val="21"/>
          <w:szCs w:val="21"/>
        </w:rPr>
        <w:t>于2016年11月18日发出了</w:t>
      </w:r>
      <w:r w:rsidR="00956BAB" w:rsidRPr="007B248F">
        <w:rPr>
          <w:rFonts w:ascii="SimSun" w:hAnsi="SimSun"/>
          <w:sz w:val="21"/>
          <w:szCs w:val="21"/>
        </w:rPr>
        <w:t>C. PCT 1485/C. CWS 75</w:t>
      </w:r>
      <w:r w:rsidR="00956BAB" w:rsidRPr="007B248F">
        <w:rPr>
          <w:rFonts w:ascii="SimSun" w:hAnsi="SimSun" w:hint="eastAsia"/>
          <w:sz w:val="21"/>
          <w:szCs w:val="21"/>
        </w:rPr>
        <w:t>号联合通函，给作为标准委员会成员和/或担任PCT不同职能作用的知识产权局，并发给了一些代表PCT体系用户的非政府组织。此通函可在WIPO网站上查阅：</w:t>
      </w:r>
      <w:hyperlink r:id="rId10" w:history="1">
        <w:r w:rsidR="00956BAB" w:rsidRPr="0071489B">
          <w:rPr>
            <w:rStyle w:val="Hyperlink"/>
            <w:color w:val="0000FF"/>
            <w:sz w:val="21"/>
            <w:szCs w:val="21"/>
          </w:rPr>
          <w:t>http://www.wipo.int/export/sites/www/cws/en/circulars/2016/cws-075.pdf</w:t>
        </w:r>
      </w:hyperlink>
      <w:r w:rsidR="00956BAB" w:rsidRPr="0071489B">
        <w:rPr>
          <w:rStyle w:val="Hyperlink"/>
          <w:rFonts w:hint="eastAsia"/>
          <w:color w:val="auto"/>
          <w:sz w:val="21"/>
          <w:szCs w:val="21"/>
          <w:u w:val="none"/>
        </w:rPr>
        <w:t>。</w:t>
      </w:r>
    </w:p>
    <w:p w:rsidR="0071489B" w:rsidRDefault="00956BAB" w:rsidP="00DA4C32">
      <w:pPr>
        <w:pStyle w:val="ONUME"/>
        <w:numPr>
          <w:ilvl w:val="0"/>
          <w:numId w:val="12"/>
        </w:numPr>
        <w:tabs>
          <w:tab w:val="num" w:pos="567"/>
        </w:tabs>
        <w:spacing w:afterLines="50" w:after="120" w:line="340" w:lineRule="atLeast"/>
        <w:ind w:left="0" w:firstLine="0"/>
        <w:jc w:val="both"/>
        <w:rPr>
          <w:rFonts w:asciiTheme="minorEastAsia" w:eastAsiaTheme="minorEastAsia" w:hAnsiTheme="minorEastAsia"/>
          <w:sz w:val="21"/>
          <w:szCs w:val="21"/>
        </w:rPr>
      </w:pPr>
      <w:r w:rsidRPr="007B248F">
        <w:rPr>
          <w:rFonts w:asciiTheme="minorEastAsia" w:eastAsiaTheme="minorEastAsia" w:hAnsiTheme="minorEastAsia" w:hint="eastAsia"/>
          <w:sz w:val="21"/>
          <w:szCs w:val="21"/>
        </w:rPr>
        <w:t>29家知识产权局和两个用户团体对通函作了答复</w:t>
      </w:r>
      <w:r w:rsidR="00092EB2" w:rsidRPr="007B248F">
        <w:rPr>
          <w:rFonts w:asciiTheme="minorEastAsia" w:eastAsiaTheme="minorEastAsia" w:hAnsiTheme="minorEastAsia" w:hint="eastAsia"/>
          <w:sz w:val="21"/>
          <w:szCs w:val="21"/>
        </w:rPr>
        <w:t>。</w:t>
      </w:r>
      <w:r w:rsidRPr="007B248F">
        <w:rPr>
          <w:rFonts w:asciiTheme="minorEastAsia" w:eastAsiaTheme="minorEastAsia" w:hAnsiTheme="minorEastAsia" w:hint="eastAsia"/>
          <w:sz w:val="21"/>
          <w:szCs w:val="21"/>
        </w:rPr>
        <w:t>国际局与工作队</w:t>
      </w:r>
      <w:r w:rsidR="003F0FF3" w:rsidRPr="007B248F">
        <w:rPr>
          <w:rFonts w:asciiTheme="minorEastAsia" w:eastAsiaTheme="minorEastAsia" w:hAnsiTheme="minorEastAsia" w:hint="eastAsia"/>
          <w:sz w:val="21"/>
          <w:szCs w:val="21"/>
        </w:rPr>
        <w:t>分</w:t>
      </w:r>
      <w:r w:rsidRPr="007B248F">
        <w:rPr>
          <w:rFonts w:asciiTheme="minorEastAsia" w:eastAsiaTheme="minorEastAsia" w:hAnsiTheme="minorEastAsia" w:hint="eastAsia"/>
          <w:sz w:val="21"/>
          <w:szCs w:val="21"/>
        </w:rPr>
        <w:t>享了通函答复中收到的反馈意见，</w:t>
      </w:r>
      <w:r w:rsidR="003F0FF3" w:rsidRPr="007B248F">
        <w:rPr>
          <w:rFonts w:asciiTheme="minorEastAsia" w:eastAsiaTheme="minorEastAsia" w:hAnsiTheme="minorEastAsia" w:hint="eastAsia"/>
          <w:sz w:val="21"/>
          <w:szCs w:val="21"/>
        </w:rPr>
        <w:t>并向2017年2月的PCT国际单位会议（PCT/MIA）第二十四届会议提交了对反馈意见的分析（见文件PCT/MIA/24/14）。</w:t>
      </w:r>
    </w:p>
    <w:p w:rsidR="0071489B" w:rsidRDefault="0071489B">
      <w:pPr>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3F0FF3" w:rsidRPr="007B248F" w:rsidRDefault="003F0FF3" w:rsidP="0071489B">
      <w:pPr>
        <w:pStyle w:val="ONUME"/>
        <w:numPr>
          <w:ilvl w:val="0"/>
          <w:numId w:val="12"/>
        </w:numPr>
        <w:tabs>
          <w:tab w:val="num" w:pos="567"/>
        </w:tabs>
        <w:spacing w:afterLines="50" w:after="120" w:line="340" w:lineRule="atLeast"/>
        <w:ind w:left="0" w:firstLine="0"/>
        <w:jc w:val="both"/>
        <w:rPr>
          <w:rFonts w:asciiTheme="minorEastAsia" w:eastAsiaTheme="minorEastAsia" w:hAnsiTheme="minorEastAsia"/>
          <w:sz w:val="21"/>
          <w:szCs w:val="21"/>
        </w:rPr>
      </w:pPr>
      <w:r w:rsidRPr="007B248F">
        <w:rPr>
          <w:rFonts w:asciiTheme="minorEastAsia" w:eastAsiaTheme="minorEastAsia" w:hAnsiTheme="minorEastAsia" w:hint="eastAsia"/>
          <w:sz w:val="21"/>
          <w:szCs w:val="21"/>
        </w:rPr>
        <w:t>工作队成员通过多次WebEx会议，并在电子论坛上讨论了</w:t>
      </w:r>
      <w:r w:rsidRPr="007B248F">
        <w:rPr>
          <w:rFonts w:ascii="SimSun" w:hAnsi="SimSun"/>
          <w:sz w:val="21"/>
          <w:szCs w:val="21"/>
        </w:rPr>
        <w:t>C. PCT 1485/C. CWS 75</w:t>
      </w:r>
      <w:r w:rsidRPr="007B248F">
        <w:rPr>
          <w:rFonts w:asciiTheme="minorEastAsia" w:eastAsiaTheme="minorEastAsia" w:hAnsiTheme="minorEastAsia" w:hint="eastAsia"/>
          <w:sz w:val="21"/>
          <w:szCs w:val="21"/>
        </w:rPr>
        <w:t>号通函的结果和过渡事宜。所述讨论的结果是，欧洲专利局（EPO）作为SEQL工作队的牵头人，提交了题为“为</w:t>
      </w:r>
      <w:r w:rsidRPr="007B248F">
        <w:rPr>
          <w:rFonts w:asciiTheme="minorEastAsia" w:eastAsiaTheme="minorEastAsia" w:hAnsiTheme="minorEastAsia" w:hint="eastAsia"/>
          <w:sz w:val="21"/>
          <w:szCs w:val="21"/>
        </w:rPr>
        <w:lastRenderedPageBreak/>
        <w:t>WIPO标准ST.25向ST.26的过渡规定制定的建议”的提案，供标准委员会在其第五届会议上审议和决定过渡规定。</w:t>
      </w:r>
      <w:bookmarkStart w:id="0" w:name="_GoBack"/>
      <w:bookmarkEnd w:id="0"/>
    </w:p>
    <w:p w:rsidR="00633C4B" w:rsidRPr="007B248F" w:rsidRDefault="003F0FF3" w:rsidP="00F073A5">
      <w:pPr>
        <w:pStyle w:val="ONUME"/>
        <w:spacing w:afterLines="50" w:after="120" w:line="340" w:lineRule="atLeast"/>
        <w:ind w:left="5529" w:firstLine="7"/>
        <w:jc w:val="both"/>
        <w:rPr>
          <w:rFonts w:ascii="KaiTi" w:eastAsia="KaiTi" w:hAnsi="KaiTi"/>
          <w:sz w:val="21"/>
          <w:szCs w:val="21"/>
        </w:rPr>
      </w:pPr>
      <w:r w:rsidRPr="0071489B">
        <w:rPr>
          <w:rFonts w:ascii="SimSun" w:hAnsi="SimSun" w:hint="eastAsia"/>
          <w:sz w:val="21"/>
          <w:szCs w:val="21"/>
        </w:rPr>
        <w:t>6</w:t>
      </w:r>
      <w:r w:rsidR="006B28D6" w:rsidRPr="0071489B">
        <w:rPr>
          <w:rFonts w:ascii="SimSun" w:hAnsi="SimSun" w:hint="eastAsia"/>
          <w:i/>
          <w:sz w:val="21"/>
          <w:szCs w:val="21"/>
        </w:rPr>
        <w:t>.</w:t>
      </w:r>
      <w:r w:rsidR="006B28D6" w:rsidRPr="007B248F">
        <w:rPr>
          <w:rFonts w:ascii="KaiTi" w:eastAsia="KaiTi" w:hAnsi="KaiTi" w:hint="eastAsia"/>
          <w:i/>
          <w:sz w:val="21"/>
          <w:szCs w:val="21"/>
        </w:rPr>
        <w:tab/>
      </w:r>
      <w:r w:rsidR="00092EB2" w:rsidRPr="007B248F">
        <w:rPr>
          <w:rFonts w:ascii="KaiTi" w:eastAsia="KaiTi" w:hAnsi="KaiTi" w:hint="eastAsia"/>
          <w:sz w:val="21"/>
          <w:szCs w:val="21"/>
        </w:rPr>
        <w:t>请</w:t>
      </w:r>
      <w:r w:rsidRPr="007B248F">
        <w:rPr>
          <w:rFonts w:ascii="KaiTi" w:eastAsia="KaiTi" w:hAnsi="KaiTi" w:hint="eastAsia"/>
          <w:sz w:val="21"/>
          <w:szCs w:val="21"/>
        </w:rPr>
        <w:t>标准委员会</w:t>
      </w:r>
      <w:r w:rsidR="00FA618F" w:rsidRPr="007B248F">
        <w:rPr>
          <w:rFonts w:ascii="KaiTi" w:eastAsia="KaiTi" w:hAnsi="KaiTi" w:hint="eastAsia"/>
          <w:sz w:val="21"/>
          <w:szCs w:val="21"/>
        </w:rPr>
        <w:t>：</w:t>
      </w:r>
    </w:p>
    <w:p w:rsidR="003F0FF3" w:rsidRPr="007B248F" w:rsidRDefault="003F0FF3" w:rsidP="00441587">
      <w:pPr>
        <w:pStyle w:val="ONUME"/>
        <w:spacing w:afterLines="50" w:after="120" w:line="340" w:lineRule="atLeast"/>
        <w:ind w:left="5528" w:firstLine="567"/>
        <w:jc w:val="both"/>
        <w:rPr>
          <w:rFonts w:ascii="KaiTi" w:eastAsia="KaiTi" w:hAnsi="KaiTi"/>
          <w:sz w:val="21"/>
          <w:szCs w:val="21"/>
        </w:rPr>
      </w:pPr>
      <w:r w:rsidRPr="007B248F">
        <w:rPr>
          <w:rFonts w:ascii="KaiTi" w:eastAsia="KaiTi" w:hAnsi="KaiTi" w:hint="eastAsia"/>
          <w:sz w:val="21"/>
          <w:szCs w:val="21"/>
        </w:rPr>
        <w:t>（</w:t>
      </w:r>
      <w:r w:rsidR="00EC090B" w:rsidRPr="007B248F">
        <w:rPr>
          <w:rFonts w:ascii="KaiTi" w:eastAsia="KaiTi" w:hAnsi="KaiTi"/>
          <w:sz w:val="21"/>
          <w:szCs w:val="21"/>
        </w:rPr>
        <w:t>a</w:t>
      </w:r>
      <w:r w:rsidRPr="007B248F">
        <w:rPr>
          <w:rFonts w:ascii="KaiTi" w:eastAsia="KaiTi" w:hAnsi="KaiTi" w:hint="eastAsia"/>
          <w:sz w:val="21"/>
          <w:szCs w:val="21"/>
        </w:rPr>
        <w:t>）</w:t>
      </w:r>
      <w:r w:rsidR="005D21F7" w:rsidRPr="007B248F">
        <w:rPr>
          <w:rFonts w:ascii="KaiTi" w:eastAsia="KaiTi" w:hAnsi="KaiTi" w:hint="eastAsia"/>
          <w:sz w:val="21"/>
          <w:szCs w:val="21"/>
        </w:rPr>
        <w:tab/>
      </w:r>
      <w:r w:rsidR="00092EB2" w:rsidRPr="007B248F">
        <w:rPr>
          <w:rFonts w:ascii="KaiTi" w:eastAsia="KaiTi" w:hAnsi="KaiTi" w:hint="eastAsia"/>
          <w:sz w:val="21"/>
          <w:szCs w:val="21"/>
        </w:rPr>
        <w:t>注意本文件的内容</w:t>
      </w:r>
      <w:r w:rsidRPr="007B248F">
        <w:rPr>
          <w:rFonts w:ascii="KaiTi" w:eastAsia="KaiTi" w:hAnsi="KaiTi" w:hint="eastAsia"/>
          <w:sz w:val="21"/>
          <w:szCs w:val="21"/>
        </w:rPr>
        <w:t>；</w:t>
      </w:r>
    </w:p>
    <w:p w:rsidR="003F0FF3" w:rsidRPr="007B248F" w:rsidRDefault="003F0FF3" w:rsidP="00441587">
      <w:pPr>
        <w:pStyle w:val="ONUME"/>
        <w:spacing w:afterLines="50" w:after="120" w:line="340" w:lineRule="atLeast"/>
        <w:ind w:left="5528" w:firstLine="567"/>
        <w:jc w:val="both"/>
        <w:rPr>
          <w:rFonts w:ascii="KaiTi" w:eastAsia="KaiTi" w:hAnsi="KaiTi"/>
          <w:sz w:val="21"/>
          <w:szCs w:val="21"/>
        </w:rPr>
      </w:pPr>
      <w:r w:rsidRPr="007B248F">
        <w:rPr>
          <w:rFonts w:ascii="KaiTi" w:eastAsia="KaiTi" w:hAnsi="KaiTi" w:hint="eastAsia"/>
          <w:sz w:val="21"/>
          <w:szCs w:val="21"/>
        </w:rPr>
        <w:t>（b）</w:t>
      </w:r>
      <w:r w:rsidR="005D21F7" w:rsidRPr="007B248F">
        <w:rPr>
          <w:rFonts w:ascii="KaiTi" w:eastAsia="KaiTi" w:hAnsi="KaiTi" w:hint="eastAsia"/>
          <w:sz w:val="21"/>
          <w:szCs w:val="21"/>
        </w:rPr>
        <w:tab/>
      </w:r>
      <w:r w:rsidR="00F822CF" w:rsidRPr="007B248F">
        <w:rPr>
          <w:rFonts w:ascii="KaiTi" w:eastAsia="KaiTi" w:hAnsi="KaiTi" w:hint="eastAsia"/>
          <w:sz w:val="21"/>
          <w:szCs w:val="21"/>
        </w:rPr>
        <w:t>审议并决定</w:t>
      </w:r>
      <w:r w:rsidRPr="007B248F">
        <w:rPr>
          <w:rFonts w:ascii="KaiTi" w:eastAsia="KaiTi" w:hAnsi="KaiTi" w:hint="eastAsia"/>
          <w:sz w:val="21"/>
          <w:szCs w:val="21"/>
        </w:rPr>
        <w:t>本文件附件第4段</w:t>
      </w:r>
      <w:r w:rsidR="00DE65CD" w:rsidRPr="007B248F">
        <w:rPr>
          <w:rFonts w:ascii="KaiTi" w:eastAsia="KaiTi" w:hAnsi="KaiTi" w:hint="eastAsia"/>
          <w:sz w:val="21"/>
          <w:szCs w:val="21"/>
        </w:rPr>
        <w:t>提及的过渡情况预设；</w:t>
      </w:r>
    </w:p>
    <w:p w:rsidR="00DE65CD" w:rsidRPr="007B248F" w:rsidRDefault="00DE65CD" w:rsidP="00441587">
      <w:pPr>
        <w:pStyle w:val="ONUME"/>
        <w:spacing w:afterLines="50" w:after="120" w:line="340" w:lineRule="atLeast"/>
        <w:ind w:left="5528" w:firstLine="567"/>
        <w:jc w:val="both"/>
        <w:rPr>
          <w:rFonts w:ascii="KaiTi" w:eastAsia="KaiTi" w:hAnsi="KaiTi"/>
          <w:sz w:val="21"/>
          <w:szCs w:val="21"/>
        </w:rPr>
      </w:pPr>
      <w:r w:rsidRPr="007B248F">
        <w:rPr>
          <w:rFonts w:ascii="KaiTi" w:eastAsia="KaiTi" w:hAnsi="KaiTi" w:hint="eastAsia"/>
          <w:sz w:val="21"/>
          <w:szCs w:val="21"/>
        </w:rPr>
        <w:t>（c）</w:t>
      </w:r>
      <w:r w:rsidR="005D21F7" w:rsidRPr="007B248F">
        <w:rPr>
          <w:rFonts w:ascii="KaiTi" w:eastAsia="KaiTi" w:hAnsi="KaiTi" w:hint="eastAsia"/>
          <w:sz w:val="21"/>
          <w:szCs w:val="21"/>
        </w:rPr>
        <w:tab/>
      </w:r>
      <w:r w:rsidRPr="007B248F">
        <w:rPr>
          <w:rFonts w:ascii="KaiTi" w:eastAsia="KaiTi" w:hAnsi="KaiTi" w:hint="eastAsia"/>
          <w:sz w:val="21"/>
          <w:szCs w:val="21"/>
        </w:rPr>
        <w:t>审议并决定是否应参考国际申请的国际申请日或优先权日确定过渡日期，还是应由申请人作出选择，如本文件附件第5至7段所提及；</w:t>
      </w:r>
    </w:p>
    <w:p w:rsidR="00DE65CD" w:rsidRPr="007B248F" w:rsidRDefault="00DE65CD" w:rsidP="00441587">
      <w:pPr>
        <w:pStyle w:val="ONUME"/>
        <w:spacing w:afterLines="50" w:after="120" w:line="340" w:lineRule="atLeast"/>
        <w:ind w:left="5528" w:firstLine="567"/>
        <w:jc w:val="both"/>
        <w:rPr>
          <w:rFonts w:ascii="KaiTi" w:eastAsia="KaiTi" w:hAnsi="KaiTi"/>
          <w:sz w:val="21"/>
          <w:szCs w:val="21"/>
        </w:rPr>
      </w:pPr>
      <w:r w:rsidRPr="007B248F">
        <w:rPr>
          <w:rFonts w:ascii="KaiTi" w:eastAsia="KaiTi" w:hAnsi="KaiTi" w:hint="eastAsia"/>
          <w:sz w:val="21"/>
          <w:szCs w:val="21"/>
        </w:rPr>
        <w:t>（d）</w:t>
      </w:r>
      <w:r w:rsidR="005D21F7" w:rsidRPr="007B248F">
        <w:rPr>
          <w:rFonts w:ascii="KaiTi" w:eastAsia="KaiTi" w:hAnsi="KaiTi" w:hint="eastAsia"/>
          <w:sz w:val="21"/>
          <w:szCs w:val="21"/>
        </w:rPr>
        <w:tab/>
      </w:r>
      <w:r w:rsidRPr="007B248F">
        <w:rPr>
          <w:rFonts w:ascii="KaiTi" w:eastAsia="KaiTi" w:hAnsi="KaiTi" w:hint="eastAsia"/>
          <w:sz w:val="21"/>
          <w:szCs w:val="21"/>
        </w:rPr>
        <w:t>审议并决定是否以“2022年1月”作为过渡时间，如本文件附件第8段所提及；</w:t>
      </w:r>
    </w:p>
    <w:p w:rsidR="00633C4B" w:rsidRPr="007B248F" w:rsidRDefault="00DE65CD" w:rsidP="00441587">
      <w:pPr>
        <w:pStyle w:val="ONUME"/>
        <w:spacing w:afterLines="50" w:after="120" w:line="340" w:lineRule="atLeast"/>
        <w:ind w:left="5528" w:firstLine="567"/>
        <w:jc w:val="both"/>
        <w:rPr>
          <w:rFonts w:ascii="KaiTi" w:eastAsia="KaiTi" w:hAnsi="KaiTi"/>
          <w:sz w:val="21"/>
          <w:szCs w:val="21"/>
        </w:rPr>
      </w:pPr>
      <w:r w:rsidRPr="007B248F">
        <w:rPr>
          <w:rFonts w:ascii="KaiTi" w:eastAsia="KaiTi" w:hAnsi="KaiTi" w:hint="eastAsia"/>
          <w:sz w:val="21"/>
          <w:szCs w:val="21"/>
        </w:rPr>
        <w:t>（e）</w:t>
      </w:r>
      <w:r w:rsidR="005D21F7" w:rsidRPr="007B248F">
        <w:rPr>
          <w:rFonts w:ascii="KaiTi" w:eastAsia="KaiTi" w:hAnsi="KaiTi" w:hint="eastAsia"/>
          <w:sz w:val="21"/>
          <w:szCs w:val="21"/>
        </w:rPr>
        <w:tab/>
      </w:r>
      <w:r w:rsidRPr="007B248F">
        <w:rPr>
          <w:rFonts w:ascii="KaiTi" w:eastAsia="KaiTi" w:hAnsi="KaiTi" w:hint="eastAsia"/>
          <w:sz w:val="21"/>
          <w:szCs w:val="21"/>
        </w:rPr>
        <w:t>注意SEQL工作队待开展的任务，如本文件附件第9段所提及</w:t>
      </w:r>
      <w:r w:rsidR="0019157F" w:rsidRPr="007B248F">
        <w:rPr>
          <w:rFonts w:ascii="KaiTi" w:eastAsia="KaiTi" w:hAnsi="KaiTi" w:hint="eastAsia"/>
          <w:sz w:val="21"/>
          <w:szCs w:val="21"/>
        </w:rPr>
        <w:t>。</w:t>
      </w:r>
    </w:p>
    <w:p w:rsidR="00B6246A" w:rsidRPr="007B248F" w:rsidRDefault="00B6246A" w:rsidP="000D1D45">
      <w:pPr>
        <w:pStyle w:val="Endofdocument-Annex"/>
        <w:jc w:val="both"/>
        <w:rPr>
          <w:rFonts w:ascii="KaiTi" w:eastAsia="KaiTi" w:hAnsi="KaiTi"/>
          <w:sz w:val="21"/>
          <w:szCs w:val="21"/>
        </w:rPr>
      </w:pPr>
    </w:p>
    <w:p w:rsidR="003E5564" w:rsidRPr="007B248F" w:rsidRDefault="003E5564" w:rsidP="000D1D45">
      <w:pPr>
        <w:pStyle w:val="Endofdocument-Annex"/>
        <w:jc w:val="both"/>
        <w:rPr>
          <w:rFonts w:ascii="KaiTi" w:eastAsia="KaiTi" w:hAnsi="KaiTi"/>
          <w:sz w:val="21"/>
          <w:szCs w:val="21"/>
        </w:rPr>
      </w:pPr>
    </w:p>
    <w:p w:rsidR="006A6DBF" w:rsidRPr="007B248F" w:rsidRDefault="00633C4B" w:rsidP="000D1D45">
      <w:pPr>
        <w:pStyle w:val="Endofdocument-Annex"/>
        <w:jc w:val="both"/>
        <w:rPr>
          <w:rFonts w:ascii="KaiTi" w:eastAsia="KaiTi" w:hAnsi="KaiTi"/>
          <w:sz w:val="21"/>
          <w:szCs w:val="21"/>
        </w:rPr>
      </w:pPr>
      <w:r w:rsidRPr="007B248F">
        <w:rPr>
          <w:rFonts w:ascii="KaiTi" w:eastAsia="KaiTi" w:hAnsi="KaiTi"/>
          <w:sz w:val="21"/>
          <w:szCs w:val="21"/>
        </w:rPr>
        <w:t>[</w:t>
      </w:r>
      <w:r w:rsidR="0019157F" w:rsidRPr="007B248F">
        <w:rPr>
          <w:rFonts w:ascii="KaiTi" w:eastAsia="KaiTi" w:hAnsi="KaiTi" w:hint="eastAsia"/>
          <w:sz w:val="21"/>
          <w:szCs w:val="21"/>
        </w:rPr>
        <w:t>后接附件</w:t>
      </w:r>
      <w:r w:rsidRPr="007B248F">
        <w:rPr>
          <w:rFonts w:ascii="KaiTi" w:eastAsia="KaiTi" w:hAnsi="KaiTi"/>
          <w:sz w:val="21"/>
          <w:szCs w:val="21"/>
        </w:rPr>
        <w:t>]</w:t>
      </w:r>
    </w:p>
    <w:sectPr w:rsidR="006A6DBF" w:rsidRPr="007B248F" w:rsidSect="00D31FF1">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254" w:rsidRDefault="00320254">
      <w:r>
        <w:separator/>
      </w:r>
    </w:p>
  </w:endnote>
  <w:endnote w:type="continuationSeparator" w:id="0">
    <w:p w:rsidR="00320254" w:rsidRDefault="00320254" w:rsidP="003B38C1">
      <w:r>
        <w:separator/>
      </w:r>
    </w:p>
    <w:p w:rsidR="00320254" w:rsidRPr="003B38C1" w:rsidRDefault="00320254" w:rsidP="003B38C1">
      <w:pPr>
        <w:spacing w:after="60"/>
        <w:rPr>
          <w:sz w:val="17"/>
        </w:rPr>
      </w:pPr>
      <w:r>
        <w:rPr>
          <w:sz w:val="17"/>
        </w:rPr>
        <w:t>[Endnote continued from previous page]</w:t>
      </w:r>
    </w:p>
  </w:endnote>
  <w:endnote w:type="continuationNotice" w:id="1">
    <w:p w:rsidR="00320254" w:rsidRPr="003B38C1" w:rsidRDefault="0032025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254" w:rsidRDefault="00320254">
      <w:r>
        <w:separator/>
      </w:r>
    </w:p>
  </w:footnote>
  <w:footnote w:type="continuationSeparator" w:id="0">
    <w:p w:rsidR="00320254" w:rsidRDefault="00320254" w:rsidP="008B60B2">
      <w:r>
        <w:separator/>
      </w:r>
    </w:p>
    <w:p w:rsidR="00320254" w:rsidRPr="00ED77FB" w:rsidRDefault="00320254" w:rsidP="008B60B2">
      <w:pPr>
        <w:spacing w:after="60"/>
        <w:rPr>
          <w:sz w:val="17"/>
          <w:szCs w:val="17"/>
        </w:rPr>
      </w:pPr>
      <w:r w:rsidRPr="00ED77FB">
        <w:rPr>
          <w:sz w:val="17"/>
          <w:szCs w:val="17"/>
        </w:rPr>
        <w:t>[Footnote continued from previous page]</w:t>
      </w:r>
    </w:p>
  </w:footnote>
  <w:footnote w:type="continuationNotice" w:id="1">
    <w:p w:rsidR="00320254" w:rsidRPr="00ED77FB" w:rsidRDefault="0032025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912" w:rsidRPr="0071489B" w:rsidRDefault="0071489B">
    <w:pPr>
      <w:pStyle w:val="Header"/>
      <w:jc w:val="right"/>
      <w:rPr>
        <w:rFonts w:ascii="SimSun" w:hAnsi="SimSun"/>
        <w:sz w:val="21"/>
        <w:szCs w:val="21"/>
      </w:rPr>
    </w:pPr>
    <w:r w:rsidRPr="0071489B">
      <w:rPr>
        <w:rFonts w:ascii="SimSun" w:hAnsi="SimSun"/>
      </w:rPr>
      <w:t>CWS/5/7 Rev.1</w:t>
    </w:r>
  </w:p>
  <w:p w:rsidR="00B90912" w:rsidRPr="00F073A5" w:rsidRDefault="001C0DC7">
    <w:pPr>
      <w:pStyle w:val="Header"/>
      <w:jc w:val="right"/>
      <w:rPr>
        <w:rFonts w:asciiTheme="minorEastAsia" w:eastAsiaTheme="minorEastAsia" w:hAnsiTheme="minorEastAsia"/>
        <w:sz w:val="21"/>
        <w:szCs w:val="21"/>
      </w:rPr>
    </w:pPr>
    <w:r w:rsidRPr="00F073A5">
      <w:rPr>
        <w:rFonts w:asciiTheme="minorEastAsia" w:eastAsiaTheme="minorEastAsia" w:hAnsiTheme="minorEastAsia" w:hint="eastAsia"/>
        <w:sz w:val="21"/>
        <w:szCs w:val="21"/>
      </w:rPr>
      <w:t>第</w:t>
    </w:r>
    <w:sdt>
      <w:sdtPr>
        <w:rPr>
          <w:rFonts w:asciiTheme="minorEastAsia" w:eastAsiaTheme="minorEastAsia" w:hAnsiTheme="minorEastAsia" w:hint="eastAsia"/>
          <w:sz w:val="21"/>
          <w:szCs w:val="21"/>
        </w:rPr>
        <w:id w:val="-1238783833"/>
        <w:docPartObj>
          <w:docPartGallery w:val="Page Numbers (Top of Page)"/>
          <w:docPartUnique/>
        </w:docPartObj>
      </w:sdtPr>
      <w:sdtEndPr>
        <w:rPr>
          <w:rFonts w:hint="default"/>
          <w:noProof/>
        </w:rPr>
      </w:sdtEndPr>
      <w:sdtContent>
        <w:r w:rsidR="00B90912" w:rsidRPr="00F073A5">
          <w:rPr>
            <w:rFonts w:asciiTheme="minorEastAsia" w:eastAsiaTheme="minorEastAsia" w:hAnsiTheme="minorEastAsia"/>
            <w:sz w:val="21"/>
            <w:szCs w:val="21"/>
          </w:rPr>
          <w:fldChar w:fldCharType="begin"/>
        </w:r>
        <w:r w:rsidR="00B90912" w:rsidRPr="00F073A5">
          <w:rPr>
            <w:rFonts w:asciiTheme="minorEastAsia" w:eastAsiaTheme="minorEastAsia" w:hAnsiTheme="minorEastAsia"/>
            <w:sz w:val="21"/>
            <w:szCs w:val="21"/>
          </w:rPr>
          <w:instrText xml:space="preserve"> PAGE   \* MERGEFORMAT </w:instrText>
        </w:r>
        <w:r w:rsidR="00B90912" w:rsidRPr="00F073A5">
          <w:rPr>
            <w:rFonts w:asciiTheme="minorEastAsia" w:eastAsiaTheme="minorEastAsia" w:hAnsiTheme="minorEastAsia"/>
            <w:sz w:val="21"/>
            <w:szCs w:val="21"/>
          </w:rPr>
          <w:fldChar w:fldCharType="separate"/>
        </w:r>
        <w:r w:rsidR="0071489B">
          <w:rPr>
            <w:rFonts w:asciiTheme="minorEastAsia" w:eastAsiaTheme="minorEastAsia" w:hAnsiTheme="minorEastAsia"/>
            <w:noProof/>
            <w:sz w:val="21"/>
            <w:szCs w:val="21"/>
          </w:rPr>
          <w:t>2</w:t>
        </w:r>
        <w:r w:rsidR="00B90912" w:rsidRPr="00F073A5">
          <w:rPr>
            <w:rFonts w:asciiTheme="minorEastAsia" w:eastAsiaTheme="minorEastAsia" w:hAnsiTheme="minorEastAsia"/>
            <w:noProof/>
            <w:sz w:val="21"/>
            <w:szCs w:val="21"/>
          </w:rPr>
          <w:fldChar w:fldCharType="end"/>
        </w:r>
        <w:r w:rsidRPr="00F073A5">
          <w:rPr>
            <w:rFonts w:asciiTheme="minorEastAsia" w:eastAsiaTheme="minorEastAsia" w:hAnsiTheme="minorEastAsia" w:hint="eastAsia"/>
            <w:noProof/>
            <w:sz w:val="21"/>
            <w:szCs w:val="21"/>
          </w:rPr>
          <w:t>页</w:t>
        </w:r>
      </w:sdtContent>
    </w:sdt>
  </w:p>
  <w:p w:rsidR="00B90912" w:rsidRPr="0071489B" w:rsidRDefault="00B90912" w:rsidP="00B6246A">
    <w:pPr>
      <w:pStyle w:val="Header"/>
      <w:jc w:val="right"/>
      <w:rPr>
        <w:rFonts w:ascii="SimSun" w:hAnsi="SimSun"/>
      </w:rPr>
    </w:pPr>
  </w:p>
  <w:p w:rsidR="0071489B" w:rsidRPr="0071489B" w:rsidRDefault="0071489B" w:rsidP="00B6246A">
    <w:pPr>
      <w:pStyle w:val="Header"/>
      <w:jc w:val="right"/>
      <w:rPr>
        <w:rFonts w:ascii="SimSun" w:hAnsi="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EF5173B"/>
    <w:multiLevelType w:val="multilevel"/>
    <w:tmpl w:val="21925CCA"/>
    <w:lvl w:ilvl="0">
      <w:start w:val="1"/>
      <w:numFmt w:val="decimal"/>
      <w:lvlText w:val="%1."/>
      <w:lvlJc w:val="left"/>
      <w:pPr>
        <w:ind w:left="360" w:hanging="360"/>
      </w:pPr>
      <w:rPr>
        <w:rFonts w:asciiTheme="minorEastAsia" w:eastAsiaTheme="minorEastAsia" w:hAnsiTheme="minorEastAsia"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3B23FE7"/>
    <w:multiLevelType w:val="hybridMultilevel"/>
    <w:tmpl w:val="4B102FD0"/>
    <w:lvl w:ilvl="0" w:tplc="C0424EC6">
      <w:start w:val="1"/>
      <w:numFmt w:val="decimal"/>
      <w:lvlText w:val="%1."/>
      <w:lvlJc w:val="left"/>
      <w:pPr>
        <w:ind w:left="360" w:hanging="360"/>
      </w:pPr>
      <w:rPr>
        <w:rFonts w:asciiTheme="minorEastAsia" w:eastAsiaTheme="minorEastAsia" w:hAnsiTheme="minorEastAsia"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0B1986"/>
    <w:multiLevelType w:val="hybridMultilevel"/>
    <w:tmpl w:val="DEB6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6E32E8"/>
    <w:multiLevelType w:val="multilevel"/>
    <w:tmpl w:val="D824793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954"/>
        </w:tabs>
        <w:ind w:left="387" w:firstLine="0"/>
      </w:pPr>
      <w:rPr>
        <w:rFonts w:ascii="Symbol" w:hAnsi="Symbol"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10">
    <w:nsid w:val="595F551F"/>
    <w:multiLevelType w:val="hybridMultilevel"/>
    <w:tmpl w:val="9710B682"/>
    <w:lvl w:ilvl="0" w:tplc="EFEE3688">
      <w:start w:val="1"/>
      <w:numFmt w:val="lowerLetter"/>
      <w:lvlText w:val="(%1)"/>
      <w:lvlJc w:val="left"/>
      <w:pPr>
        <w:ind w:left="5222" w:hanging="360"/>
      </w:pPr>
      <w:rPr>
        <w:rFonts w:hint="default"/>
      </w:rPr>
    </w:lvl>
    <w:lvl w:ilvl="1" w:tplc="04090019">
      <w:start w:val="1"/>
      <w:numFmt w:val="lowerLetter"/>
      <w:lvlText w:val="%2."/>
      <w:lvlJc w:val="left"/>
      <w:pPr>
        <w:ind w:left="5942" w:hanging="360"/>
      </w:pPr>
    </w:lvl>
    <w:lvl w:ilvl="2" w:tplc="0409001B" w:tentative="1">
      <w:start w:val="1"/>
      <w:numFmt w:val="lowerRoman"/>
      <w:lvlText w:val="%3."/>
      <w:lvlJc w:val="right"/>
      <w:pPr>
        <w:ind w:left="6662" w:hanging="180"/>
      </w:pPr>
    </w:lvl>
    <w:lvl w:ilvl="3" w:tplc="0409000F" w:tentative="1">
      <w:start w:val="1"/>
      <w:numFmt w:val="decimal"/>
      <w:lvlText w:val="%4."/>
      <w:lvlJc w:val="left"/>
      <w:pPr>
        <w:ind w:left="7382" w:hanging="360"/>
      </w:pPr>
    </w:lvl>
    <w:lvl w:ilvl="4" w:tplc="04090019" w:tentative="1">
      <w:start w:val="1"/>
      <w:numFmt w:val="lowerLetter"/>
      <w:lvlText w:val="%5."/>
      <w:lvlJc w:val="left"/>
      <w:pPr>
        <w:ind w:left="8102" w:hanging="360"/>
      </w:pPr>
    </w:lvl>
    <w:lvl w:ilvl="5" w:tplc="0409001B" w:tentative="1">
      <w:start w:val="1"/>
      <w:numFmt w:val="lowerRoman"/>
      <w:lvlText w:val="%6."/>
      <w:lvlJc w:val="right"/>
      <w:pPr>
        <w:ind w:left="8822" w:hanging="180"/>
      </w:pPr>
    </w:lvl>
    <w:lvl w:ilvl="6" w:tplc="0409000F" w:tentative="1">
      <w:start w:val="1"/>
      <w:numFmt w:val="decimal"/>
      <w:lvlText w:val="%7."/>
      <w:lvlJc w:val="left"/>
      <w:pPr>
        <w:ind w:left="9542" w:hanging="360"/>
      </w:pPr>
    </w:lvl>
    <w:lvl w:ilvl="7" w:tplc="04090019" w:tentative="1">
      <w:start w:val="1"/>
      <w:numFmt w:val="lowerLetter"/>
      <w:lvlText w:val="%8."/>
      <w:lvlJc w:val="left"/>
      <w:pPr>
        <w:ind w:left="10262" w:hanging="360"/>
      </w:pPr>
    </w:lvl>
    <w:lvl w:ilvl="8" w:tplc="0409001B" w:tentative="1">
      <w:start w:val="1"/>
      <w:numFmt w:val="lowerRoman"/>
      <w:lvlText w:val="%9."/>
      <w:lvlJc w:val="right"/>
      <w:pPr>
        <w:ind w:left="10982" w:hanging="180"/>
      </w:pPr>
    </w:lvl>
  </w:abstractNum>
  <w:abstractNum w:abstractNumId="11">
    <w:nsid w:val="5EA82C42"/>
    <w:multiLevelType w:val="multilevel"/>
    <w:tmpl w:val="2688A716"/>
    <w:lvl w:ilvl="0">
      <w:start w:val="1"/>
      <w:numFmt w:val="lowerLetter"/>
      <w:lvlText w:val="%1."/>
      <w:lvlJc w:val="left"/>
      <w:pPr>
        <w:tabs>
          <w:tab w:val="num" w:pos="1134"/>
        </w:tabs>
        <w:ind w:left="567" w:firstLine="0"/>
      </w:pPr>
      <w:rPr>
        <w:rFonts w:hint="default"/>
      </w:rPr>
    </w:lvl>
    <w:lvl w:ilvl="1">
      <w:start w:val="1"/>
      <w:numFmt w:val="bullet"/>
      <w:lvlText w:val=""/>
      <w:lvlJc w:val="left"/>
      <w:pPr>
        <w:tabs>
          <w:tab w:val="num" w:pos="1521"/>
        </w:tabs>
        <w:ind w:left="954" w:firstLine="0"/>
      </w:pPr>
      <w:rPr>
        <w:rFonts w:ascii="Symbol" w:hAnsi="Symbol" w:hint="default"/>
      </w:rPr>
    </w:lvl>
    <w:lvl w:ilvl="2">
      <w:start w:val="1"/>
      <w:numFmt w:val="lowerRoman"/>
      <w:lvlText w:val="(%3)"/>
      <w:lvlJc w:val="left"/>
      <w:pPr>
        <w:tabs>
          <w:tab w:val="num" w:pos="2088"/>
        </w:tabs>
        <w:ind w:left="1521" w:firstLine="0"/>
      </w:pPr>
      <w:rPr>
        <w:rFonts w:hint="default"/>
      </w:rPr>
    </w:lvl>
    <w:lvl w:ilvl="3">
      <w:start w:val="1"/>
      <w:numFmt w:val="bullet"/>
      <w:lvlText w:val=""/>
      <w:lvlJc w:val="left"/>
      <w:pPr>
        <w:tabs>
          <w:tab w:val="num" w:pos="2655"/>
        </w:tabs>
        <w:ind w:left="2088" w:firstLine="0"/>
      </w:pPr>
      <w:rPr>
        <w:rFonts w:hint="default"/>
      </w:rPr>
    </w:lvl>
    <w:lvl w:ilvl="4">
      <w:start w:val="1"/>
      <w:numFmt w:val="bullet"/>
      <w:lvlText w:val=""/>
      <w:lvlJc w:val="left"/>
      <w:pPr>
        <w:tabs>
          <w:tab w:val="num" w:pos="3222"/>
        </w:tabs>
        <w:ind w:left="2655" w:firstLine="0"/>
      </w:pPr>
      <w:rPr>
        <w:rFonts w:hint="default"/>
      </w:rPr>
    </w:lvl>
    <w:lvl w:ilvl="5">
      <w:start w:val="1"/>
      <w:numFmt w:val="bullet"/>
      <w:lvlText w:val=""/>
      <w:lvlJc w:val="left"/>
      <w:pPr>
        <w:tabs>
          <w:tab w:val="num" w:pos="3789"/>
        </w:tabs>
        <w:ind w:left="3222" w:firstLine="0"/>
      </w:pPr>
      <w:rPr>
        <w:rFonts w:hint="default"/>
      </w:rPr>
    </w:lvl>
    <w:lvl w:ilvl="6">
      <w:start w:val="1"/>
      <w:numFmt w:val="bullet"/>
      <w:lvlText w:val=""/>
      <w:lvlJc w:val="left"/>
      <w:pPr>
        <w:tabs>
          <w:tab w:val="num" w:pos="4356"/>
        </w:tabs>
        <w:ind w:left="3789" w:firstLine="0"/>
      </w:pPr>
      <w:rPr>
        <w:rFonts w:hint="default"/>
      </w:rPr>
    </w:lvl>
    <w:lvl w:ilvl="7">
      <w:start w:val="1"/>
      <w:numFmt w:val="bullet"/>
      <w:lvlText w:val=""/>
      <w:lvlJc w:val="left"/>
      <w:pPr>
        <w:tabs>
          <w:tab w:val="num" w:pos="4922"/>
        </w:tabs>
        <w:ind w:left="4356" w:firstLine="0"/>
      </w:pPr>
      <w:rPr>
        <w:rFonts w:hint="default"/>
      </w:rPr>
    </w:lvl>
    <w:lvl w:ilvl="8">
      <w:start w:val="1"/>
      <w:numFmt w:val="bullet"/>
      <w:lvlText w:val=""/>
      <w:lvlJc w:val="left"/>
      <w:pPr>
        <w:tabs>
          <w:tab w:val="num" w:pos="5489"/>
        </w:tabs>
        <w:ind w:left="4922" w:firstLine="0"/>
      </w:pPr>
      <w:rPr>
        <w:rFonts w:hint="default"/>
      </w:rPr>
    </w:lvl>
  </w:abstractNum>
  <w:abstractNum w:abstractNumId="12">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12"/>
  </w:num>
  <w:num w:numId="8">
    <w:abstractNumId w:val="10"/>
  </w:num>
  <w:num w:numId="9">
    <w:abstractNumId w:val="8"/>
  </w:num>
  <w:num w:numId="10">
    <w:abstractNumId w:val="11"/>
  </w:num>
  <w:num w:numId="11">
    <w:abstractNumId w:val="9"/>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4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4B"/>
    <w:rsid w:val="00043CAA"/>
    <w:rsid w:val="00044D72"/>
    <w:rsid w:val="00075432"/>
    <w:rsid w:val="000927C7"/>
    <w:rsid w:val="00092EB2"/>
    <w:rsid w:val="000968ED"/>
    <w:rsid w:val="000D1D45"/>
    <w:rsid w:val="000D7883"/>
    <w:rsid w:val="000F5E56"/>
    <w:rsid w:val="00107671"/>
    <w:rsid w:val="0013563E"/>
    <w:rsid w:val="001362EE"/>
    <w:rsid w:val="001647D5"/>
    <w:rsid w:val="001832A6"/>
    <w:rsid w:val="00183F64"/>
    <w:rsid w:val="0019157F"/>
    <w:rsid w:val="00194D5C"/>
    <w:rsid w:val="001C0DC7"/>
    <w:rsid w:val="001E551E"/>
    <w:rsid w:val="0021217E"/>
    <w:rsid w:val="002634C4"/>
    <w:rsid w:val="00265989"/>
    <w:rsid w:val="00267823"/>
    <w:rsid w:val="002928D3"/>
    <w:rsid w:val="002A77FE"/>
    <w:rsid w:val="002B1B00"/>
    <w:rsid w:val="002F1FE6"/>
    <w:rsid w:val="002F4E68"/>
    <w:rsid w:val="0030760A"/>
    <w:rsid w:val="00312F7F"/>
    <w:rsid w:val="00320254"/>
    <w:rsid w:val="00361450"/>
    <w:rsid w:val="003673CF"/>
    <w:rsid w:val="003845C1"/>
    <w:rsid w:val="003A48D3"/>
    <w:rsid w:val="003A6F89"/>
    <w:rsid w:val="003B38C1"/>
    <w:rsid w:val="003E5564"/>
    <w:rsid w:val="003F0FF3"/>
    <w:rsid w:val="00415CEB"/>
    <w:rsid w:val="00423E3E"/>
    <w:rsid w:val="00427AF4"/>
    <w:rsid w:val="00441587"/>
    <w:rsid w:val="004647DA"/>
    <w:rsid w:val="0047077D"/>
    <w:rsid w:val="00474062"/>
    <w:rsid w:val="00474CE0"/>
    <w:rsid w:val="00477D6B"/>
    <w:rsid w:val="004C2399"/>
    <w:rsid w:val="005019FF"/>
    <w:rsid w:val="0053057A"/>
    <w:rsid w:val="00544D82"/>
    <w:rsid w:val="00546CF8"/>
    <w:rsid w:val="00560A29"/>
    <w:rsid w:val="00577BCE"/>
    <w:rsid w:val="005A0926"/>
    <w:rsid w:val="005B7CD4"/>
    <w:rsid w:val="005C6649"/>
    <w:rsid w:val="005D21F7"/>
    <w:rsid w:val="005D38CF"/>
    <w:rsid w:val="00605827"/>
    <w:rsid w:val="00633C4B"/>
    <w:rsid w:val="00646050"/>
    <w:rsid w:val="00647864"/>
    <w:rsid w:val="006713CA"/>
    <w:rsid w:val="00676C5C"/>
    <w:rsid w:val="006A6DBF"/>
    <w:rsid w:val="006B28D6"/>
    <w:rsid w:val="0071489B"/>
    <w:rsid w:val="00720BB3"/>
    <w:rsid w:val="00795457"/>
    <w:rsid w:val="007B248F"/>
    <w:rsid w:val="007D1613"/>
    <w:rsid w:val="007E4C0E"/>
    <w:rsid w:val="007E57CF"/>
    <w:rsid w:val="00873658"/>
    <w:rsid w:val="008B2CC1"/>
    <w:rsid w:val="008B60B2"/>
    <w:rsid w:val="008B66FE"/>
    <w:rsid w:val="008E7E4A"/>
    <w:rsid w:val="0090731E"/>
    <w:rsid w:val="00916EE2"/>
    <w:rsid w:val="00956BAB"/>
    <w:rsid w:val="00966A22"/>
    <w:rsid w:val="0096722F"/>
    <w:rsid w:val="00980843"/>
    <w:rsid w:val="009C7861"/>
    <w:rsid w:val="009E2791"/>
    <w:rsid w:val="009E3F6F"/>
    <w:rsid w:val="009F499F"/>
    <w:rsid w:val="00A01BCA"/>
    <w:rsid w:val="00A407D1"/>
    <w:rsid w:val="00A42DAF"/>
    <w:rsid w:val="00A45BD8"/>
    <w:rsid w:val="00A51B51"/>
    <w:rsid w:val="00A869B7"/>
    <w:rsid w:val="00A962A0"/>
    <w:rsid w:val="00AA1E3C"/>
    <w:rsid w:val="00AB5F7D"/>
    <w:rsid w:val="00AC205C"/>
    <w:rsid w:val="00AF0A6B"/>
    <w:rsid w:val="00AF7760"/>
    <w:rsid w:val="00B05A69"/>
    <w:rsid w:val="00B13D9D"/>
    <w:rsid w:val="00B26489"/>
    <w:rsid w:val="00B452F1"/>
    <w:rsid w:val="00B53D75"/>
    <w:rsid w:val="00B6246A"/>
    <w:rsid w:val="00B673CC"/>
    <w:rsid w:val="00B82B25"/>
    <w:rsid w:val="00B84E62"/>
    <w:rsid w:val="00B90912"/>
    <w:rsid w:val="00B9734B"/>
    <w:rsid w:val="00BA30E2"/>
    <w:rsid w:val="00BA74B0"/>
    <w:rsid w:val="00C11BFE"/>
    <w:rsid w:val="00C31D84"/>
    <w:rsid w:val="00C5068F"/>
    <w:rsid w:val="00C86D74"/>
    <w:rsid w:val="00CD04F1"/>
    <w:rsid w:val="00D168F7"/>
    <w:rsid w:val="00D31FF1"/>
    <w:rsid w:val="00D45252"/>
    <w:rsid w:val="00D71B4D"/>
    <w:rsid w:val="00D93D55"/>
    <w:rsid w:val="00DA4C32"/>
    <w:rsid w:val="00DE65CD"/>
    <w:rsid w:val="00E15015"/>
    <w:rsid w:val="00E335FE"/>
    <w:rsid w:val="00EA49B1"/>
    <w:rsid w:val="00EC090B"/>
    <w:rsid w:val="00EC4E49"/>
    <w:rsid w:val="00ED29C6"/>
    <w:rsid w:val="00ED77FB"/>
    <w:rsid w:val="00EE45FA"/>
    <w:rsid w:val="00F073A5"/>
    <w:rsid w:val="00F66152"/>
    <w:rsid w:val="00F822CF"/>
    <w:rsid w:val="00F97571"/>
    <w:rsid w:val="00FA000E"/>
    <w:rsid w:val="00FA6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33C4B"/>
    <w:rPr>
      <w:rFonts w:ascii="Tahoma" w:hAnsi="Tahoma" w:cs="Tahoma"/>
      <w:sz w:val="16"/>
      <w:szCs w:val="16"/>
    </w:rPr>
  </w:style>
  <w:style w:type="character" w:customStyle="1" w:styleId="BalloonTextChar">
    <w:name w:val="Balloon Text Char"/>
    <w:basedOn w:val="DefaultParagraphFont"/>
    <w:link w:val="BalloonText"/>
    <w:rsid w:val="00633C4B"/>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B6246A"/>
    <w:rPr>
      <w:rFonts w:ascii="Arial" w:eastAsia="SimSun" w:hAnsi="Arial" w:cs="Arial"/>
      <w:sz w:val="22"/>
      <w:lang w:eastAsia="zh-CN"/>
    </w:rPr>
  </w:style>
  <w:style w:type="paragraph" w:styleId="TOC1">
    <w:name w:val="toc 1"/>
    <w:basedOn w:val="Normal"/>
    <w:next w:val="Normal"/>
    <w:autoRedefine/>
    <w:uiPriority w:val="39"/>
    <w:rsid w:val="00D31FF1"/>
    <w:pPr>
      <w:spacing w:after="100"/>
    </w:pPr>
  </w:style>
  <w:style w:type="paragraph" w:styleId="TOC2">
    <w:name w:val="toc 2"/>
    <w:basedOn w:val="Normal"/>
    <w:next w:val="Normal"/>
    <w:autoRedefine/>
    <w:uiPriority w:val="39"/>
    <w:rsid w:val="00D31FF1"/>
    <w:pPr>
      <w:spacing w:after="100"/>
      <w:ind w:left="220"/>
    </w:pPr>
  </w:style>
  <w:style w:type="character" w:styleId="Hyperlink">
    <w:name w:val="Hyperlink"/>
    <w:basedOn w:val="DefaultParagraphFont"/>
    <w:uiPriority w:val="99"/>
    <w:unhideWhenUsed/>
    <w:rsid w:val="00D31F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33C4B"/>
    <w:rPr>
      <w:rFonts w:ascii="Tahoma" w:hAnsi="Tahoma" w:cs="Tahoma"/>
      <w:sz w:val="16"/>
      <w:szCs w:val="16"/>
    </w:rPr>
  </w:style>
  <w:style w:type="character" w:customStyle="1" w:styleId="BalloonTextChar">
    <w:name w:val="Balloon Text Char"/>
    <w:basedOn w:val="DefaultParagraphFont"/>
    <w:link w:val="BalloonText"/>
    <w:rsid w:val="00633C4B"/>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B6246A"/>
    <w:rPr>
      <w:rFonts w:ascii="Arial" w:eastAsia="SimSun" w:hAnsi="Arial" w:cs="Arial"/>
      <w:sz w:val="22"/>
      <w:lang w:eastAsia="zh-CN"/>
    </w:rPr>
  </w:style>
  <w:style w:type="paragraph" w:styleId="TOC1">
    <w:name w:val="toc 1"/>
    <w:basedOn w:val="Normal"/>
    <w:next w:val="Normal"/>
    <w:autoRedefine/>
    <w:uiPriority w:val="39"/>
    <w:rsid w:val="00D31FF1"/>
    <w:pPr>
      <w:spacing w:after="100"/>
    </w:pPr>
  </w:style>
  <w:style w:type="paragraph" w:styleId="TOC2">
    <w:name w:val="toc 2"/>
    <w:basedOn w:val="Normal"/>
    <w:next w:val="Normal"/>
    <w:autoRedefine/>
    <w:uiPriority w:val="39"/>
    <w:rsid w:val="00D31FF1"/>
    <w:pPr>
      <w:spacing w:after="100"/>
      <w:ind w:left="220"/>
    </w:pPr>
  </w:style>
  <w:style w:type="character" w:styleId="Hyperlink">
    <w:name w:val="Hyperlink"/>
    <w:basedOn w:val="DefaultParagraphFont"/>
    <w:uiPriority w:val="99"/>
    <w:unhideWhenUsed/>
    <w:rsid w:val="00D31F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77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export/sites/www/cws/en/circulars/2016/cws-075.pdf"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E269C-7216-43A9-9CA2-FB24B0B0B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863</Words>
  <Characters>417</Characters>
  <Application>Microsoft Office Word</Application>
  <DocSecurity>0</DocSecurity>
  <Lines>9</Lines>
  <Paragraphs>10</Paragraphs>
  <ScaleCrop>false</ScaleCrop>
  <HeadingPairs>
    <vt:vector size="2" baseType="variant">
      <vt:variant>
        <vt:lpstr>Title</vt:lpstr>
      </vt:variant>
      <vt:variant>
        <vt:i4>1</vt:i4>
      </vt:variant>
    </vt:vector>
  </HeadingPairs>
  <TitlesOfParts>
    <vt:vector size="1" baseType="lpstr">
      <vt:lpstr>CWS/5/7 (in Chinese)</vt:lpstr>
    </vt:vector>
  </TitlesOfParts>
  <Company>WIPO</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CWS/5/7 Rev.1 (in Chinese)</dc:title>
  <dc:subject>Recommendations for the Transition Provision from WIPO Standard ST.25 to ST.26</dc:subject>
  <dc:creator>WIPO</dc:creator>
  <cp:keywords>CWS</cp:keywords>
  <cp:lastModifiedBy>ZAGO Bétina</cp:lastModifiedBy>
  <cp:revision>4</cp:revision>
  <cp:lastPrinted>2017-04-28T17:00:00Z</cp:lastPrinted>
  <dcterms:created xsi:type="dcterms:W3CDTF">2017-05-08T13:17:00Z</dcterms:created>
  <dcterms:modified xsi:type="dcterms:W3CDTF">2017-05-08T13:20:00Z</dcterms:modified>
</cp:coreProperties>
</file>