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BE4127">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E4127" w:rsidP="00916EE2">
            <w:r w:rsidRPr="009E5558">
              <w:rPr>
                <w:noProof/>
                <w:lang w:eastAsia="en-US"/>
              </w:rPr>
              <w:drawing>
                <wp:inline distT="0" distB="0" distL="0" distR="0" wp14:anchorId="7CE1A1C3" wp14:editId="7707C014">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BE4127" w:rsidP="00916EE2">
            <w:pPr>
              <w:jc w:val="right"/>
            </w:pPr>
            <w:r w:rsidRPr="009E5558">
              <w:rPr>
                <w:b/>
                <w:sz w:val="40"/>
                <w:szCs w:val="40"/>
                <w:lang w:val="fr-FR"/>
              </w:rPr>
              <w:t>F</w:t>
            </w:r>
          </w:p>
        </w:tc>
      </w:tr>
      <w:tr w:rsidR="00BE4127" w:rsidRPr="009E5558" w:rsidTr="00EB2394">
        <w:trPr>
          <w:trHeight w:hRule="exact" w:val="340"/>
        </w:trPr>
        <w:tc>
          <w:tcPr>
            <w:tcW w:w="9356" w:type="dxa"/>
            <w:gridSpan w:val="3"/>
            <w:tcBorders>
              <w:top w:val="single" w:sz="4" w:space="0" w:color="auto"/>
            </w:tcBorders>
            <w:tcMar>
              <w:top w:w="170" w:type="dxa"/>
              <w:left w:w="0" w:type="dxa"/>
              <w:right w:w="0" w:type="dxa"/>
            </w:tcMar>
            <w:vAlign w:val="bottom"/>
          </w:tcPr>
          <w:p w:rsidR="00BE4127" w:rsidRPr="009E5558" w:rsidRDefault="00BE4127" w:rsidP="00EB2394">
            <w:pPr>
              <w:jc w:val="right"/>
              <w:rPr>
                <w:rFonts w:ascii="Arial Black" w:hAnsi="Arial Black"/>
                <w:caps/>
                <w:sz w:val="15"/>
                <w:lang w:val="fr-FR"/>
              </w:rPr>
            </w:pPr>
            <w:r w:rsidRPr="009E5558">
              <w:rPr>
                <w:rFonts w:ascii="Arial Black" w:hAnsi="Arial Black"/>
                <w:caps/>
                <w:sz w:val="15"/>
                <w:lang w:val="fr-FR"/>
              </w:rPr>
              <w:t>LI/DC/</w:t>
            </w:r>
            <w:bookmarkStart w:id="1" w:name="Code"/>
            <w:bookmarkEnd w:id="1"/>
            <w:r w:rsidRPr="00BE4127">
              <w:rPr>
                <w:rFonts w:ascii="Arial Black" w:hAnsi="Arial Black"/>
                <w:caps/>
                <w:sz w:val="15"/>
                <w:lang w:val="fr-FR"/>
              </w:rPr>
              <w:t>12</w:t>
            </w:r>
            <w:r w:rsidRPr="009E5558">
              <w:rPr>
                <w:rFonts w:ascii="Arial Black" w:hAnsi="Arial Black"/>
                <w:caps/>
                <w:sz w:val="15"/>
                <w:lang w:val="fr-FR"/>
              </w:rPr>
              <w:t xml:space="preserve"> </w:t>
            </w:r>
          </w:p>
        </w:tc>
      </w:tr>
      <w:tr w:rsidR="00BE4127" w:rsidRPr="009E5558" w:rsidTr="00EB2394">
        <w:trPr>
          <w:trHeight w:hRule="exact" w:val="170"/>
        </w:trPr>
        <w:tc>
          <w:tcPr>
            <w:tcW w:w="9356" w:type="dxa"/>
            <w:gridSpan w:val="3"/>
            <w:noWrap/>
            <w:tcMar>
              <w:left w:w="0" w:type="dxa"/>
              <w:right w:w="0" w:type="dxa"/>
            </w:tcMar>
            <w:vAlign w:val="bottom"/>
          </w:tcPr>
          <w:p w:rsidR="00BE4127" w:rsidRPr="009E5558" w:rsidRDefault="00BE4127" w:rsidP="00EB2394">
            <w:pPr>
              <w:jc w:val="right"/>
              <w:rPr>
                <w:rFonts w:ascii="Arial Black" w:hAnsi="Arial Black"/>
                <w:caps/>
                <w:sz w:val="15"/>
                <w:lang w:val="fr-FR"/>
              </w:rPr>
            </w:pPr>
            <w:r w:rsidRPr="009E5558">
              <w:rPr>
                <w:rFonts w:ascii="Arial Black" w:hAnsi="Arial Black"/>
                <w:caps/>
                <w:sz w:val="15"/>
                <w:lang w:val="fr-FR"/>
              </w:rPr>
              <w:t xml:space="preserve">ORIGINAL : anglais </w:t>
            </w:r>
            <w:bookmarkStart w:id="2" w:name="Original"/>
            <w:bookmarkEnd w:id="2"/>
          </w:p>
        </w:tc>
      </w:tr>
      <w:tr w:rsidR="00BE4127" w:rsidRPr="00BE4127" w:rsidTr="00EB2394">
        <w:trPr>
          <w:trHeight w:hRule="exact" w:val="198"/>
        </w:trPr>
        <w:tc>
          <w:tcPr>
            <w:tcW w:w="9356" w:type="dxa"/>
            <w:gridSpan w:val="3"/>
            <w:tcMar>
              <w:left w:w="0" w:type="dxa"/>
              <w:right w:w="0" w:type="dxa"/>
            </w:tcMar>
            <w:vAlign w:val="bottom"/>
          </w:tcPr>
          <w:p w:rsidR="00BE4127" w:rsidRPr="00BE4127" w:rsidRDefault="00BE4127" w:rsidP="00EB2394">
            <w:pPr>
              <w:jc w:val="right"/>
              <w:rPr>
                <w:rFonts w:ascii="Arial Black" w:hAnsi="Arial Black"/>
                <w:caps/>
                <w:sz w:val="15"/>
                <w:lang w:val="fr-FR"/>
              </w:rPr>
            </w:pPr>
            <w:r w:rsidRPr="00BE4127">
              <w:rPr>
                <w:rFonts w:ascii="Arial Black" w:hAnsi="Arial Black"/>
                <w:caps/>
                <w:sz w:val="15"/>
                <w:lang w:val="fr-FR"/>
              </w:rPr>
              <w:t>DATE : 18 </w:t>
            </w:r>
            <w:bookmarkStart w:id="3" w:name="Date"/>
            <w:bookmarkEnd w:id="3"/>
            <w:r w:rsidRPr="00BE4127">
              <w:rPr>
                <w:rFonts w:ascii="Arial Black" w:hAnsi="Arial Black"/>
                <w:caps/>
                <w:sz w:val="15"/>
                <w:lang w:val="fr-FR"/>
              </w:rPr>
              <w:t>mai 2015</w:t>
            </w:r>
          </w:p>
        </w:tc>
      </w:tr>
    </w:tbl>
    <w:p w:rsidR="00BE4127" w:rsidRPr="009E5558" w:rsidRDefault="00BE4127" w:rsidP="00BE4127">
      <w:pPr>
        <w:rPr>
          <w:lang w:val="fr-FR"/>
        </w:rPr>
      </w:pPr>
    </w:p>
    <w:p w:rsidR="00BE4127" w:rsidRPr="009E5558" w:rsidRDefault="00BE4127" w:rsidP="00BE4127">
      <w:pPr>
        <w:rPr>
          <w:lang w:val="fr-FR"/>
        </w:rPr>
      </w:pPr>
    </w:p>
    <w:p w:rsidR="00BE4127" w:rsidRPr="009E5558" w:rsidRDefault="00BE4127" w:rsidP="00BE4127">
      <w:pPr>
        <w:rPr>
          <w:lang w:val="fr-FR"/>
        </w:rPr>
      </w:pPr>
    </w:p>
    <w:p w:rsidR="00BE4127" w:rsidRPr="009E5558" w:rsidRDefault="00BE4127" w:rsidP="00BE4127">
      <w:pPr>
        <w:rPr>
          <w:lang w:val="fr-FR"/>
        </w:rPr>
      </w:pPr>
    </w:p>
    <w:p w:rsidR="00BE4127" w:rsidRPr="009E5558" w:rsidRDefault="00BE4127" w:rsidP="00BE4127">
      <w:pPr>
        <w:rPr>
          <w:lang w:val="fr-FR"/>
        </w:rPr>
      </w:pPr>
    </w:p>
    <w:p w:rsidR="00BE4127" w:rsidRPr="009E5558" w:rsidRDefault="00BE4127" w:rsidP="00BE4127">
      <w:pPr>
        <w:rPr>
          <w:b/>
          <w:bCs/>
          <w:sz w:val="28"/>
          <w:szCs w:val="28"/>
          <w:lang w:val="fr-FR"/>
        </w:rPr>
      </w:pPr>
      <w:r w:rsidRPr="009E5558">
        <w:rPr>
          <w:b/>
          <w:sz w:val="28"/>
          <w:szCs w:val="28"/>
          <w:lang w:val="fr-FR"/>
        </w:rPr>
        <w:t>Conférence diplomatique pour l</w:t>
      </w:r>
      <w:r>
        <w:rPr>
          <w:b/>
          <w:sz w:val="28"/>
          <w:szCs w:val="28"/>
          <w:lang w:val="fr-FR"/>
        </w:rPr>
        <w:t>’</w:t>
      </w:r>
      <w:r w:rsidRPr="009E5558">
        <w:rPr>
          <w:b/>
          <w:sz w:val="28"/>
          <w:szCs w:val="28"/>
          <w:lang w:val="fr-FR"/>
        </w:rPr>
        <w:t>adoption d</w:t>
      </w:r>
      <w:r>
        <w:rPr>
          <w:b/>
          <w:sz w:val="28"/>
          <w:szCs w:val="28"/>
          <w:lang w:val="fr-FR"/>
        </w:rPr>
        <w:t>’</w:t>
      </w:r>
      <w:r w:rsidRPr="009E5558">
        <w:rPr>
          <w:b/>
          <w:sz w:val="28"/>
          <w:szCs w:val="28"/>
          <w:lang w:val="fr-FR"/>
        </w:rPr>
        <w:t xml:space="preserve">un nouvel Acte </w:t>
      </w:r>
      <w:r w:rsidRPr="009E5558">
        <w:rPr>
          <w:b/>
          <w:sz w:val="28"/>
          <w:szCs w:val="28"/>
          <w:lang w:val="fr-FR"/>
        </w:rPr>
        <w:br/>
        <w:t>de l</w:t>
      </w:r>
      <w:r>
        <w:rPr>
          <w:b/>
          <w:sz w:val="28"/>
          <w:szCs w:val="28"/>
          <w:lang w:val="fr-FR"/>
        </w:rPr>
        <w:t>’</w:t>
      </w:r>
      <w:r w:rsidRPr="009E5558">
        <w:rPr>
          <w:b/>
          <w:sz w:val="28"/>
          <w:szCs w:val="28"/>
          <w:lang w:val="fr-FR"/>
        </w:rPr>
        <w:t xml:space="preserve">Arrangement de Lisbonne concernant la protection </w:t>
      </w:r>
      <w:r w:rsidRPr="009E5558">
        <w:rPr>
          <w:b/>
          <w:sz w:val="28"/>
          <w:szCs w:val="28"/>
          <w:lang w:val="fr-FR"/>
        </w:rPr>
        <w:br/>
        <w:t>des appellations d</w:t>
      </w:r>
      <w:r>
        <w:rPr>
          <w:b/>
          <w:sz w:val="28"/>
          <w:szCs w:val="28"/>
          <w:lang w:val="fr-FR"/>
        </w:rPr>
        <w:t>’</w:t>
      </w:r>
      <w:r w:rsidRPr="009E5558">
        <w:rPr>
          <w:b/>
          <w:sz w:val="28"/>
          <w:szCs w:val="28"/>
          <w:lang w:val="fr-FR"/>
        </w:rPr>
        <w:t>origine et leur enregistrement international</w:t>
      </w:r>
    </w:p>
    <w:p w:rsidR="00BE4127" w:rsidRPr="009E5558" w:rsidRDefault="00BE4127" w:rsidP="00BE4127">
      <w:pPr>
        <w:rPr>
          <w:bCs/>
          <w:lang w:val="fr-FR"/>
        </w:rPr>
      </w:pPr>
    </w:p>
    <w:p w:rsidR="00BE4127" w:rsidRPr="009E5558" w:rsidRDefault="00BE4127" w:rsidP="00BE4127">
      <w:pPr>
        <w:rPr>
          <w:bCs/>
          <w:lang w:val="fr-FR"/>
        </w:rPr>
      </w:pPr>
    </w:p>
    <w:p w:rsidR="00BE4127" w:rsidRPr="009E5558" w:rsidRDefault="00BE4127" w:rsidP="00BE4127">
      <w:pPr>
        <w:rPr>
          <w:b/>
          <w:bCs/>
          <w:sz w:val="24"/>
          <w:szCs w:val="24"/>
          <w:lang w:val="fr-FR"/>
        </w:rPr>
      </w:pPr>
      <w:r w:rsidRPr="009E5558">
        <w:rPr>
          <w:b/>
          <w:bCs/>
          <w:sz w:val="24"/>
          <w:szCs w:val="24"/>
          <w:lang w:val="fr-FR"/>
        </w:rPr>
        <w:t>Genève, 11 – 21 mai 2015</w:t>
      </w:r>
    </w:p>
    <w:p w:rsidR="00DC5418" w:rsidRDefault="00DC5418" w:rsidP="008B2CC1"/>
    <w:p w:rsidR="00DC5418" w:rsidRDefault="00DC5418" w:rsidP="008B2CC1"/>
    <w:p w:rsidR="00DC5418" w:rsidRDefault="00DC5418" w:rsidP="008B2CC1"/>
    <w:p w:rsidR="00DC5418" w:rsidRPr="00BE4127" w:rsidRDefault="00FA7945" w:rsidP="00FA7945">
      <w:pPr>
        <w:rPr>
          <w:caps/>
          <w:sz w:val="24"/>
          <w:lang w:val="fr-FR"/>
        </w:rPr>
      </w:pPr>
      <w:bookmarkStart w:id="4" w:name="TitleOfDoc"/>
      <w:bookmarkEnd w:id="4"/>
      <w:r w:rsidRPr="00BE4127">
        <w:rPr>
          <w:caps/>
          <w:sz w:val="24"/>
          <w:lang w:val="fr-FR"/>
        </w:rPr>
        <w:t>deuxième RAPPORT DE LA COMMISSION DE VÉriFICATION DES POUVOIRS</w:t>
      </w:r>
    </w:p>
    <w:p w:rsidR="00DC5418" w:rsidRPr="00BE4127" w:rsidRDefault="00DC5418" w:rsidP="008B2CC1">
      <w:pPr>
        <w:rPr>
          <w:lang w:val="fr-FR"/>
        </w:rPr>
      </w:pPr>
    </w:p>
    <w:p w:rsidR="00DC5418" w:rsidRPr="00BE4127" w:rsidRDefault="00FA7945" w:rsidP="00FA7945">
      <w:pPr>
        <w:rPr>
          <w:i/>
          <w:lang w:val="fr-FR"/>
        </w:rPr>
      </w:pPr>
      <w:bookmarkStart w:id="5" w:name="Prepared"/>
      <w:bookmarkEnd w:id="5"/>
      <w:r w:rsidRPr="00BE4127">
        <w:rPr>
          <w:i/>
          <w:lang w:val="fr-FR"/>
        </w:rPr>
        <w:t>établi par le Secrétariat</w:t>
      </w:r>
    </w:p>
    <w:p w:rsidR="00DC5418" w:rsidRPr="00BE4127" w:rsidRDefault="00DC5418">
      <w:pPr>
        <w:rPr>
          <w:lang w:val="fr-FR"/>
        </w:rPr>
      </w:pPr>
    </w:p>
    <w:p w:rsidR="00DC5418" w:rsidRPr="00BE4127" w:rsidRDefault="00DC5418">
      <w:pPr>
        <w:rPr>
          <w:lang w:val="fr-FR"/>
        </w:rPr>
      </w:pPr>
    </w:p>
    <w:p w:rsidR="00DC5418" w:rsidRPr="00BE4127" w:rsidRDefault="00DC5418">
      <w:pPr>
        <w:rPr>
          <w:lang w:val="fr-FR"/>
        </w:rPr>
      </w:pPr>
    </w:p>
    <w:p w:rsidR="00DC5418" w:rsidRPr="00BE4127" w:rsidRDefault="00DC5418" w:rsidP="0053057A">
      <w:pPr>
        <w:rPr>
          <w:lang w:val="fr-FR"/>
        </w:rPr>
      </w:pPr>
    </w:p>
    <w:p w:rsidR="00DC5418" w:rsidRPr="00BE4127" w:rsidRDefault="00E214AC" w:rsidP="00FA7945">
      <w:pPr>
        <w:rPr>
          <w:lang w:val="fr-FR"/>
        </w:rPr>
      </w:pPr>
      <w:r w:rsidRPr="00BE4127">
        <w:rPr>
          <w:lang w:val="fr-FR"/>
        </w:rPr>
        <w:fldChar w:fldCharType="begin"/>
      </w:r>
      <w:r w:rsidRPr="00BE4127">
        <w:rPr>
          <w:lang w:val="fr-FR"/>
        </w:rPr>
        <w:instrText xml:space="preserve"> AUTONUM </w:instrText>
      </w:r>
      <w:r w:rsidRPr="00BE4127">
        <w:rPr>
          <w:lang w:val="fr-FR"/>
        </w:rPr>
        <w:fldChar w:fldCharType="end"/>
      </w:r>
      <w:r w:rsidRPr="00BE4127">
        <w:rPr>
          <w:lang w:val="fr-FR"/>
        </w:rPr>
        <w:tab/>
      </w:r>
      <w:r w:rsidR="00FA7945" w:rsidRPr="00BE4127">
        <w:rPr>
          <w:lang w:val="fr-FR"/>
        </w:rPr>
        <w:t xml:space="preserve">La Commission de vérification des pouvoirs (ci-après dénommée </w:t>
      </w:r>
      <w:r w:rsidR="00BE4127">
        <w:rPr>
          <w:lang w:val="fr-FR"/>
        </w:rPr>
        <w:t>“</w:t>
      </w:r>
      <w:r w:rsidR="00FA7945" w:rsidRPr="00BE4127">
        <w:rPr>
          <w:lang w:val="fr-FR"/>
        </w:rPr>
        <w:t>commission</w:t>
      </w:r>
      <w:r w:rsidR="00BE4127">
        <w:rPr>
          <w:lang w:val="fr-FR"/>
        </w:rPr>
        <w:t>”</w:t>
      </w:r>
      <w:r w:rsidR="00FA7945" w:rsidRPr="00BE4127">
        <w:rPr>
          <w:lang w:val="fr-FR"/>
        </w:rPr>
        <w:t>), instituée le 12 mai 2015 par la Conférence diplomatique pour l</w:t>
      </w:r>
      <w:r w:rsidR="00BE4127">
        <w:rPr>
          <w:lang w:val="fr-FR"/>
        </w:rPr>
        <w:t>’</w:t>
      </w:r>
      <w:r w:rsidR="00FA7945" w:rsidRPr="00BE4127">
        <w:rPr>
          <w:lang w:val="fr-FR"/>
        </w:rPr>
        <w:t>adoption d</w:t>
      </w:r>
      <w:r w:rsidR="00BE4127">
        <w:rPr>
          <w:lang w:val="fr-FR"/>
        </w:rPr>
        <w:t>’</w:t>
      </w:r>
      <w:r w:rsidR="00FA7945" w:rsidRPr="00BE4127">
        <w:rPr>
          <w:lang w:val="fr-FR"/>
        </w:rPr>
        <w:t>un nouvel Acte de l</w:t>
      </w:r>
      <w:r w:rsidR="00BE4127">
        <w:rPr>
          <w:lang w:val="fr-FR"/>
        </w:rPr>
        <w:t>’</w:t>
      </w:r>
      <w:r w:rsidR="00FA7945" w:rsidRPr="00BE4127">
        <w:rPr>
          <w:lang w:val="fr-FR"/>
        </w:rPr>
        <w:t>Arrangement de Lisbonne concernant la protection des appellations d</w:t>
      </w:r>
      <w:r w:rsidR="00BE4127">
        <w:rPr>
          <w:lang w:val="fr-FR"/>
        </w:rPr>
        <w:t>’</w:t>
      </w:r>
      <w:r w:rsidR="00FA7945" w:rsidRPr="00BE4127">
        <w:rPr>
          <w:lang w:val="fr-FR"/>
        </w:rPr>
        <w:t>origine et leur enregistrement international, s</w:t>
      </w:r>
      <w:r w:rsidR="00BE4127">
        <w:rPr>
          <w:lang w:val="fr-FR"/>
        </w:rPr>
        <w:t>’</w:t>
      </w:r>
      <w:r w:rsidR="00FA7945" w:rsidRPr="00BE4127">
        <w:rPr>
          <w:lang w:val="fr-FR"/>
        </w:rPr>
        <w:t>est réunie pour la deuxième fois le 15 mai 2015.</w:t>
      </w:r>
    </w:p>
    <w:p w:rsidR="00DC5418" w:rsidRPr="00BE4127" w:rsidRDefault="00DC5418" w:rsidP="00E214AC">
      <w:pPr>
        <w:spacing w:line="360" w:lineRule="auto"/>
        <w:rPr>
          <w:lang w:val="fr-FR"/>
        </w:rPr>
      </w:pPr>
    </w:p>
    <w:p w:rsidR="00DC5418" w:rsidRPr="00BE4127" w:rsidRDefault="00E214AC" w:rsidP="00FA7945">
      <w:pPr>
        <w:rPr>
          <w:b/>
          <w:lang w:val="fr-FR"/>
        </w:rPr>
      </w:pPr>
      <w:r w:rsidRPr="00BE4127">
        <w:rPr>
          <w:lang w:val="fr-FR"/>
        </w:rPr>
        <w:fldChar w:fldCharType="begin"/>
      </w:r>
      <w:r w:rsidRPr="00BE4127">
        <w:rPr>
          <w:lang w:val="fr-FR"/>
        </w:rPr>
        <w:instrText xml:space="preserve"> AUTONUM </w:instrText>
      </w:r>
      <w:r w:rsidRPr="00BE4127">
        <w:rPr>
          <w:lang w:val="fr-FR"/>
        </w:rPr>
        <w:fldChar w:fldCharType="end"/>
      </w:r>
      <w:r w:rsidRPr="00BE4127">
        <w:rPr>
          <w:lang w:val="fr-FR"/>
        </w:rPr>
        <w:tab/>
      </w:r>
      <w:r w:rsidR="00FA7945" w:rsidRPr="00BE4127">
        <w:rPr>
          <w:lang w:val="fr-FR"/>
        </w:rPr>
        <w:t>Les délégations des États suivants, élus membres de la commission par la conférence diplomatique, ont pris part à la réunion : Bosnie-Herzégovine, Burkina Faso, Cuba, Géorgie, Nicaragua, Portugal et République tchèque (7).</w:t>
      </w:r>
      <w:r w:rsidRPr="00BE4127">
        <w:rPr>
          <w:lang w:val="fr-FR"/>
        </w:rPr>
        <w:t xml:space="preserve"> </w:t>
      </w:r>
    </w:p>
    <w:p w:rsidR="00DC5418" w:rsidRPr="00BE4127" w:rsidRDefault="00DC5418" w:rsidP="00E214AC">
      <w:pPr>
        <w:spacing w:line="360" w:lineRule="auto"/>
        <w:rPr>
          <w:lang w:val="fr-FR"/>
        </w:rPr>
      </w:pPr>
    </w:p>
    <w:p w:rsidR="00DC5418" w:rsidRPr="00BE4127" w:rsidRDefault="00E214AC" w:rsidP="00C855B8">
      <w:pPr>
        <w:rPr>
          <w:b/>
          <w:lang w:val="fr-FR"/>
        </w:rPr>
      </w:pPr>
      <w:r w:rsidRPr="00BE4127">
        <w:rPr>
          <w:lang w:val="fr-FR"/>
        </w:rPr>
        <w:fldChar w:fldCharType="begin"/>
      </w:r>
      <w:r w:rsidRPr="00BE4127">
        <w:rPr>
          <w:lang w:val="fr-FR"/>
        </w:rPr>
        <w:instrText xml:space="preserve"> AUTONUM </w:instrText>
      </w:r>
      <w:r w:rsidRPr="00BE4127">
        <w:rPr>
          <w:lang w:val="fr-FR"/>
        </w:rPr>
        <w:fldChar w:fldCharType="end"/>
      </w:r>
      <w:r w:rsidRPr="00BE4127">
        <w:rPr>
          <w:lang w:val="fr-FR"/>
        </w:rPr>
        <w:tab/>
      </w:r>
      <w:r w:rsidR="00FA7945" w:rsidRPr="00BE4127">
        <w:rPr>
          <w:lang w:val="fr-FR"/>
        </w:rPr>
        <w:t>Le président de la commission, élu par la conférence diplomatique, était M. Filipe Ramalheira (Portugal).</w:t>
      </w:r>
      <w:r w:rsidRPr="00BE4127">
        <w:rPr>
          <w:lang w:val="fr-FR"/>
        </w:rPr>
        <w:t xml:space="preserve">  </w:t>
      </w:r>
      <w:r w:rsidR="00C855B8" w:rsidRPr="00BE4127">
        <w:rPr>
          <w:lang w:val="fr-FR"/>
        </w:rPr>
        <w:t>Les vice-présidents, élus par la conférence diplomatique, étaient M.</w:t>
      </w:r>
      <w:r w:rsidR="004B61A3">
        <w:rPr>
          <w:lang w:val="fr-FR"/>
        </w:rPr>
        <w:t> </w:t>
      </w:r>
      <w:r w:rsidR="00C855B8" w:rsidRPr="00BE4127">
        <w:rPr>
          <w:lang w:val="fr-FR"/>
        </w:rPr>
        <w:t>Milan Beránek (République tchèque) et Mme Jenny Arana Vizcaya (Nicaragua).</w:t>
      </w:r>
      <w:r w:rsidRPr="00BE4127">
        <w:rPr>
          <w:b/>
          <w:lang w:val="fr-FR"/>
        </w:rPr>
        <w:t xml:space="preserve"> </w:t>
      </w:r>
    </w:p>
    <w:p w:rsidR="00DC5418" w:rsidRPr="00BE4127" w:rsidRDefault="00DC5418" w:rsidP="00E214AC">
      <w:pPr>
        <w:spacing w:line="360" w:lineRule="auto"/>
        <w:rPr>
          <w:lang w:val="fr-FR"/>
        </w:rPr>
      </w:pPr>
    </w:p>
    <w:p w:rsidR="00DC5418" w:rsidRPr="00BE4127" w:rsidRDefault="00E214AC" w:rsidP="00565F2E">
      <w:pPr>
        <w:rPr>
          <w:lang w:val="fr-FR"/>
        </w:rPr>
      </w:pPr>
      <w:r w:rsidRPr="00BE4127">
        <w:rPr>
          <w:lang w:val="fr-FR"/>
        </w:rPr>
        <w:fldChar w:fldCharType="begin"/>
      </w:r>
      <w:r w:rsidRPr="00BE4127">
        <w:rPr>
          <w:lang w:val="fr-FR"/>
        </w:rPr>
        <w:instrText xml:space="preserve"> AUTONUM </w:instrText>
      </w:r>
      <w:r w:rsidRPr="00BE4127">
        <w:rPr>
          <w:lang w:val="fr-FR"/>
        </w:rPr>
        <w:fldChar w:fldCharType="end"/>
      </w:r>
      <w:r w:rsidRPr="00BE4127">
        <w:rPr>
          <w:lang w:val="fr-FR"/>
        </w:rPr>
        <w:tab/>
      </w:r>
      <w:r w:rsidR="00565F2E" w:rsidRPr="00BE4127">
        <w:rPr>
          <w:lang w:val="fr-FR"/>
        </w:rPr>
        <w:t>Conformément à l</w:t>
      </w:r>
      <w:r w:rsidR="00BE4127">
        <w:rPr>
          <w:lang w:val="fr-FR"/>
        </w:rPr>
        <w:t>’</w:t>
      </w:r>
      <w:r w:rsidR="00565F2E" w:rsidRPr="00BE4127">
        <w:rPr>
          <w:lang w:val="fr-FR"/>
        </w:rPr>
        <w:t>article 9.1) du règlement intérieur adopté par la conférence le 11 mai</w:t>
      </w:r>
      <w:r w:rsidR="004B61A3">
        <w:rPr>
          <w:lang w:val="fr-FR"/>
        </w:rPr>
        <w:t> </w:t>
      </w:r>
      <w:r w:rsidR="00565F2E" w:rsidRPr="00BE4127">
        <w:rPr>
          <w:lang w:val="fr-FR"/>
        </w:rPr>
        <w:t xml:space="preserve">2015 (document LI/DC/2 Prov.;  ci-après dénommé </w:t>
      </w:r>
      <w:r w:rsidR="00BE4127">
        <w:rPr>
          <w:lang w:val="fr-FR"/>
        </w:rPr>
        <w:t>“</w:t>
      </w:r>
      <w:r w:rsidR="00565F2E" w:rsidRPr="00BE4127">
        <w:rPr>
          <w:lang w:val="fr-FR"/>
        </w:rPr>
        <w:t>règlement intérieur</w:t>
      </w:r>
      <w:r w:rsidR="00BE4127">
        <w:rPr>
          <w:lang w:val="fr-FR"/>
        </w:rPr>
        <w:t>”</w:t>
      </w:r>
      <w:r w:rsidR="00565F2E" w:rsidRPr="00BE4127">
        <w:rPr>
          <w:lang w:val="fr-FR"/>
        </w:rPr>
        <w:t>), la commission a examiné les lettres de créance et pleins pouvoirs r</w:t>
      </w:r>
      <w:r w:rsidR="004B61A3">
        <w:rPr>
          <w:lang w:val="fr-FR"/>
        </w:rPr>
        <w:t>eçus depuis sa première réunion du</w:t>
      </w:r>
      <w:r w:rsidR="00565F2E" w:rsidRPr="00BE4127">
        <w:rPr>
          <w:lang w:val="fr-FR"/>
        </w:rPr>
        <w:t xml:space="preserve"> 13</w:t>
      </w:r>
      <w:r w:rsidR="004B61A3">
        <w:rPr>
          <w:lang w:val="fr-FR"/>
        </w:rPr>
        <w:t> </w:t>
      </w:r>
      <w:r w:rsidR="00565F2E" w:rsidRPr="00BE4127">
        <w:rPr>
          <w:lang w:val="fr-FR"/>
        </w:rPr>
        <w:t>mai</w:t>
      </w:r>
      <w:r w:rsidR="004B61A3">
        <w:rPr>
          <w:lang w:val="fr-FR"/>
        </w:rPr>
        <w:t> </w:t>
      </w:r>
      <w:r w:rsidR="00565F2E" w:rsidRPr="00BE4127">
        <w:rPr>
          <w:lang w:val="fr-FR"/>
        </w:rPr>
        <w:t>2015, dont le rapport figure dans le document LI/DC/10.</w:t>
      </w:r>
    </w:p>
    <w:p w:rsidR="00DC5418" w:rsidRPr="00BE4127" w:rsidRDefault="00DC5418" w:rsidP="00E214AC">
      <w:pPr>
        <w:rPr>
          <w:lang w:val="fr-FR"/>
        </w:rPr>
      </w:pPr>
    </w:p>
    <w:p w:rsidR="00DC5418" w:rsidRPr="00BE4127" w:rsidRDefault="00DC5418" w:rsidP="00E214AC">
      <w:pPr>
        <w:rPr>
          <w:lang w:val="fr-FR"/>
        </w:rPr>
      </w:pPr>
    </w:p>
    <w:p w:rsidR="00DC5418" w:rsidRPr="00BE4127" w:rsidRDefault="00DC5418" w:rsidP="00E214AC">
      <w:pPr>
        <w:rPr>
          <w:lang w:val="fr-FR"/>
        </w:rPr>
      </w:pPr>
    </w:p>
    <w:p w:rsidR="00DC5418" w:rsidRPr="00BE4127" w:rsidRDefault="00DC5418" w:rsidP="00E214AC">
      <w:pPr>
        <w:rPr>
          <w:lang w:val="fr-FR"/>
        </w:rPr>
      </w:pPr>
    </w:p>
    <w:p w:rsidR="00DC5418" w:rsidRPr="00BE4127" w:rsidRDefault="00DC5418" w:rsidP="00E214AC">
      <w:pPr>
        <w:rPr>
          <w:lang w:val="fr-FR"/>
        </w:rPr>
      </w:pPr>
    </w:p>
    <w:p w:rsidR="00DC5418" w:rsidRPr="00BE4127" w:rsidRDefault="00C540D9" w:rsidP="00565F2E">
      <w:pPr>
        <w:rPr>
          <w:lang w:val="fr-FR"/>
        </w:rPr>
      </w:pPr>
      <w:r w:rsidRPr="00BE4127">
        <w:rPr>
          <w:lang w:val="fr-FR"/>
        </w:rPr>
        <w:lastRenderedPageBreak/>
        <w:fldChar w:fldCharType="begin"/>
      </w:r>
      <w:r w:rsidRPr="00BE4127">
        <w:rPr>
          <w:lang w:val="fr-FR"/>
        </w:rPr>
        <w:instrText xml:space="preserve"> AUTONUM </w:instrText>
      </w:r>
      <w:r w:rsidRPr="00BE4127">
        <w:rPr>
          <w:lang w:val="fr-FR"/>
        </w:rPr>
        <w:fldChar w:fldCharType="end"/>
      </w:r>
      <w:r w:rsidRPr="00BE4127">
        <w:rPr>
          <w:lang w:val="fr-FR"/>
        </w:rPr>
        <w:tab/>
      </w:r>
      <w:r w:rsidR="00565F2E" w:rsidRPr="00BE4127">
        <w:rPr>
          <w:lang w:val="fr-FR"/>
        </w:rPr>
        <w:t>La commission a trouvé en bonne et due forme,</w:t>
      </w:r>
    </w:p>
    <w:p w:rsidR="00DC5418" w:rsidRPr="00BE4127" w:rsidRDefault="00DC5418" w:rsidP="00FB159A">
      <w:pPr>
        <w:ind w:firstLine="567"/>
        <w:rPr>
          <w:lang w:val="fr-FR"/>
        </w:rPr>
      </w:pPr>
    </w:p>
    <w:p w:rsidR="00DC5418" w:rsidRPr="00BE4127" w:rsidRDefault="00565F2E" w:rsidP="00565F2E">
      <w:pPr>
        <w:pStyle w:val="ListParagraph"/>
        <w:numPr>
          <w:ilvl w:val="0"/>
          <w:numId w:val="11"/>
        </w:numPr>
        <w:tabs>
          <w:tab w:val="left" w:pos="567"/>
        </w:tabs>
        <w:ind w:left="0" w:firstLine="567"/>
        <w:rPr>
          <w:lang w:val="fr-FR"/>
        </w:rPr>
      </w:pPr>
      <w:r w:rsidRPr="00BE4127">
        <w:rPr>
          <w:lang w:val="fr-FR"/>
        </w:rPr>
        <w:t xml:space="preserve">en ce qui concerne les </w:t>
      </w:r>
      <w:r w:rsidRPr="004B1995">
        <w:rPr>
          <w:i/>
          <w:lang w:val="fr-FR"/>
        </w:rPr>
        <w:t>délégations membres</w:t>
      </w:r>
      <w:r w:rsidRPr="00BE4127">
        <w:rPr>
          <w:lang w:val="fr-FR"/>
        </w:rPr>
        <w:t xml:space="preserve">, les </w:t>
      </w:r>
      <w:r w:rsidRPr="004B1995">
        <w:rPr>
          <w:i/>
          <w:lang w:val="fr-FR"/>
        </w:rPr>
        <w:t>lettres de créance</w:t>
      </w:r>
      <w:r w:rsidRPr="00BE4127">
        <w:rPr>
          <w:lang w:val="fr-FR"/>
        </w:rPr>
        <w:t xml:space="preserve"> et </w:t>
      </w:r>
      <w:r w:rsidRPr="004B1995">
        <w:rPr>
          <w:i/>
          <w:lang w:val="fr-FR"/>
        </w:rPr>
        <w:t>pleins pouvoirs</w:t>
      </w:r>
      <w:r w:rsidRPr="00BE4127">
        <w:rPr>
          <w:lang w:val="fr-FR"/>
        </w:rPr>
        <w:t xml:space="preserve"> (c</w:t>
      </w:r>
      <w:r w:rsidR="00BE4127">
        <w:rPr>
          <w:lang w:val="fr-FR"/>
        </w:rPr>
        <w:t>’</w:t>
      </w:r>
      <w:r w:rsidRPr="00BE4127">
        <w:rPr>
          <w:lang w:val="fr-FR"/>
        </w:rPr>
        <w:t>est-à-dire les lettres de créance pour participer à la conférence et signer l</w:t>
      </w:r>
      <w:r w:rsidR="00BE4127">
        <w:rPr>
          <w:lang w:val="fr-FR"/>
        </w:rPr>
        <w:t>’</w:t>
      </w:r>
      <w:r w:rsidRPr="00BE4127">
        <w:rPr>
          <w:lang w:val="fr-FR"/>
        </w:rPr>
        <w:t>acte final, et les pleins pouvoirs pour signer également le traité devant être adopté par la conférence diplomatique) de la délégation de l</w:t>
      </w:r>
      <w:r w:rsidR="00BE4127">
        <w:rPr>
          <w:lang w:val="fr-FR"/>
        </w:rPr>
        <w:t>’</w:t>
      </w:r>
      <w:r w:rsidRPr="00BE4127">
        <w:rPr>
          <w:lang w:val="fr-FR"/>
        </w:rPr>
        <w:t>Italie.</w:t>
      </w:r>
    </w:p>
    <w:p w:rsidR="00DC5418" w:rsidRPr="00BE4127" w:rsidRDefault="00FB159A" w:rsidP="00E30DCC">
      <w:pPr>
        <w:pStyle w:val="ListParagraph"/>
        <w:tabs>
          <w:tab w:val="left" w:pos="567"/>
        </w:tabs>
        <w:ind w:left="567"/>
        <w:rPr>
          <w:lang w:val="fr-FR"/>
        </w:rPr>
      </w:pPr>
      <w:r w:rsidRPr="00BE4127">
        <w:rPr>
          <w:lang w:val="fr-FR"/>
        </w:rPr>
        <w:tab/>
      </w:r>
    </w:p>
    <w:p w:rsidR="00C540D9" w:rsidRPr="00BE4127" w:rsidRDefault="00565F2E" w:rsidP="00DC5418">
      <w:pPr>
        <w:tabs>
          <w:tab w:val="left" w:pos="567"/>
        </w:tabs>
        <w:ind w:left="568"/>
        <w:rPr>
          <w:lang w:val="fr-FR"/>
        </w:rPr>
      </w:pPr>
      <w:r w:rsidRPr="00BE4127">
        <w:rPr>
          <w:lang w:val="fr-FR"/>
        </w:rPr>
        <w:t>b)</w:t>
      </w:r>
      <w:r w:rsidRPr="00BE4127">
        <w:rPr>
          <w:lang w:val="fr-FR"/>
        </w:rPr>
        <w:tab/>
      </w:r>
      <w:r w:rsidR="00DC5418" w:rsidRPr="00BE4127">
        <w:rPr>
          <w:lang w:val="fr-FR"/>
        </w:rPr>
        <w:t xml:space="preserve">en ce qui concerne les </w:t>
      </w:r>
      <w:r w:rsidR="00DC5418" w:rsidRPr="004B1995">
        <w:rPr>
          <w:i/>
          <w:lang w:val="fr-FR"/>
        </w:rPr>
        <w:t>délégations observatrices</w:t>
      </w:r>
      <w:r w:rsidR="00DC5418" w:rsidRPr="00BE4127">
        <w:rPr>
          <w:lang w:val="fr-FR"/>
        </w:rPr>
        <w:t xml:space="preserve">, </w:t>
      </w:r>
      <w:r w:rsidR="00DC5418" w:rsidRPr="00EE1EEA">
        <w:rPr>
          <w:lang w:val="fr-FR"/>
        </w:rPr>
        <w:t>les</w:t>
      </w:r>
      <w:r w:rsidR="00DC5418" w:rsidRPr="004B1995">
        <w:rPr>
          <w:i/>
          <w:lang w:val="fr-FR"/>
        </w:rPr>
        <w:t xml:space="preserve"> lettres de créance</w:t>
      </w:r>
      <w:r w:rsidR="00DC5418" w:rsidRPr="00BE4127">
        <w:rPr>
          <w:lang w:val="fr-FR"/>
        </w:rPr>
        <w:t xml:space="preserve"> (sans </w:t>
      </w:r>
      <w:r w:rsidR="00DC5418" w:rsidRPr="004B1995">
        <w:rPr>
          <w:i/>
          <w:lang w:val="fr-FR"/>
        </w:rPr>
        <w:t>pleins pouvoirs</w:t>
      </w:r>
      <w:r w:rsidR="00DC5418" w:rsidRPr="00BE4127">
        <w:rPr>
          <w:lang w:val="fr-FR"/>
        </w:rPr>
        <w:t>) des délégations des (3) États ci-après :</w:t>
      </w:r>
      <w:r w:rsidR="00C540D9" w:rsidRPr="00BE4127">
        <w:rPr>
          <w:lang w:val="fr-FR"/>
        </w:rPr>
        <w:t xml:space="preserve"> </w:t>
      </w:r>
    </w:p>
    <w:tbl>
      <w:tblPr>
        <w:tblW w:w="0" w:type="auto"/>
        <w:tblInd w:w="1650" w:type="dxa"/>
        <w:tblLook w:val="04A0" w:firstRow="1" w:lastRow="0" w:firstColumn="1" w:lastColumn="0" w:noHBand="0" w:noVBand="1"/>
      </w:tblPr>
      <w:tblGrid>
        <w:gridCol w:w="4270"/>
        <w:gridCol w:w="3651"/>
      </w:tblGrid>
      <w:tr w:rsidR="00BE4127" w:rsidRPr="00BE4127" w:rsidTr="009D3A72">
        <w:tc>
          <w:tcPr>
            <w:tcW w:w="4270" w:type="dxa"/>
            <w:shd w:val="clear" w:color="auto" w:fill="auto"/>
          </w:tcPr>
          <w:p w:rsidR="00C540D9" w:rsidRPr="00BE4127" w:rsidRDefault="00C540D9" w:rsidP="009D3A72">
            <w:pPr>
              <w:rPr>
                <w:lang w:val="fr-FR"/>
              </w:rPr>
            </w:pPr>
          </w:p>
        </w:tc>
        <w:tc>
          <w:tcPr>
            <w:tcW w:w="3651" w:type="dxa"/>
            <w:shd w:val="clear" w:color="auto" w:fill="auto"/>
          </w:tcPr>
          <w:p w:rsidR="00C540D9" w:rsidRPr="00BE4127" w:rsidRDefault="00C540D9" w:rsidP="009D3A72">
            <w:pPr>
              <w:rPr>
                <w:lang w:val="fr-FR"/>
              </w:rPr>
            </w:pPr>
          </w:p>
        </w:tc>
      </w:tr>
      <w:tr w:rsidR="00BE4127" w:rsidRPr="00BE4127" w:rsidTr="009D3A72">
        <w:tc>
          <w:tcPr>
            <w:tcW w:w="4270" w:type="dxa"/>
            <w:shd w:val="clear" w:color="auto" w:fill="auto"/>
          </w:tcPr>
          <w:p w:rsidR="00C540D9" w:rsidRPr="00BE4127" w:rsidRDefault="00DC5418" w:rsidP="00DC5418">
            <w:pPr>
              <w:rPr>
                <w:lang w:val="fr-FR"/>
              </w:rPr>
            </w:pPr>
            <w:r w:rsidRPr="00BE4127">
              <w:rPr>
                <w:lang w:val="fr-FR"/>
              </w:rPr>
              <w:t>Angola</w:t>
            </w:r>
          </w:p>
        </w:tc>
        <w:tc>
          <w:tcPr>
            <w:tcW w:w="3651" w:type="dxa"/>
            <w:shd w:val="clear" w:color="auto" w:fill="auto"/>
          </w:tcPr>
          <w:p w:rsidR="00C540D9" w:rsidRPr="00BE4127" w:rsidRDefault="00C540D9" w:rsidP="009D3A72">
            <w:pPr>
              <w:rPr>
                <w:lang w:val="fr-FR"/>
              </w:rPr>
            </w:pPr>
          </w:p>
        </w:tc>
      </w:tr>
      <w:tr w:rsidR="00BE4127" w:rsidRPr="00BE4127" w:rsidTr="009D3A72">
        <w:tc>
          <w:tcPr>
            <w:tcW w:w="4270" w:type="dxa"/>
            <w:shd w:val="clear" w:color="auto" w:fill="auto"/>
          </w:tcPr>
          <w:p w:rsidR="00C540D9" w:rsidRPr="00BE4127" w:rsidRDefault="00DC5418" w:rsidP="00DC5418">
            <w:pPr>
              <w:rPr>
                <w:lang w:val="fr-FR"/>
              </w:rPr>
            </w:pPr>
            <w:r w:rsidRPr="00BE4127">
              <w:rPr>
                <w:lang w:val="fr-FR"/>
              </w:rPr>
              <w:t>Kenya</w:t>
            </w:r>
          </w:p>
        </w:tc>
        <w:tc>
          <w:tcPr>
            <w:tcW w:w="3651" w:type="dxa"/>
            <w:shd w:val="clear" w:color="auto" w:fill="auto"/>
          </w:tcPr>
          <w:p w:rsidR="00C540D9" w:rsidRPr="00BE4127" w:rsidRDefault="00C540D9" w:rsidP="009D3A72">
            <w:pPr>
              <w:rPr>
                <w:lang w:val="fr-FR"/>
              </w:rPr>
            </w:pPr>
          </w:p>
        </w:tc>
      </w:tr>
      <w:tr w:rsidR="00BE4127" w:rsidRPr="00BE4127" w:rsidTr="009D3A72">
        <w:tc>
          <w:tcPr>
            <w:tcW w:w="4270" w:type="dxa"/>
            <w:shd w:val="clear" w:color="auto" w:fill="auto"/>
          </w:tcPr>
          <w:p w:rsidR="00C540D9" w:rsidRPr="00BE4127" w:rsidRDefault="00DC5418" w:rsidP="00DC5418">
            <w:pPr>
              <w:rPr>
                <w:lang w:val="fr-FR"/>
              </w:rPr>
            </w:pPr>
            <w:r w:rsidRPr="00BE4127">
              <w:rPr>
                <w:lang w:val="fr-FR"/>
              </w:rPr>
              <w:t>Nigéria</w:t>
            </w:r>
          </w:p>
        </w:tc>
        <w:tc>
          <w:tcPr>
            <w:tcW w:w="3651" w:type="dxa"/>
            <w:shd w:val="clear" w:color="auto" w:fill="auto"/>
          </w:tcPr>
          <w:p w:rsidR="00C540D9" w:rsidRPr="00BE4127" w:rsidRDefault="00C540D9" w:rsidP="009D3A72">
            <w:pPr>
              <w:rPr>
                <w:lang w:val="fr-FR"/>
              </w:rPr>
            </w:pPr>
          </w:p>
        </w:tc>
      </w:tr>
      <w:tr w:rsidR="00BE4127" w:rsidRPr="00BE4127" w:rsidTr="009D3A72">
        <w:tc>
          <w:tcPr>
            <w:tcW w:w="4270" w:type="dxa"/>
            <w:shd w:val="clear" w:color="auto" w:fill="auto"/>
          </w:tcPr>
          <w:p w:rsidR="00C540D9" w:rsidRPr="00BE4127" w:rsidRDefault="00C540D9" w:rsidP="009D3A72">
            <w:pPr>
              <w:rPr>
                <w:lang w:val="fr-FR"/>
              </w:rPr>
            </w:pPr>
          </w:p>
        </w:tc>
        <w:tc>
          <w:tcPr>
            <w:tcW w:w="3651" w:type="dxa"/>
            <w:shd w:val="clear" w:color="auto" w:fill="auto"/>
          </w:tcPr>
          <w:p w:rsidR="00C540D9" w:rsidRPr="00BE4127" w:rsidRDefault="00C540D9" w:rsidP="009D3A72">
            <w:pPr>
              <w:rPr>
                <w:lang w:val="fr-FR"/>
              </w:rPr>
            </w:pPr>
          </w:p>
        </w:tc>
      </w:tr>
    </w:tbl>
    <w:p w:rsidR="00DC5418" w:rsidRPr="00BE4127" w:rsidRDefault="00C540D9" w:rsidP="00DC5418">
      <w:pPr>
        <w:ind w:right="555"/>
        <w:rPr>
          <w:lang w:val="fr-FR"/>
        </w:rPr>
      </w:pPr>
      <w:r w:rsidRPr="00BE4127">
        <w:rPr>
          <w:lang w:val="fr-FR"/>
        </w:rPr>
        <w:tab/>
      </w:r>
      <w:r w:rsidR="00DC5418" w:rsidRPr="00BE4127">
        <w:rPr>
          <w:lang w:val="fr-FR"/>
        </w:rPr>
        <w:t>c)</w:t>
      </w:r>
      <w:r w:rsidR="00DC5418" w:rsidRPr="00BE4127">
        <w:rPr>
          <w:lang w:val="fr-FR"/>
        </w:rPr>
        <w:tab/>
        <w:t xml:space="preserve">en ce qui concerne les </w:t>
      </w:r>
      <w:r w:rsidR="00DC5418" w:rsidRPr="00BE4127">
        <w:rPr>
          <w:i/>
          <w:lang w:val="fr-FR"/>
        </w:rPr>
        <w:t>observateurs</w:t>
      </w:r>
      <w:r w:rsidR="00DC5418" w:rsidRPr="00BE4127">
        <w:rPr>
          <w:lang w:val="fr-FR"/>
        </w:rPr>
        <w:t xml:space="preserve">, les </w:t>
      </w:r>
      <w:r w:rsidR="00DC5418" w:rsidRPr="00BE4127">
        <w:rPr>
          <w:i/>
          <w:lang w:val="fr-FR"/>
        </w:rPr>
        <w:t>lettres</w:t>
      </w:r>
      <w:r w:rsidR="00DC5418" w:rsidRPr="00BE4127">
        <w:rPr>
          <w:lang w:val="fr-FR"/>
        </w:rPr>
        <w:t xml:space="preserve"> </w:t>
      </w:r>
      <w:r w:rsidR="00DC5418" w:rsidRPr="00BE4127">
        <w:rPr>
          <w:i/>
          <w:lang w:val="fr-FR"/>
        </w:rPr>
        <w:t>ou documents de désignation</w:t>
      </w:r>
      <w:r w:rsidR="00DC5418" w:rsidRPr="00BE4127">
        <w:rPr>
          <w:lang w:val="fr-FR"/>
        </w:rPr>
        <w:t xml:space="preserve"> des représentants des observateurs suivants :</w:t>
      </w:r>
    </w:p>
    <w:p w:rsidR="00DC5418" w:rsidRPr="00BE4127" w:rsidRDefault="00DC5418" w:rsidP="00C540D9">
      <w:pPr>
        <w:ind w:right="555"/>
        <w:rPr>
          <w:lang w:val="fr-FR"/>
        </w:rPr>
      </w:pPr>
    </w:p>
    <w:p w:rsidR="00DC5418" w:rsidRPr="00BE4127" w:rsidRDefault="00DC5418" w:rsidP="00DC5418">
      <w:pPr>
        <w:numPr>
          <w:ilvl w:val="0"/>
          <w:numId w:val="9"/>
        </w:numPr>
        <w:ind w:left="1650" w:hanging="550"/>
        <w:rPr>
          <w:lang w:val="fr-FR"/>
        </w:rPr>
      </w:pPr>
      <w:r w:rsidRPr="00EE1EEA">
        <w:rPr>
          <w:i/>
          <w:lang w:val="fr-FR"/>
        </w:rPr>
        <w:t>organisations intergouvernementales</w:t>
      </w:r>
      <w:r w:rsidRPr="00BE4127">
        <w:rPr>
          <w:lang w:val="fr-FR"/>
        </w:rPr>
        <w:t xml:space="preserve"> : Unio</w:t>
      </w:r>
      <w:r w:rsidR="00EF6B8F">
        <w:rPr>
          <w:lang w:val="fr-FR"/>
        </w:rPr>
        <w:t>n économique et monétaire ouest</w:t>
      </w:r>
      <w:r w:rsidR="00EF6B8F">
        <w:rPr>
          <w:lang w:val="fr-FR"/>
        </w:rPr>
        <w:noBreakHyphen/>
      </w:r>
      <w:r w:rsidRPr="00BE4127">
        <w:rPr>
          <w:lang w:val="fr-FR"/>
        </w:rPr>
        <w:t>africaine (UEMOA) (1).</w:t>
      </w:r>
    </w:p>
    <w:p w:rsidR="00DC5418" w:rsidRPr="00BE4127" w:rsidRDefault="00DC5418" w:rsidP="00C540D9">
      <w:pPr>
        <w:pStyle w:val="Footer"/>
        <w:rPr>
          <w:lang w:val="fr-FR"/>
        </w:rPr>
      </w:pPr>
    </w:p>
    <w:p w:rsidR="00DC5418" w:rsidRPr="00BE4127" w:rsidRDefault="00DC5418" w:rsidP="00DC5418">
      <w:pPr>
        <w:numPr>
          <w:ilvl w:val="0"/>
          <w:numId w:val="9"/>
        </w:numPr>
        <w:ind w:left="1650" w:hanging="550"/>
        <w:rPr>
          <w:lang w:val="fr-FR"/>
        </w:rPr>
      </w:pPr>
      <w:r w:rsidRPr="00EE1EEA">
        <w:rPr>
          <w:i/>
          <w:lang w:val="fr-FR"/>
        </w:rPr>
        <w:t>organisations non gouvernementales</w:t>
      </w:r>
      <w:r w:rsidRPr="00BE4127">
        <w:rPr>
          <w:lang w:val="fr-FR"/>
        </w:rPr>
        <w:t> : Association romande de la propriété intellectuelle (AROPI), Centre de documentation, de recherche et d</w:t>
      </w:r>
      <w:r w:rsidR="00BE4127">
        <w:rPr>
          <w:lang w:val="fr-FR"/>
        </w:rPr>
        <w:t>’</w:t>
      </w:r>
      <w:r w:rsidRPr="00BE4127">
        <w:rPr>
          <w:lang w:val="fr-FR"/>
        </w:rPr>
        <w:t>information des peuples autochtones (DoCip) et Chambre du commerce et de l</w:t>
      </w:r>
      <w:r w:rsidR="00BE4127">
        <w:rPr>
          <w:lang w:val="fr-FR"/>
        </w:rPr>
        <w:t>’</w:t>
      </w:r>
      <w:r w:rsidRPr="00BE4127">
        <w:rPr>
          <w:lang w:val="fr-FR"/>
        </w:rPr>
        <w:t>industrie de la Fédération de Russie (CCI RF) (3).</w:t>
      </w:r>
    </w:p>
    <w:p w:rsidR="00DC5418" w:rsidRPr="00BE4127" w:rsidRDefault="00DC5418" w:rsidP="00A25F9A">
      <w:pPr>
        <w:pStyle w:val="ListParagraph"/>
        <w:rPr>
          <w:lang w:val="fr-FR"/>
        </w:rPr>
      </w:pPr>
    </w:p>
    <w:p w:rsidR="00DC5418" w:rsidRPr="00BE4127" w:rsidRDefault="00DC5418" w:rsidP="00DC5418">
      <w:pPr>
        <w:rPr>
          <w:lang w:val="fr-FR"/>
        </w:rPr>
      </w:pPr>
      <w:r w:rsidRPr="00BE4127">
        <w:rPr>
          <w:lang w:val="fr-FR"/>
        </w:rPr>
        <w:t>6.</w:t>
      </w:r>
      <w:r w:rsidRPr="00BE4127">
        <w:rPr>
          <w:lang w:val="fr-FR"/>
        </w:rPr>
        <w:tab/>
        <w:t>La commission a décidé que la délégation de l</w:t>
      </w:r>
      <w:r w:rsidR="00BE4127">
        <w:rPr>
          <w:lang w:val="fr-FR"/>
        </w:rPr>
        <w:t>’</w:t>
      </w:r>
      <w:r w:rsidRPr="00BE4127">
        <w:rPr>
          <w:lang w:val="fr-FR"/>
        </w:rPr>
        <w:t>ex-République yougoslave de Macédoine serait mentionnée paragraphe 7.a)ii) (lettres de créance) du premier rapport de la commission au lieu du paragraphe 7.a)i) (pleins pouvoirs).</w:t>
      </w:r>
    </w:p>
    <w:p w:rsidR="00DC5418" w:rsidRPr="00BE4127" w:rsidRDefault="00DC5418" w:rsidP="00085034">
      <w:pPr>
        <w:ind w:left="1650"/>
        <w:rPr>
          <w:lang w:val="fr-FR"/>
        </w:rPr>
      </w:pPr>
    </w:p>
    <w:p w:rsidR="00DC5418" w:rsidRPr="00BE4127" w:rsidRDefault="00F1702A" w:rsidP="00F1702A">
      <w:pPr>
        <w:tabs>
          <w:tab w:val="left" w:pos="567"/>
          <w:tab w:val="left" w:pos="1134"/>
        </w:tabs>
        <w:rPr>
          <w:lang w:val="fr-FR"/>
        </w:rPr>
      </w:pPr>
      <w:r w:rsidRPr="00BE4127">
        <w:rPr>
          <w:lang w:val="fr-FR"/>
        </w:rPr>
        <w:t>7.</w:t>
      </w:r>
      <w:r w:rsidRPr="00BE4127">
        <w:rPr>
          <w:lang w:val="fr-FR"/>
        </w:rPr>
        <w:tab/>
        <w:t>La commission recommande à la conférence réunie en séance plénière d</w:t>
      </w:r>
      <w:r w:rsidR="00BE4127">
        <w:rPr>
          <w:lang w:val="fr-FR"/>
        </w:rPr>
        <w:t>’</w:t>
      </w:r>
      <w:r w:rsidRPr="00BE4127">
        <w:rPr>
          <w:lang w:val="fr-FR"/>
        </w:rPr>
        <w:t>accepter les lettres de créance et les pleins pouvoirs de</w:t>
      </w:r>
      <w:r w:rsidR="008737C1">
        <w:rPr>
          <w:lang w:val="fr-FR"/>
        </w:rPr>
        <w:t xml:space="preserve"> la</w:t>
      </w:r>
      <w:r w:rsidRPr="00BE4127">
        <w:rPr>
          <w:lang w:val="fr-FR"/>
        </w:rPr>
        <w:t xml:space="preserve"> délégation mentionnée à l</w:t>
      </w:r>
      <w:r w:rsidR="00BE4127">
        <w:rPr>
          <w:lang w:val="fr-FR"/>
        </w:rPr>
        <w:t>’</w:t>
      </w:r>
      <w:r w:rsidRPr="00BE4127">
        <w:rPr>
          <w:lang w:val="fr-FR"/>
        </w:rPr>
        <w:t xml:space="preserve">alinéa a) du paragraphe 5 ci-dessus, les lettres de créance des délégations </w:t>
      </w:r>
      <w:r w:rsidR="008737C1">
        <w:rPr>
          <w:lang w:val="fr-FR"/>
        </w:rPr>
        <w:t xml:space="preserve">observatrices </w:t>
      </w:r>
      <w:r w:rsidRPr="00BE4127">
        <w:rPr>
          <w:lang w:val="fr-FR"/>
        </w:rPr>
        <w:t>mentionnées à l</w:t>
      </w:r>
      <w:r w:rsidR="00BE4127">
        <w:rPr>
          <w:lang w:val="fr-FR"/>
        </w:rPr>
        <w:t>’</w:t>
      </w:r>
      <w:r w:rsidRPr="00BE4127">
        <w:rPr>
          <w:lang w:val="fr-FR"/>
        </w:rPr>
        <w:t xml:space="preserve">alinéa b) du paragraphe 5 ci-dessus et les lettres de désignation </w:t>
      </w:r>
      <w:r w:rsidR="008737C1">
        <w:rPr>
          <w:lang w:val="fr-FR"/>
        </w:rPr>
        <w:t xml:space="preserve">des observateurs </w:t>
      </w:r>
      <w:r w:rsidRPr="00BE4127">
        <w:rPr>
          <w:lang w:val="fr-FR"/>
        </w:rPr>
        <w:t>mentionnés à l</w:t>
      </w:r>
      <w:r w:rsidR="00BE4127">
        <w:rPr>
          <w:lang w:val="fr-FR"/>
        </w:rPr>
        <w:t>’</w:t>
      </w:r>
      <w:r w:rsidRPr="00BE4127">
        <w:rPr>
          <w:lang w:val="fr-FR"/>
        </w:rPr>
        <w:t>alinéa c)i) et ii) du paragraphe 5 ci-dessus.</w:t>
      </w:r>
    </w:p>
    <w:p w:rsidR="00DC5418" w:rsidRPr="00BE4127" w:rsidRDefault="00DC5418" w:rsidP="00085034">
      <w:pPr>
        <w:tabs>
          <w:tab w:val="left" w:pos="567"/>
          <w:tab w:val="left" w:pos="1134"/>
        </w:tabs>
        <w:rPr>
          <w:lang w:val="fr-FR"/>
        </w:rPr>
      </w:pPr>
    </w:p>
    <w:p w:rsidR="00DC5418" w:rsidRPr="00BE4127" w:rsidRDefault="00F1702A" w:rsidP="00F1702A">
      <w:pPr>
        <w:tabs>
          <w:tab w:val="left" w:pos="567"/>
          <w:tab w:val="left" w:pos="1134"/>
        </w:tabs>
        <w:rPr>
          <w:lang w:val="fr-FR"/>
        </w:rPr>
      </w:pPr>
      <w:r w:rsidRPr="00BE4127">
        <w:rPr>
          <w:lang w:val="fr-FR"/>
        </w:rPr>
        <w:t>8.</w:t>
      </w:r>
      <w:r w:rsidRPr="00BE4127">
        <w:rPr>
          <w:lang w:val="fr-FR"/>
        </w:rPr>
        <w:tab/>
        <w:t>La commission a décidé que le Secrétariat devra établir le rapport de sa réunion et le publier en tant que rapport de la commission, qui sera présenté par son président à la conférence réunie en séance plénière.</w:t>
      </w:r>
    </w:p>
    <w:p w:rsidR="00DC5418" w:rsidRPr="00BE4127" w:rsidRDefault="00DC5418" w:rsidP="00085034">
      <w:pPr>
        <w:tabs>
          <w:tab w:val="left" w:pos="567"/>
          <w:tab w:val="left" w:pos="1134"/>
        </w:tabs>
        <w:rPr>
          <w:lang w:val="fr-FR"/>
        </w:rPr>
      </w:pPr>
    </w:p>
    <w:p w:rsidR="00DC5418" w:rsidRPr="00BE4127" w:rsidRDefault="00F1702A" w:rsidP="00F1702A">
      <w:pPr>
        <w:tabs>
          <w:tab w:val="left" w:pos="567"/>
          <w:tab w:val="left" w:pos="1134"/>
        </w:tabs>
        <w:rPr>
          <w:lang w:val="fr-FR"/>
        </w:rPr>
      </w:pPr>
      <w:r w:rsidRPr="00BE4127">
        <w:rPr>
          <w:lang w:val="fr-FR"/>
        </w:rPr>
        <w:t>9.</w:t>
      </w:r>
      <w:r w:rsidRPr="00BE4127">
        <w:rPr>
          <w:lang w:val="fr-FR"/>
        </w:rPr>
        <w:tab/>
        <w:t>À ce jour,12 lettres de créance (avec les pleins pouvoirs), dont 10 de membres de l</w:t>
      </w:r>
      <w:r w:rsidR="00BE4127">
        <w:rPr>
          <w:lang w:val="fr-FR"/>
        </w:rPr>
        <w:t>’</w:t>
      </w:r>
      <w:r w:rsidRPr="00BE4127">
        <w:rPr>
          <w:lang w:val="fr-FR"/>
        </w:rPr>
        <w:t>Union de Lisbonne, et 101 lettres de créance sans les pleins pouvoirs (dont 18 de membres de l</w:t>
      </w:r>
      <w:r w:rsidR="00BE4127">
        <w:rPr>
          <w:lang w:val="fr-FR"/>
        </w:rPr>
        <w:t>’</w:t>
      </w:r>
      <w:r w:rsidRPr="00BE4127">
        <w:rPr>
          <w:lang w:val="fr-FR"/>
        </w:rPr>
        <w:t>Union de Lisbonne et de délégations spéciales) ont été jugées en bonne et due forme par la commission.</w:t>
      </w:r>
      <w:r w:rsidR="008F760B" w:rsidRPr="00BE4127">
        <w:rPr>
          <w:lang w:val="fr-FR"/>
        </w:rPr>
        <w:t xml:space="preserve"> </w:t>
      </w:r>
    </w:p>
    <w:p w:rsidR="00DC5418" w:rsidRPr="00BE4127" w:rsidRDefault="00DC5418" w:rsidP="00085034">
      <w:pPr>
        <w:tabs>
          <w:tab w:val="left" w:pos="567"/>
          <w:tab w:val="left" w:pos="1134"/>
        </w:tabs>
        <w:ind w:left="1418"/>
        <w:rPr>
          <w:lang w:val="fr-FR"/>
        </w:rPr>
      </w:pPr>
    </w:p>
    <w:p w:rsidR="00DC5418" w:rsidRPr="00BE4127" w:rsidRDefault="00F1702A" w:rsidP="00F1702A">
      <w:pPr>
        <w:tabs>
          <w:tab w:val="left" w:pos="567"/>
          <w:tab w:val="left" w:pos="1134"/>
        </w:tabs>
        <w:rPr>
          <w:lang w:val="fr-FR"/>
        </w:rPr>
      </w:pPr>
      <w:r w:rsidRPr="00BE4127">
        <w:rPr>
          <w:lang w:val="fr-FR"/>
        </w:rPr>
        <w:t>10.</w:t>
      </w:r>
      <w:r w:rsidRPr="00BE4127">
        <w:rPr>
          <w:lang w:val="fr-FR"/>
        </w:rPr>
        <w:tab/>
        <w:t>La commission a autorisé son président à examiner les autres communications concernant les délégations membres, les délégations spéciales, les délégations observatrices ou les observateurs que le Secrétariat pourrait éventuellement recevoir après la clôture de sa deuxième réunion et à faire rapport à ce sujet à la conférence réunie en séance plénière, à moins que le président ne juge nécessaire de convoquer la commission pour examiner ces communications et faire rapport à leur sujet.</w:t>
      </w:r>
    </w:p>
    <w:p w:rsidR="00DC5418" w:rsidRPr="00BE4127" w:rsidRDefault="00DC5418" w:rsidP="00085034">
      <w:pPr>
        <w:tabs>
          <w:tab w:val="left" w:pos="567"/>
          <w:tab w:val="left" w:pos="1134"/>
        </w:tabs>
        <w:rPr>
          <w:lang w:val="fr-FR"/>
        </w:rPr>
      </w:pPr>
    </w:p>
    <w:p w:rsidR="00DC5418" w:rsidRPr="00BE4127" w:rsidRDefault="00DC5418" w:rsidP="00085034">
      <w:pPr>
        <w:tabs>
          <w:tab w:val="left" w:pos="567"/>
          <w:tab w:val="left" w:pos="1134"/>
        </w:tabs>
        <w:rPr>
          <w:lang w:val="fr-FR"/>
        </w:rPr>
      </w:pPr>
    </w:p>
    <w:p w:rsidR="00DC5418" w:rsidRPr="00BE4127" w:rsidRDefault="00DC5418" w:rsidP="00C17D55">
      <w:pPr>
        <w:rPr>
          <w:lang w:val="fr-FR"/>
        </w:rPr>
      </w:pPr>
    </w:p>
    <w:p w:rsidR="00DC5418" w:rsidRPr="00BE4127" w:rsidRDefault="00F1702A" w:rsidP="00F1702A">
      <w:pPr>
        <w:pStyle w:val="Endofdocument"/>
        <w:rPr>
          <w:rFonts w:ascii="Arial" w:hAnsi="Arial" w:cs="Arial"/>
          <w:sz w:val="22"/>
          <w:szCs w:val="22"/>
          <w:lang w:val="fr-FR"/>
        </w:rPr>
      </w:pPr>
      <w:r w:rsidRPr="00BE4127">
        <w:rPr>
          <w:rFonts w:ascii="Arial" w:hAnsi="Arial" w:cs="Arial"/>
          <w:sz w:val="22"/>
          <w:szCs w:val="22"/>
          <w:lang w:val="fr-FR"/>
        </w:rPr>
        <w:t>[Fin du document]</w:t>
      </w:r>
    </w:p>
    <w:sectPr w:rsidR="00DC5418" w:rsidRPr="00BE4127" w:rsidSect="00E214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AC" w:rsidRDefault="00E214AC">
      <w:r>
        <w:separator/>
      </w:r>
    </w:p>
  </w:endnote>
  <w:endnote w:type="continuationSeparator" w:id="0">
    <w:p w:rsidR="00E214AC" w:rsidRDefault="00E214AC" w:rsidP="003B38C1">
      <w:r>
        <w:separator/>
      </w:r>
    </w:p>
    <w:p w:rsidR="00E214AC" w:rsidRPr="003B38C1" w:rsidRDefault="00E214AC" w:rsidP="003B38C1">
      <w:pPr>
        <w:spacing w:after="60"/>
        <w:rPr>
          <w:sz w:val="17"/>
        </w:rPr>
      </w:pPr>
      <w:r>
        <w:rPr>
          <w:sz w:val="17"/>
        </w:rPr>
        <w:t>[Endnote continued from previous page]</w:t>
      </w:r>
    </w:p>
  </w:endnote>
  <w:endnote w:type="continuationNotice" w:id="1">
    <w:p w:rsidR="00E214AC" w:rsidRPr="003B38C1" w:rsidRDefault="00E21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2A" w:rsidRDefault="00F17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2A" w:rsidRDefault="00F17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2A" w:rsidRDefault="00F17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AC" w:rsidRDefault="00E214AC">
      <w:r>
        <w:separator/>
      </w:r>
    </w:p>
  </w:footnote>
  <w:footnote w:type="continuationSeparator" w:id="0">
    <w:p w:rsidR="00E214AC" w:rsidRDefault="00E214AC" w:rsidP="008B60B2">
      <w:r>
        <w:separator/>
      </w:r>
    </w:p>
    <w:p w:rsidR="00E214AC" w:rsidRPr="00ED77FB" w:rsidRDefault="00E214AC" w:rsidP="008B60B2">
      <w:pPr>
        <w:spacing w:after="60"/>
        <w:rPr>
          <w:sz w:val="17"/>
          <w:szCs w:val="17"/>
        </w:rPr>
      </w:pPr>
      <w:r w:rsidRPr="00ED77FB">
        <w:rPr>
          <w:sz w:val="17"/>
          <w:szCs w:val="17"/>
        </w:rPr>
        <w:t>[Footnote continued from previous page]</w:t>
      </w:r>
    </w:p>
  </w:footnote>
  <w:footnote w:type="continuationNotice" w:id="1">
    <w:p w:rsidR="00E214AC" w:rsidRPr="00ED77FB" w:rsidRDefault="00E214A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2A" w:rsidRDefault="00F17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214AC" w:rsidRDefault="00E214AC" w:rsidP="00477D6B">
    <w:pPr>
      <w:jc w:val="right"/>
      <w:rPr>
        <w:lang w:val="fr-CH"/>
      </w:rPr>
    </w:pPr>
    <w:bookmarkStart w:id="6" w:name="Code2"/>
    <w:bookmarkEnd w:id="6"/>
    <w:r w:rsidRPr="00E214AC">
      <w:rPr>
        <w:lang w:val="fr-CH"/>
      </w:rPr>
      <w:t>LI/DC/1</w:t>
    </w:r>
    <w:r w:rsidR="0074096E">
      <w:rPr>
        <w:lang w:val="fr-CH"/>
      </w:rPr>
      <w:t>2</w:t>
    </w:r>
  </w:p>
  <w:p w:rsidR="00EC4E49" w:rsidRPr="00E214AC" w:rsidRDefault="00EC4E49" w:rsidP="00477D6B">
    <w:pPr>
      <w:jc w:val="right"/>
      <w:rPr>
        <w:lang w:val="fr-CH"/>
      </w:rPr>
    </w:pPr>
    <w:r w:rsidRPr="00E214AC">
      <w:rPr>
        <w:lang w:val="fr-CH"/>
      </w:rPr>
      <w:t xml:space="preserve">page </w:t>
    </w:r>
    <w:r>
      <w:fldChar w:fldCharType="begin"/>
    </w:r>
    <w:r w:rsidRPr="00E214AC">
      <w:rPr>
        <w:lang w:val="fr-CH"/>
      </w:rPr>
      <w:instrText xml:space="preserve"> PAGE  \* MERGEFORMAT </w:instrText>
    </w:r>
    <w:r>
      <w:fldChar w:fldCharType="separate"/>
    </w:r>
    <w:r w:rsidR="00993297">
      <w:rPr>
        <w:noProof/>
        <w:lang w:val="fr-CH"/>
      </w:rPr>
      <w:t>2</w:t>
    </w:r>
    <w:r>
      <w:fldChar w:fldCharType="end"/>
    </w:r>
  </w:p>
  <w:p w:rsidR="00EC4E49" w:rsidRPr="00E214AC" w:rsidRDefault="00EC4E49"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2A" w:rsidRDefault="00F17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60FED"/>
    <w:multiLevelType w:val="hybridMultilevel"/>
    <w:tmpl w:val="F0D844B8"/>
    <w:lvl w:ilvl="0" w:tplc="EBA4A7F8">
      <w:start w:val="1"/>
      <w:numFmt w:val="lowerLetter"/>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C90030"/>
    <w:multiLevelType w:val="hybridMultilevel"/>
    <w:tmpl w:val="8C38E1D6"/>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FBF64EB"/>
    <w:multiLevelType w:val="hybridMultilevel"/>
    <w:tmpl w:val="9144575E"/>
    <w:lvl w:ilvl="0" w:tplc="655E37F2">
      <w:start w:val="1"/>
      <w:numFmt w:val="lowerRoman"/>
      <w:lvlText w:val="%1)"/>
      <w:lvlJc w:val="left"/>
      <w:pPr>
        <w:tabs>
          <w:tab w:val="num" w:pos="1855"/>
        </w:tabs>
        <w:ind w:left="1855" w:hanging="720"/>
      </w:pPr>
      <w:rPr>
        <w:rFonts w:hint="default"/>
      </w:rPr>
    </w:lvl>
    <w:lvl w:ilvl="1" w:tplc="04090019" w:tentative="1">
      <w:start w:val="1"/>
      <w:numFmt w:val="lowerLetter"/>
      <w:lvlText w:val="%2."/>
      <w:lvlJc w:val="left"/>
      <w:pPr>
        <w:tabs>
          <w:tab w:val="num" w:pos="1157"/>
        </w:tabs>
        <w:ind w:left="1157" w:hanging="360"/>
      </w:pPr>
    </w:lvl>
    <w:lvl w:ilvl="2" w:tplc="0409001B" w:tentative="1">
      <w:start w:val="1"/>
      <w:numFmt w:val="lowerRoman"/>
      <w:lvlText w:val="%3."/>
      <w:lvlJc w:val="right"/>
      <w:pPr>
        <w:tabs>
          <w:tab w:val="num" w:pos="1877"/>
        </w:tabs>
        <w:ind w:left="1877" w:hanging="180"/>
      </w:pPr>
    </w:lvl>
    <w:lvl w:ilvl="3" w:tplc="0409000F" w:tentative="1">
      <w:start w:val="1"/>
      <w:numFmt w:val="decimal"/>
      <w:lvlText w:val="%4."/>
      <w:lvlJc w:val="left"/>
      <w:pPr>
        <w:tabs>
          <w:tab w:val="num" w:pos="2597"/>
        </w:tabs>
        <w:ind w:left="2597" w:hanging="360"/>
      </w:pPr>
    </w:lvl>
    <w:lvl w:ilvl="4" w:tplc="04090019" w:tentative="1">
      <w:start w:val="1"/>
      <w:numFmt w:val="lowerLetter"/>
      <w:lvlText w:val="%5."/>
      <w:lvlJc w:val="left"/>
      <w:pPr>
        <w:tabs>
          <w:tab w:val="num" w:pos="3317"/>
        </w:tabs>
        <w:ind w:left="3317" w:hanging="360"/>
      </w:pPr>
    </w:lvl>
    <w:lvl w:ilvl="5" w:tplc="0409001B" w:tentative="1">
      <w:start w:val="1"/>
      <w:numFmt w:val="lowerRoman"/>
      <w:lvlText w:val="%6."/>
      <w:lvlJc w:val="right"/>
      <w:pPr>
        <w:tabs>
          <w:tab w:val="num" w:pos="4037"/>
        </w:tabs>
        <w:ind w:left="4037" w:hanging="180"/>
      </w:pPr>
    </w:lvl>
    <w:lvl w:ilvl="6" w:tplc="0409000F" w:tentative="1">
      <w:start w:val="1"/>
      <w:numFmt w:val="decimal"/>
      <w:lvlText w:val="%7."/>
      <w:lvlJc w:val="left"/>
      <w:pPr>
        <w:tabs>
          <w:tab w:val="num" w:pos="4757"/>
        </w:tabs>
        <w:ind w:left="4757" w:hanging="360"/>
      </w:pPr>
    </w:lvl>
    <w:lvl w:ilvl="7" w:tplc="04090019" w:tentative="1">
      <w:start w:val="1"/>
      <w:numFmt w:val="lowerLetter"/>
      <w:lvlText w:val="%8."/>
      <w:lvlJc w:val="left"/>
      <w:pPr>
        <w:tabs>
          <w:tab w:val="num" w:pos="5477"/>
        </w:tabs>
        <w:ind w:left="5477" w:hanging="360"/>
      </w:pPr>
    </w:lvl>
    <w:lvl w:ilvl="8" w:tplc="0409001B" w:tentative="1">
      <w:start w:val="1"/>
      <w:numFmt w:val="lowerRoman"/>
      <w:lvlText w:val="%9."/>
      <w:lvlJc w:val="right"/>
      <w:pPr>
        <w:tabs>
          <w:tab w:val="num" w:pos="6197"/>
        </w:tabs>
        <w:ind w:left="6197" w:hanging="180"/>
      </w:p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3"/>
  </w:num>
  <w:num w:numId="8">
    <w:abstractNumId w:val="4"/>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Trademarks\Meetings|Trademarks\Other|Trademarks\Publications|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E214AC"/>
    <w:rsid w:val="000121D0"/>
    <w:rsid w:val="00043CAA"/>
    <w:rsid w:val="00070C9A"/>
    <w:rsid w:val="00074676"/>
    <w:rsid w:val="00075432"/>
    <w:rsid w:val="00085034"/>
    <w:rsid w:val="000968ED"/>
    <w:rsid w:val="000A2A93"/>
    <w:rsid w:val="000A4967"/>
    <w:rsid w:val="000F5E56"/>
    <w:rsid w:val="00101B04"/>
    <w:rsid w:val="001073EC"/>
    <w:rsid w:val="001362EE"/>
    <w:rsid w:val="00153113"/>
    <w:rsid w:val="001832A6"/>
    <w:rsid w:val="001907B2"/>
    <w:rsid w:val="001B1BAF"/>
    <w:rsid w:val="001D4648"/>
    <w:rsid w:val="002110CA"/>
    <w:rsid w:val="002274A2"/>
    <w:rsid w:val="00230F5B"/>
    <w:rsid w:val="002503F5"/>
    <w:rsid w:val="002634C4"/>
    <w:rsid w:val="002928D3"/>
    <w:rsid w:val="002F1FE6"/>
    <w:rsid w:val="002F4E68"/>
    <w:rsid w:val="00312F7F"/>
    <w:rsid w:val="00361450"/>
    <w:rsid w:val="003673CF"/>
    <w:rsid w:val="003845C1"/>
    <w:rsid w:val="00391CA6"/>
    <w:rsid w:val="00394EE2"/>
    <w:rsid w:val="003A6F89"/>
    <w:rsid w:val="003B38C1"/>
    <w:rsid w:val="003B45A7"/>
    <w:rsid w:val="003E7BE0"/>
    <w:rsid w:val="004077EA"/>
    <w:rsid w:val="00423E3E"/>
    <w:rsid w:val="00427AF4"/>
    <w:rsid w:val="004647DA"/>
    <w:rsid w:val="00466B81"/>
    <w:rsid w:val="00470D28"/>
    <w:rsid w:val="004739FE"/>
    <w:rsid w:val="00474062"/>
    <w:rsid w:val="00477D6B"/>
    <w:rsid w:val="004B1995"/>
    <w:rsid w:val="004B61A3"/>
    <w:rsid w:val="005019FF"/>
    <w:rsid w:val="0051774D"/>
    <w:rsid w:val="0053057A"/>
    <w:rsid w:val="00530F95"/>
    <w:rsid w:val="00560A29"/>
    <w:rsid w:val="00565F2E"/>
    <w:rsid w:val="00566743"/>
    <w:rsid w:val="00582704"/>
    <w:rsid w:val="005833CD"/>
    <w:rsid w:val="005900C8"/>
    <w:rsid w:val="005C6649"/>
    <w:rsid w:val="00605827"/>
    <w:rsid w:val="00646050"/>
    <w:rsid w:val="006713CA"/>
    <w:rsid w:val="00676C5C"/>
    <w:rsid w:val="006B1AB7"/>
    <w:rsid w:val="006B25B8"/>
    <w:rsid w:val="006E223D"/>
    <w:rsid w:val="006F7566"/>
    <w:rsid w:val="00716A64"/>
    <w:rsid w:val="00720365"/>
    <w:rsid w:val="007370BE"/>
    <w:rsid w:val="0074096E"/>
    <w:rsid w:val="0076124B"/>
    <w:rsid w:val="00762936"/>
    <w:rsid w:val="007802D1"/>
    <w:rsid w:val="00795A63"/>
    <w:rsid w:val="007A1348"/>
    <w:rsid w:val="007D1613"/>
    <w:rsid w:val="00864552"/>
    <w:rsid w:val="008737C1"/>
    <w:rsid w:val="008B2CC1"/>
    <w:rsid w:val="008B60B2"/>
    <w:rsid w:val="008E2A07"/>
    <w:rsid w:val="008F760B"/>
    <w:rsid w:val="0090731E"/>
    <w:rsid w:val="00916EE2"/>
    <w:rsid w:val="00951ECC"/>
    <w:rsid w:val="00961D2B"/>
    <w:rsid w:val="00966A22"/>
    <w:rsid w:val="0096722F"/>
    <w:rsid w:val="0097654C"/>
    <w:rsid w:val="00980843"/>
    <w:rsid w:val="00993297"/>
    <w:rsid w:val="009C1AED"/>
    <w:rsid w:val="009D6FEC"/>
    <w:rsid w:val="009E2791"/>
    <w:rsid w:val="009E3F6F"/>
    <w:rsid w:val="009F499F"/>
    <w:rsid w:val="009F75F8"/>
    <w:rsid w:val="00A141DC"/>
    <w:rsid w:val="00A20576"/>
    <w:rsid w:val="00A25F9A"/>
    <w:rsid w:val="00A27DAA"/>
    <w:rsid w:val="00A362DC"/>
    <w:rsid w:val="00A415F9"/>
    <w:rsid w:val="00A42DAF"/>
    <w:rsid w:val="00A45BD8"/>
    <w:rsid w:val="00A869B7"/>
    <w:rsid w:val="00A90194"/>
    <w:rsid w:val="00AC205C"/>
    <w:rsid w:val="00AD26C5"/>
    <w:rsid w:val="00AD2881"/>
    <w:rsid w:val="00AE58DE"/>
    <w:rsid w:val="00AF0A6B"/>
    <w:rsid w:val="00B001BC"/>
    <w:rsid w:val="00B05A69"/>
    <w:rsid w:val="00B45B92"/>
    <w:rsid w:val="00B74F56"/>
    <w:rsid w:val="00B844A6"/>
    <w:rsid w:val="00B9734B"/>
    <w:rsid w:val="00BA0A61"/>
    <w:rsid w:val="00BA1A02"/>
    <w:rsid w:val="00BE4127"/>
    <w:rsid w:val="00C11BFE"/>
    <w:rsid w:val="00C17D55"/>
    <w:rsid w:val="00C540D9"/>
    <w:rsid w:val="00C855B8"/>
    <w:rsid w:val="00CE2EC2"/>
    <w:rsid w:val="00CF1BE1"/>
    <w:rsid w:val="00CF65A1"/>
    <w:rsid w:val="00D45252"/>
    <w:rsid w:val="00D57AF8"/>
    <w:rsid w:val="00D63470"/>
    <w:rsid w:val="00D71B4D"/>
    <w:rsid w:val="00D77E96"/>
    <w:rsid w:val="00D93D55"/>
    <w:rsid w:val="00DC5418"/>
    <w:rsid w:val="00E039FE"/>
    <w:rsid w:val="00E07E7F"/>
    <w:rsid w:val="00E214AC"/>
    <w:rsid w:val="00E30DCC"/>
    <w:rsid w:val="00E335FE"/>
    <w:rsid w:val="00E341BA"/>
    <w:rsid w:val="00EC484A"/>
    <w:rsid w:val="00EC4E49"/>
    <w:rsid w:val="00ED77FB"/>
    <w:rsid w:val="00EE1EEA"/>
    <w:rsid w:val="00EE45FA"/>
    <w:rsid w:val="00EF6B8F"/>
    <w:rsid w:val="00F119CC"/>
    <w:rsid w:val="00F1702A"/>
    <w:rsid w:val="00F66152"/>
    <w:rsid w:val="00F76AEE"/>
    <w:rsid w:val="00FA7945"/>
    <w:rsid w:val="00FB159A"/>
    <w:rsid w:val="00FF4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styleId="ListParagraph">
    <w:name w:val="List Paragraph"/>
    <w:basedOn w:val="Normal"/>
    <w:uiPriority w:val="34"/>
    <w:qFormat/>
    <w:rsid w:val="00C540D9"/>
    <w:pPr>
      <w:ind w:left="720"/>
      <w:contextualSpacing/>
    </w:pPr>
  </w:style>
  <w:style w:type="paragraph" w:customStyle="1" w:styleId="Endofdocument">
    <w:name w:val="End of document"/>
    <w:basedOn w:val="Normal"/>
    <w:rsid w:val="00C17D55"/>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styleId="ListParagraph">
    <w:name w:val="List Paragraph"/>
    <w:basedOn w:val="Normal"/>
    <w:uiPriority w:val="34"/>
    <w:qFormat/>
    <w:rsid w:val="00C540D9"/>
    <w:pPr>
      <w:ind w:left="720"/>
      <w:contextualSpacing/>
    </w:pPr>
  </w:style>
  <w:style w:type="paragraph" w:customStyle="1" w:styleId="Endofdocument">
    <w:name w:val="End of document"/>
    <w:basedOn w:val="Normal"/>
    <w:rsid w:val="00C17D55"/>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Template>
  <TotalTime>0</TotalTime>
  <Pages>2</Pages>
  <Words>631</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COUSIN Raquel</dc:creator>
  <cp:lastModifiedBy>COUSIN Raquel</cp:lastModifiedBy>
  <cp:revision>2</cp:revision>
  <cp:lastPrinted>2015-05-16T19:27:00Z</cp:lastPrinted>
  <dcterms:created xsi:type="dcterms:W3CDTF">2015-05-18T06:59:00Z</dcterms:created>
  <dcterms:modified xsi:type="dcterms:W3CDTF">2015-05-18T06:59:00Z</dcterms:modified>
</cp:coreProperties>
</file>