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356" w:type="dxa"/>
        <w:tblInd w:w="108" w:type="dxa"/>
        <w:tblLayout w:type="fixed"/>
        <w:tblLook w:val="01E0" w:firstRow="1" w:lastRow="1" w:firstColumn="1" w:lastColumn="1" w:noHBand="0" w:noVBand="0"/>
      </w:tblPr>
      <w:tblGrid>
        <w:gridCol w:w="4594"/>
        <w:gridCol w:w="4337"/>
        <w:gridCol w:w="425"/>
      </w:tblGrid>
      <w:tr w:rsidR="00EE0F0D" w:rsidRPr="00EE0F0D" w:rsidTr="00656C6A">
        <w:trPr>
          <w:trHeight w:val="1977"/>
        </w:trPr>
        <w:tc>
          <w:tcPr>
            <w:tcW w:w="4594" w:type="dxa"/>
            <w:tcBorders>
              <w:bottom w:val="single" w:sz="4" w:space="0" w:color="auto"/>
            </w:tcBorders>
            <w:tcMar>
              <w:bottom w:w="170" w:type="dxa"/>
            </w:tcMar>
          </w:tcPr>
          <w:p w:rsidR="00EE0F0D" w:rsidRPr="00EE0F0D" w:rsidRDefault="00EE0F0D" w:rsidP="00EE0F0D">
            <w:bookmarkStart w:id="0" w:name="_GoBack"/>
            <w:bookmarkEnd w:id="0"/>
            <w:r w:rsidRPr="00EE0F0D">
              <w:rPr>
                <w:rFonts w:hint="eastAsia"/>
                <w:noProof/>
                <w:lang w:eastAsia="en-US"/>
              </w:rPr>
              <w:drawing>
                <wp:anchor distT="0" distB="0" distL="114300" distR="114300" simplePos="0" relativeHeight="251659264" behindDoc="1" locked="0" layoutInCell="0" allowOverlap="1" wp14:anchorId="37A25873" wp14:editId="6A27FF14">
                  <wp:simplePos x="0" y="0"/>
                  <wp:positionH relativeFrom="page">
                    <wp:posOffset>3834130</wp:posOffset>
                  </wp:positionH>
                  <wp:positionV relativeFrom="margin">
                    <wp:posOffset>0</wp:posOffset>
                  </wp:positionV>
                  <wp:extent cx="866775" cy="1323975"/>
                  <wp:effectExtent l="0" t="0" r="9525" b="9525"/>
                  <wp:wrapNone/>
                  <wp:docPr id="4" name="图片 4" descr="WIPO-C-B&am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IPO-C-B&amp;W"/>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66775" cy="13239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37" w:type="dxa"/>
            <w:tcBorders>
              <w:bottom w:val="single" w:sz="4" w:space="0" w:color="auto"/>
            </w:tcBorders>
            <w:tcMar>
              <w:left w:w="0" w:type="dxa"/>
              <w:right w:w="0" w:type="dxa"/>
            </w:tcMar>
          </w:tcPr>
          <w:p w:rsidR="00EE0F0D" w:rsidRPr="00EE0F0D" w:rsidRDefault="00EE0F0D" w:rsidP="00EE0F0D"/>
        </w:tc>
        <w:tc>
          <w:tcPr>
            <w:tcW w:w="425" w:type="dxa"/>
            <w:tcBorders>
              <w:bottom w:val="single" w:sz="4" w:space="0" w:color="auto"/>
            </w:tcBorders>
            <w:tcMar>
              <w:left w:w="0" w:type="dxa"/>
              <w:right w:w="0" w:type="dxa"/>
            </w:tcMar>
          </w:tcPr>
          <w:p w:rsidR="00EE0F0D" w:rsidRPr="00EE0F0D" w:rsidRDefault="00EE0F0D" w:rsidP="00EE0F0D">
            <w:pPr>
              <w:jc w:val="right"/>
            </w:pPr>
            <w:r w:rsidRPr="00EE0F0D">
              <w:rPr>
                <w:rFonts w:hint="eastAsia"/>
                <w:b/>
                <w:sz w:val="40"/>
                <w:szCs w:val="40"/>
              </w:rPr>
              <w:t>C</w:t>
            </w:r>
          </w:p>
        </w:tc>
      </w:tr>
      <w:tr w:rsidR="00EE0F0D" w:rsidRPr="00EE0F0D" w:rsidTr="00656C6A">
        <w:trPr>
          <w:trHeight w:hRule="exact" w:val="340"/>
        </w:trPr>
        <w:tc>
          <w:tcPr>
            <w:tcW w:w="9356" w:type="dxa"/>
            <w:gridSpan w:val="3"/>
            <w:tcBorders>
              <w:top w:val="single" w:sz="4" w:space="0" w:color="auto"/>
            </w:tcBorders>
            <w:tcMar>
              <w:top w:w="170" w:type="dxa"/>
              <w:left w:w="0" w:type="dxa"/>
              <w:right w:w="0" w:type="dxa"/>
            </w:tcMar>
            <w:vAlign w:val="bottom"/>
          </w:tcPr>
          <w:p w:rsidR="00EE0F0D" w:rsidRPr="00EE0F0D" w:rsidRDefault="00EE0F0D" w:rsidP="00316A3C">
            <w:pPr>
              <w:jc w:val="right"/>
              <w:rPr>
                <w:rFonts w:ascii="Arial Black" w:hAnsi="Arial Black"/>
                <w:caps/>
                <w:sz w:val="15"/>
              </w:rPr>
            </w:pPr>
            <w:r w:rsidRPr="00EE0F0D">
              <w:rPr>
                <w:rFonts w:ascii="Arial Black" w:hAnsi="Arial Black" w:hint="eastAsia"/>
                <w:caps/>
                <w:sz w:val="15"/>
              </w:rPr>
              <w:t>WIPO/IP/ITAI/GE/18/</w:t>
            </w:r>
            <w:bookmarkStart w:id="1" w:name="Code"/>
            <w:bookmarkEnd w:id="1"/>
            <w:r w:rsidR="00316A3C">
              <w:rPr>
                <w:rFonts w:ascii="Arial Black" w:hAnsi="Arial Black" w:hint="eastAsia"/>
                <w:caps/>
                <w:sz w:val="15"/>
              </w:rPr>
              <w:t>3</w:t>
            </w:r>
          </w:p>
        </w:tc>
      </w:tr>
      <w:tr w:rsidR="00EE0F0D" w:rsidRPr="00EE0F0D" w:rsidTr="00656C6A">
        <w:trPr>
          <w:trHeight w:hRule="exact" w:val="170"/>
        </w:trPr>
        <w:tc>
          <w:tcPr>
            <w:tcW w:w="9356" w:type="dxa"/>
            <w:gridSpan w:val="3"/>
            <w:noWrap/>
            <w:tcMar>
              <w:left w:w="0" w:type="dxa"/>
              <w:right w:w="0" w:type="dxa"/>
            </w:tcMar>
            <w:vAlign w:val="bottom"/>
          </w:tcPr>
          <w:p w:rsidR="00EE0F0D" w:rsidRPr="00EE0F0D" w:rsidRDefault="00EE0F0D" w:rsidP="00EE0F0D">
            <w:pPr>
              <w:jc w:val="right"/>
              <w:rPr>
                <w:rFonts w:ascii="Arial Black" w:hAnsi="Arial Black"/>
                <w:b/>
                <w:caps/>
                <w:sz w:val="15"/>
                <w:szCs w:val="15"/>
              </w:rPr>
            </w:pPr>
            <w:r w:rsidRPr="00EE0F0D">
              <w:rPr>
                <w:rFonts w:eastAsia="SimHei" w:hint="eastAsia"/>
                <w:b/>
                <w:sz w:val="15"/>
                <w:szCs w:val="15"/>
              </w:rPr>
              <w:t>原</w:t>
            </w:r>
            <w:r w:rsidRPr="00EE0F0D">
              <w:rPr>
                <w:rFonts w:eastAsia="SimHei" w:hint="eastAsia"/>
                <w:b/>
                <w:sz w:val="15"/>
                <w:szCs w:val="15"/>
                <w:lang w:val="pt-BR"/>
              </w:rPr>
              <w:t xml:space="preserve"> </w:t>
            </w:r>
            <w:r w:rsidRPr="00EE0F0D">
              <w:rPr>
                <w:rFonts w:eastAsia="SimHei" w:hint="eastAsia"/>
                <w:b/>
                <w:sz w:val="15"/>
                <w:szCs w:val="15"/>
              </w:rPr>
              <w:t>文</w:t>
            </w:r>
            <w:r w:rsidRPr="00EE0F0D">
              <w:rPr>
                <w:rFonts w:eastAsia="SimHei" w:hint="eastAsia"/>
                <w:b/>
                <w:sz w:val="15"/>
                <w:szCs w:val="15"/>
                <w:lang w:val="pt-BR"/>
              </w:rPr>
              <w:t>：</w:t>
            </w:r>
            <w:bookmarkStart w:id="2" w:name="Original"/>
            <w:bookmarkEnd w:id="2"/>
            <w:r w:rsidRPr="00EE0F0D">
              <w:rPr>
                <w:rFonts w:eastAsia="SimHei" w:hint="eastAsia"/>
                <w:b/>
                <w:sz w:val="15"/>
                <w:szCs w:val="15"/>
              </w:rPr>
              <w:t>英</w:t>
            </w:r>
            <w:r w:rsidRPr="00EE0F0D">
              <w:rPr>
                <w:rFonts w:eastAsia="SimHei" w:hint="eastAsia"/>
                <w:b/>
                <w:sz w:val="15"/>
                <w:szCs w:val="15"/>
              </w:rPr>
              <w:t xml:space="preserve"> </w:t>
            </w:r>
            <w:r w:rsidRPr="00EE0F0D">
              <w:rPr>
                <w:rFonts w:eastAsia="SimHei" w:hint="eastAsia"/>
                <w:b/>
                <w:sz w:val="15"/>
                <w:szCs w:val="15"/>
              </w:rPr>
              <w:t>文</w:t>
            </w:r>
          </w:p>
        </w:tc>
      </w:tr>
      <w:tr w:rsidR="00EE0F0D" w:rsidRPr="00EE0F0D" w:rsidTr="00656C6A">
        <w:trPr>
          <w:trHeight w:hRule="exact" w:val="198"/>
        </w:trPr>
        <w:tc>
          <w:tcPr>
            <w:tcW w:w="9356" w:type="dxa"/>
            <w:gridSpan w:val="3"/>
            <w:tcMar>
              <w:left w:w="0" w:type="dxa"/>
              <w:right w:w="0" w:type="dxa"/>
            </w:tcMar>
            <w:vAlign w:val="bottom"/>
          </w:tcPr>
          <w:p w:rsidR="00EE0F0D" w:rsidRPr="00EE0F0D" w:rsidRDefault="00EE0F0D" w:rsidP="00B667AB">
            <w:pPr>
              <w:jc w:val="right"/>
              <w:rPr>
                <w:rFonts w:ascii="SimHei" w:eastAsia="SimHei" w:hAnsi="Arial Black"/>
                <w:b/>
                <w:caps/>
                <w:sz w:val="15"/>
                <w:szCs w:val="15"/>
              </w:rPr>
            </w:pPr>
            <w:r w:rsidRPr="00EE0F0D">
              <w:rPr>
                <w:rFonts w:ascii="SimHei" w:eastAsia="SimHei" w:hint="eastAsia"/>
                <w:b/>
                <w:sz w:val="15"/>
                <w:szCs w:val="15"/>
              </w:rPr>
              <w:t>日</w:t>
            </w:r>
            <w:r w:rsidRPr="00EE0F0D">
              <w:rPr>
                <w:rFonts w:ascii="SimHei" w:eastAsia="SimHei" w:hint="eastAsia"/>
                <w:b/>
                <w:sz w:val="15"/>
                <w:szCs w:val="15"/>
                <w:lang w:val="pt-BR"/>
              </w:rPr>
              <w:t xml:space="preserve"> </w:t>
            </w:r>
            <w:r w:rsidRPr="00EE0F0D">
              <w:rPr>
                <w:rFonts w:ascii="SimHei" w:eastAsia="SimHei" w:hint="eastAsia"/>
                <w:b/>
                <w:sz w:val="15"/>
                <w:szCs w:val="15"/>
              </w:rPr>
              <w:t>期</w:t>
            </w:r>
            <w:r w:rsidRPr="00EE0F0D">
              <w:rPr>
                <w:rFonts w:ascii="SimHei" w:eastAsia="SimHei" w:hAnsi="SimSun" w:hint="eastAsia"/>
                <w:b/>
                <w:sz w:val="15"/>
                <w:szCs w:val="15"/>
                <w:lang w:val="pt-BR"/>
              </w:rPr>
              <w:t>：</w:t>
            </w:r>
            <w:bookmarkStart w:id="3" w:name="Date"/>
            <w:bookmarkEnd w:id="3"/>
            <w:r w:rsidRPr="00EE0F0D">
              <w:rPr>
                <w:rFonts w:ascii="Arial Black" w:hAnsi="Arial Black" w:hint="eastAsia"/>
                <w:caps/>
                <w:sz w:val="15"/>
              </w:rPr>
              <w:t>2018</w:t>
            </w:r>
            <w:r w:rsidRPr="00EE0F0D">
              <w:rPr>
                <w:rFonts w:ascii="SimHei" w:eastAsia="SimHei" w:hAnsi="Times New Roman" w:hint="eastAsia"/>
                <w:b/>
                <w:sz w:val="15"/>
                <w:szCs w:val="15"/>
              </w:rPr>
              <w:t>年</w:t>
            </w:r>
            <w:r w:rsidR="00B667AB">
              <w:rPr>
                <w:rFonts w:ascii="Arial Black" w:hAnsi="Arial Black" w:hint="eastAsia"/>
                <w:caps/>
                <w:sz w:val="15"/>
              </w:rPr>
              <w:t>3</w:t>
            </w:r>
            <w:r w:rsidRPr="00EE0F0D">
              <w:rPr>
                <w:rFonts w:eastAsia="SimHei" w:hint="eastAsia"/>
                <w:b/>
                <w:sz w:val="15"/>
                <w:szCs w:val="15"/>
              </w:rPr>
              <w:t>月</w:t>
            </w:r>
            <w:r w:rsidR="00B667AB">
              <w:rPr>
                <w:rFonts w:ascii="Arial Black" w:hAnsi="Arial Black" w:hint="eastAsia"/>
                <w:caps/>
                <w:sz w:val="15"/>
              </w:rPr>
              <w:t>20</w:t>
            </w:r>
            <w:r w:rsidRPr="00EE0F0D">
              <w:rPr>
                <w:rFonts w:eastAsia="SimHei" w:hint="eastAsia"/>
                <w:b/>
                <w:sz w:val="15"/>
                <w:szCs w:val="15"/>
              </w:rPr>
              <w:t>日</w:t>
            </w:r>
            <w:r w:rsidRPr="00EE0F0D">
              <w:rPr>
                <w:rFonts w:ascii="SimHei" w:eastAsia="SimHei" w:hAnsi="Arial Black" w:hint="eastAsia"/>
                <w:b/>
                <w:caps/>
                <w:sz w:val="15"/>
                <w:szCs w:val="15"/>
              </w:rPr>
              <w:t xml:space="preserve">  </w:t>
            </w:r>
          </w:p>
        </w:tc>
      </w:tr>
    </w:tbl>
    <w:p w:rsidR="00EE0F0D" w:rsidRPr="00EE0F0D" w:rsidRDefault="00EE0F0D" w:rsidP="00EE0F0D"/>
    <w:p w:rsidR="00EE0F0D" w:rsidRPr="00EE0F0D" w:rsidRDefault="00EE0F0D" w:rsidP="00EE0F0D"/>
    <w:p w:rsidR="00EE0F0D" w:rsidRPr="00EE0F0D" w:rsidRDefault="00EE0F0D" w:rsidP="00EE0F0D"/>
    <w:p w:rsidR="00EE0F0D" w:rsidRPr="00EE0F0D" w:rsidRDefault="00EE0F0D" w:rsidP="00EE0F0D"/>
    <w:p w:rsidR="00EE0F0D" w:rsidRPr="00EE0F0D" w:rsidRDefault="00EE0F0D" w:rsidP="00EE0F0D"/>
    <w:p w:rsidR="00EE0F0D" w:rsidRPr="00EE0F0D" w:rsidRDefault="00EE0F0D" w:rsidP="00EE0F0D">
      <w:pPr>
        <w:rPr>
          <w:rFonts w:ascii="SimHei" w:eastAsia="SimHei" w:cs="Times New Roman"/>
          <w:sz w:val="28"/>
          <w:szCs w:val="28"/>
        </w:rPr>
      </w:pPr>
      <w:r w:rsidRPr="00EE0F0D">
        <w:rPr>
          <w:rFonts w:ascii="SimHei" w:eastAsia="SimHei" w:cs="Times New Roman" w:hint="eastAsia"/>
          <w:sz w:val="28"/>
          <w:szCs w:val="28"/>
        </w:rPr>
        <w:t>知识产权行政管理用信通技术策略和人工智能问题</w:t>
      </w:r>
      <w:r w:rsidRPr="00EE0F0D">
        <w:rPr>
          <w:rFonts w:ascii="SimHei" w:eastAsia="SimHei" w:cs="Times New Roman" w:hint="eastAsia"/>
          <w:sz w:val="28"/>
          <w:szCs w:val="28"/>
        </w:rPr>
        <w:br/>
        <w:t>知识产权局会议</w:t>
      </w:r>
    </w:p>
    <w:p w:rsidR="00EE0F0D" w:rsidRPr="00EE0F0D" w:rsidRDefault="00EE0F0D" w:rsidP="00EE0F0D"/>
    <w:p w:rsidR="00EE0F0D" w:rsidRPr="00EE0F0D" w:rsidRDefault="00EE0F0D" w:rsidP="00EE0F0D"/>
    <w:p w:rsidR="00EE0F0D" w:rsidRPr="00EE0F0D" w:rsidRDefault="00EE0F0D" w:rsidP="00EE0F0D">
      <w:pPr>
        <w:rPr>
          <w:caps/>
          <w:sz w:val="24"/>
        </w:rPr>
      </w:pPr>
      <w:r w:rsidRPr="00EE0F0D">
        <w:rPr>
          <w:rFonts w:ascii="KaiTi" w:eastAsia="KaiTi" w:hAnsi="KaiTi" w:hint="eastAsia"/>
          <w:sz w:val="24"/>
          <w:szCs w:val="24"/>
        </w:rPr>
        <w:t>2018</w:t>
      </w:r>
      <w:r w:rsidRPr="00EE0F0D">
        <w:rPr>
          <w:rFonts w:ascii="KaiTi" w:eastAsia="KaiTi" w:hAnsi="KaiTi" w:hint="eastAsia"/>
          <w:b/>
          <w:sz w:val="24"/>
          <w:szCs w:val="24"/>
        </w:rPr>
        <w:t>年</w:t>
      </w:r>
      <w:r w:rsidRPr="00EE0F0D">
        <w:rPr>
          <w:rFonts w:ascii="KaiTi" w:eastAsia="KaiTi" w:hAnsi="KaiTi" w:hint="eastAsia"/>
          <w:sz w:val="24"/>
          <w:szCs w:val="24"/>
        </w:rPr>
        <w:t>5</w:t>
      </w:r>
      <w:r w:rsidRPr="00EE0F0D">
        <w:rPr>
          <w:rFonts w:ascii="KaiTi" w:eastAsia="KaiTi" w:hAnsi="KaiTi" w:hint="eastAsia"/>
          <w:b/>
          <w:sz w:val="24"/>
          <w:szCs w:val="24"/>
        </w:rPr>
        <w:t>月</w:t>
      </w:r>
      <w:r w:rsidRPr="00EE0F0D">
        <w:rPr>
          <w:rFonts w:ascii="KaiTi" w:eastAsia="KaiTi" w:hAnsi="KaiTi" w:hint="eastAsia"/>
          <w:sz w:val="24"/>
          <w:szCs w:val="24"/>
        </w:rPr>
        <w:t>23</w:t>
      </w:r>
      <w:r w:rsidRPr="00EE0F0D">
        <w:rPr>
          <w:rFonts w:ascii="KaiTi" w:eastAsia="KaiTi" w:hAnsi="KaiTi" w:hint="eastAsia"/>
          <w:b/>
          <w:sz w:val="24"/>
          <w:szCs w:val="24"/>
        </w:rPr>
        <w:t>日至</w:t>
      </w:r>
      <w:r w:rsidRPr="00EE0F0D">
        <w:rPr>
          <w:rFonts w:ascii="KaiTi" w:eastAsia="KaiTi" w:hAnsi="KaiTi" w:hint="eastAsia"/>
          <w:sz w:val="24"/>
          <w:szCs w:val="24"/>
        </w:rPr>
        <w:t>25</w:t>
      </w:r>
      <w:r w:rsidRPr="00EE0F0D">
        <w:rPr>
          <w:rFonts w:ascii="KaiTi" w:eastAsia="KaiTi" w:hAnsi="KaiTi" w:hint="eastAsia"/>
          <w:b/>
          <w:sz w:val="24"/>
          <w:szCs w:val="24"/>
        </w:rPr>
        <w:t>日，日内瓦</w:t>
      </w:r>
    </w:p>
    <w:p w:rsidR="00EE0F0D" w:rsidRPr="00EE0F0D" w:rsidRDefault="00EE0F0D" w:rsidP="00EE0F0D"/>
    <w:p w:rsidR="00EE0F0D" w:rsidRPr="00EE0F0D" w:rsidRDefault="00EE0F0D" w:rsidP="00EE0F0D"/>
    <w:p w:rsidR="00EE0F0D" w:rsidRPr="00EE0F0D" w:rsidRDefault="00EE0F0D" w:rsidP="00EE0F0D"/>
    <w:p w:rsidR="00EE0F0D" w:rsidRPr="00EE0F0D" w:rsidRDefault="00EE0F0D" w:rsidP="00EE0F0D">
      <w:pPr>
        <w:rPr>
          <w:rFonts w:ascii="KaiTi" w:eastAsia="KaiTi" w:hAnsi="KaiTi"/>
          <w:sz w:val="24"/>
          <w:szCs w:val="22"/>
        </w:rPr>
      </w:pPr>
      <w:bookmarkStart w:id="4" w:name="TitleOfDoc"/>
      <w:bookmarkEnd w:id="4"/>
      <w:r w:rsidRPr="00EE0F0D">
        <w:rPr>
          <w:rFonts w:ascii="KaiTi" w:eastAsia="KaiTi" w:hAnsi="KaiTi" w:hint="eastAsia"/>
          <w:sz w:val="24"/>
          <w:szCs w:val="22"/>
        </w:rPr>
        <w:t>知识产权局的国家和国际</w:t>
      </w:r>
      <w:r>
        <w:rPr>
          <w:rFonts w:ascii="KaiTi" w:eastAsia="KaiTi" w:hAnsi="KaiTi" w:hint="eastAsia"/>
          <w:sz w:val="24"/>
          <w:szCs w:val="22"/>
        </w:rPr>
        <w:t>信通技术</w:t>
      </w:r>
      <w:r w:rsidRPr="00EE0F0D">
        <w:rPr>
          <w:rFonts w:ascii="KaiTi" w:eastAsia="KaiTi" w:hAnsi="KaiTi" w:hint="eastAsia"/>
          <w:sz w:val="24"/>
          <w:szCs w:val="22"/>
        </w:rPr>
        <w:t>战略</w:t>
      </w:r>
    </w:p>
    <w:p w:rsidR="00EE0F0D" w:rsidRPr="00EE0F0D" w:rsidRDefault="00EE0F0D" w:rsidP="00EE0F0D">
      <w:pPr>
        <w:rPr>
          <w:i/>
          <w:szCs w:val="22"/>
        </w:rPr>
      </w:pPr>
    </w:p>
    <w:p w:rsidR="00EE0F0D" w:rsidRPr="00EE0F0D" w:rsidRDefault="00EE0F0D" w:rsidP="00EE0F0D">
      <w:pPr>
        <w:rPr>
          <w:rFonts w:ascii="KaiTi" w:eastAsia="KaiTi" w:hAnsi="KaiTi"/>
          <w:sz w:val="21"/>
          <w:szCs w:val="21"/>
        </w:rPr>
      </w:pPr>
      <w:bookmarkStart w:id="5" w:name="Prepared"/>
      <w:bookmarkEnd w:id="5"/>
      <w:r w:rsidRPr="00EE0F0D">
        <w:rPr>
          <w:rFonts w:ascii="KaiTi" w:eastAsia="KaiTi" w:hAnsi="KaiTi" w:hint="eastAsia"/>
          <w:sz w:val="21"/>
          <w:szCs w:val="21"/>
        </w:rPr>
        <w:t>产权组织国际局编拟</w:t>
      </w:r>
      <w:r>
        <w:rPr>
          <w:rFonts w:ascii="KaiTi" w:eastAsia="KaiTi" w:hAnsi="KaiTi" w:hint="eastAsia"/>
          <w:sz w:val="21"/>
          <w:szCs w:val="21"/>
        </w:rPr>
        <w:t>的文件</w:t>
      </w:r>
    </w:p>
    <w:p w:rsidR="00EE0F0D" w:rsidRPr="00EE0F0D" w:rsidRDefault="00EE0F0D" w:rsidP="00EE0F0D">
      <w:pPr>
        <w:rPr>
          <w:szCs w:val="22"/>
        </w:rPr>
      </w:pPr>
    </w:p>
    <w:p w:rsidR="00EE0F0D" w:rsidRPr="00EE0F0D" w:rsidRDefault="00EE0F0D" w:rsidP="00EE0F0D"/>
    <w:p w:rsidR="00EE0F0D" w:rsidRPr="00EE0F0D" w:rsidRDefault="00EE0F0D" w:rsidP="00EE0F0D"/>
    <w:p w:rsidR="00EE0F0D" w:rsidRPr="00EE0F0D" w:rsidRDefault="00EE0F0D" w:rsidP="00EE0F0D"/>
    <w:p w:rsidR="009262E7" w:rsidRPr="006575B1" w:rsidRDefault="00B510AA" w:rsidP="006575B1">
      <w:pPr>
        <w:pStyle w:val="Heading1"/>
        <w:overflowPunct w:val="0"/>
        <w:spacing w:beforeLines="100" w:afterLines="50" w:after="120" w:line="340" w:lineRule="atLeast"/>
        <w:rPr>
          <w:rFonts w:ascii="SimSun" w:hAnsi="SimSun"/>
          <w:sz w:val="21"/>
        </w:rPr>
      </w:pPr>
      <w:r w:rsidRPr="006575B1">
        <w:rPr>
          <w:rFonts w:ascii="SimSun" w:hAnsi="SimSun"/>
          <w:sz w:val="21"/>
        </w:rPr>
        <w:t>引</w:t>
      </w:r>
      <w:r w:rsidR="00EA50FC">
        <w:rPr>
          <w:rFonts w:ascii="SimSun" w:hAnsi="SimSun" w:hint="eastAsia"/>
          <w:sz w:val="21"/>
        </w:rPr>
        <w:t xml:space="preserve">　</w:t>
      </w:r>
      <w:r w:rsidRPr="006575B1">
        <w:rPr>
          <w:rFonts w:ascii="SimSun" w:hAnsi="SimSun"/>
          <w:sz w:val="21"/>
        </w:rPr>
        <w:t>言</w:t>
      </w:r>
    </w:p>
    <w:p w:rsidR="00B510AA" w:rsidRPr="0034139E" w:rsidRDefault="00B510AA" w:rsidP="009D0855">
      <w:pPr>
        <w:pStyle w:val="ONUME"/>
        <w:numPr>
          <w:ilvl w:val="0"/>
          <w:numId w:val="8"/>
        </w:numPr>
        <w:overflowPunct w:val="0"/>
        <w:spacing w:afterLines="50" w:after="120" w:line="340" w:lineRule="atLeast"/>
        <w:ind w:left="0" w:firstLine="0"/>
        <w:jc w:val="both"/>
        <w:rPr>
          <w:rFonts w:ascii="SimSun" w:hAnsi="SimSun"/>
          <w:sz w:val="21"/>
          <w:szCs w:val="22"/>
        </w:rPr>
      </w:pPr>
      <w:r w:rsidRPr="0034139E">
        <w:rPr>
          <w:rFonts w:ascii="SimSun" w:hAnsi="SimSun" w:hint="eastAsia"/>
          <w:sz w:val="21"/>
          <w:szCs w:val="22"/>
        </w:rPr>
        <w:t>本文件旨在提供有用信息，以促进从国家和国际角度讨论</w:t>
      </w:r>
      <w:r w:rsidR="00F811DA" w:rsidRPr="0034139E">
        <w:rPr>
          <w:rFonts w:ascii="SimSun" w:hAnsi="SimSun" w:hint="eastAsia"/>
          <w:sz w:val="21"/>
          <w:szCs w:val="22"/>
        </w:rPr>
        <w:t>信息</w:t>
      </w:r>
      <w:r w:rsidR="00B667AB">
        <w:rPr>
          <w:rFonts w:ascii="SimSun" w:hAnsi="SimSun" w:hint="eastAsia"/>
          <w:sz w:val="21"/>
          <w:szCs w:val="22"/>
        </w:rPr>
        <w:t>和</w:t>
      </w:r>
      <w:r w:rsidR="00F811DA" w:rsidRPr="0034139E">
        <w:rPr>
          <w:rFonts w:ascii="SimSun" w:hAnsi="SimSun" w:hint="eastAsia"/>
          <w:sz w:val="21"/>
          <w:szCs w:val="22"/>
        </w:rPr>
        <w:t>通信技术（</w:t>
      </w:r>
      <w:r w:rsidR="00B667AB" w:rsidRPr="0034139E">
        <w:rPr>
          <w:rFonts w:ascii="SimSun" w:hAnsi="SimSun" w:hint="eastAsia"/>
          <w:sz w:val="21"/>
          <w:szCs w:val="22"/>
        </w:rPr>
        <w:t>信通技术</w:t>
      </w:r>
      <w:r w:rsidR="00F811DA" w:rsidRPr="0034139E">
        <w:rPr>
          <w:rFonts w:ascii="SimSun" w:hAnsi="SimSun" w:hint="eastAsia"/>
          <w:sz w:val="21"/>
          <w:szCs w:val="22"/>
        </w:rPr>
        <w:t>）</w:t>
      </w:r>
      <w:r w:rsidRPr="0034139E">
        <w:rPr>
          <w:rFonts w:ascii="SimSun" w:hAnsi="SimSun" w:hint="eastAsia"/>
          <w:sz w:val="21"/>
          <w:szCs w:val="22"/>
        </w:rPr>
        <w:t>战略。文件列出了知识产权局在专利、商标和工业品外观设计方面最常见的职能和使知识产权局得以提供高效优质的最常见要求，以及支持上述职能和满足上述要求所必需的</w:t>
      </w:r>
      <w:r w:rsidR="00B667AB">
        <w:rPr>
          <w:rFonts w:ascii="SimSun" w:hAnsi="SimSun" w:hint="eastAsia"/>
          <w:sz w:val="21"/>
          <w:szCs w:val="22"/>
        </w:rPr>
        <w:t>信通技术</w:t>
      </w:r>
      <w:r w:rsidRPr="0034139E">
        <w:rPr>
          <w:rFonts w:ascii="SimSun" w:hAnsi="SimSun" w:hint="eastAsia"/>
          <w:sz w:val="21"/>
          <w:szCs w:val="22"/>
        </w:rPr>
        <w:t>组件和基础设施。文件由三部分组成：</w:t>
      </w:r>
    </w:p>
    <w:p w:rsidR="00B510AA" w:rsidRPr="0034139E" w:rsidRDefault="00B510AA" w:rsidP="002E3D16">
      <w:pPr>
        <w:overflowPunct w:val="0"/>
        <w:spacing w:afterLines="50" w:after="120" w:line="340" w:lineRule="atLeast"/>
        <w:ind w:left="567"/>
        <w:jc w:val="both"/>
        <w:rPr>
          <w:rFonts w:ascii="SimSun" w:hAnsi="SimSun"/>
          <w:sz w:val="21"/>
          <w:szCs w:val="22"/>
        </w:rPr>
      </w:pPr>
      <w:r w:rsidRPr="0034139E">
        <w:rPr>
          <w:rFonts w:ascii="SimSun" w:hAnsi="SimSun" w:hint="eastAsia"/>
          <w:sz w:val="21"/>
          <w:szCs w:val="22"/>
        </w:rPr>
        <w:t>a</w:t>
      </w:r>
      <w:r w:rsidR="002E3D16">
        <w:rPr>
          <w:rFonts w:ascii="SimSun" w:hAnsi="SimSun" w:hint="eastAsia"/>
          <w:sz w:val="21"/>
          <w:szCs w:val="22"/>
        </w:rPr>
        <w:t>)</w:t>
      </w:r>
      <w:r w:rsidR="002E3D16">
        <w:rPr>
          <w:rFonts w:ascii="SimSun" w:hAnsi="SimSun" w:hint="eastAsia"/>
          <w:sz w:val="21"/>
          <w:szCs w:val="22"/>
        </w:rPr>
        <w:tab/>
      </w:r>
      <w:r w:rsidRPr="0034139E">
        <w:rPr>
          <w:rFonts w:ascii="SimSun" w:hAnsi="SimSun" w:hint="eastAsia"/>
          <w:sz w:val="21"/>
          <w:szCs w:val="22"/>
        </w:rPr>
        <w:t>第一部分（国家</w:t>
      </w:r>
      <w:r w:rsidR="00B667AB">
        <w:rPr>
          <w:rFonts w:ascii="SimSun" w:hAnsi="SimSun" w:hint="eastAsia"/>
          <w:sz w:val="21"/>
          <w:szCs w:val="22"/>
        </w:rPr>
        <w:t>信通技术</w:t>
      </w:r>
      <w:r w:rsidRPr="0034139E">
        <w:rPr>
          <w:rFonts w:ascii="SimSun" w:hAnsi="SimSun" w:hint="eastAsia"/>
          <w:sz w:val="21"/>
          <w:szCs w:val="22"/>
        </w:rPr>
        <w:t>战略）讨论国家</w:t>
      </w:r>
      <w:r w:rsidR="00B667AB">
        <w:rPr>
          <w:rFonts w:ascii="SimSun" w:hAnsi="SimSun" w:hint="eastAsia"/>
          <w:sz w:val="21"/>
          <w:szCs w:val="22"/>
        </w:rPr>
        <w:t>信通技术</w:t>
      </w:r>
      <w:r w:rsidRPr="0034139E">
        <w:rPr>
          <w:rFonts w:ascii="SimSun" w:hAnsi="SimSun" w:hint="eastAsia"/>
          <w:sz w:val="21"/>
          <w:szCs w:val="22"/>
        </w:rPr>
        <w:t>战略，主要侧重于知识产权局在国家处理知识产权申请方面的有效运作</w:t>
      </w:r>
      <w:r w:rsidR="002E3D16">
        <w:rPr>
          <w:rFonts w:ascii="SimSun" w:hAnsi="SimSun" w:hint="eastAsia"/>
          <w:sz w:val="21"/>
          <w:szCs w:val="22"/>
        </w:rPr>
        <w:t>；</w:t>
      </w:r>
    </w:p>
    <w:p w:rsidR="00B510AA" w:rsidRPr="0034139E" w:rsidRDefault="00B510AA" w:rsidP="002E3D16">
      <w:pPr>
        <w:overflowPunct w:val="0"/>
        <w:spacing w:afterLines="50" w:after="120" w:line="340" w:lineRule="atLeast"/>
        <w:ind w:left="567"/>
        <w:jc w:val="both"/>
        <w:rPr>
          <w:rFonts w:ascii="SimSun" w:hAnsi="SimSun"/>
          <w:sz w:val="21"/>
          <w:szCs w:val="22"/>
        </w:rPr>
      </w:pPr>
      <w:r w:rsidRPr="0034139E">
        <w:rPr>
          <w:rFonts w:ascii="SimSun" w:hAnsi="SimSun" w:hint="eastAsia"/>
          <w:sz w:val="21"/>
          <w:szCs w:val="22"/>
        </w:rPr>
        <w:t>b</w:t>
      </w:r>
      <w:r w:rsidR="002E3D16">
        <w:rPr>
          <w:rFonts w:ascii="SimSun" w:hAnsi="SimSun" w:hint="eastAsia"/>
          <w:sz w:val="21"/>
          <w:szCs w:val="22"/>
        </w:rPr>
        <w:t>)</w:t>
      </w:r>
      <w:r w:rsidR="002E3D16">
        <w:rPr>
          <w:rFonts w:ascii="SimSun" w:hAnsi="SimSun" w:hint="eastAsia"/>
          <w:sz w:val="21"/>
          <w:szCs w:val="22"/>
        </w:rPr>
        <w:tab/>
      </w:r>
      <w:r w:rsidRPr="0034139E">
        <w:rPr>
          <w:rFonts w:ascii="SimSun" w:hAnsi="SimSun" w:hint="eastAsia"/>
          <w:sz w:val="21"/>
          <w:szCs w:val="22"/>
        </w:rPr>
        <w:t>第二部分（国际</w:t>
      </w:r>
      <w:r w:rsidR="00B667AB">
        <w:rPr>
          <w:rFonts w:ascii="SimSun" w:hAnsi="SimSun" w:hint="eastAsia"/>
          <w:sz w:val="21"/>
          <w:szCs w:val="22"/>
        </w:rPr>
        <w:t>信通技术</w:t>
      </w:r>
      <w:r w:rsidRPr="0034139E">
        <w:rPr>
          <w:rFonts w:ascii="SimSun" w:hAnsi="SimSun" w:hint="eastAsia"/>
          <w:sz w:val="21"/>
          <w:szCs w:val="22"/>
        </w:rPr>
        <w:t>战略）讨论了在《专利合作条约》(PCT)、马德里商标体系和海牙工业品外观设计体系下的</w:t>
      </w:r>
      <w:r w:rsidR="00EA50FC">
        <w:rPr>
          <w:rFonts w:ascii="SimSun" w:hAnsi="SimSun" w:hint="eastAsia"/>
          <w:sz w:val="21"/>
          <w:szCs w:val="22"/>
        </w:rPr>
        <w:t>产权组织</w:t>
      </w:r>
      <w:r w:rsidRPr="0034139E">
        <w:rPr>
          <w:rFonts w:ascii="SimSun" w:hAnsi="SimSun" w:hint="eastAsia"/>
          <w:sz w:val="21"/>
          <w:szCs w:val="22"/>
        </w:rPr>
        <w:t>全球知识产权保护服务在支持国际合作与行动方面的职能、要求和</w:t>
      </w:r>
      <w:r w:rsidR="00B667AB">
        <w:rPr>
          <w:rFonts w:ascii="SimSun" w:hAnsi="SimSun" w:hint="eastAsia"/>
          <w:sz w:val="21"/>
          <w:szCs w:val="22"/>
        </w:rPr>
        <w:t>信通技术</w:t>
      </w:r>
      <w:r w:rsidRPr="0034139E">
        <w:rPr>
          <w:rFonts w:ascii="SimSun" w:hAnsi="SimSun" w:hint="eastAsia"/>
          <w:sz w:val="21"/>
          <w:szCs w:val="22"/>
        </w:rPr>
        <w:t>方面；</w:t>
      </w:r>
    </w:p>
    <w:p w:rsidR="00B510AA" w:rsidRPr="0034139E" w:rsidRDefault="00B510AA" w:rsidP="002E3D16">
      <w:pPr>
        <w:overflowPunct w:val="0"/>
        <w:spacing w:afterLines="50" w:after="120" w:line="340" w:lineRule="atLeast"/>
        <w:ind w:left="567"/>
        <w:jc w:val="both"/>
        <w:rPr>
          <w:rFonts w:ascii="SimSun" w:hAnsi="SimSun"/>
          <w:sz w:val="21"/>
          <w:szCs w:val="22"/>
        </w:rPr>
      </w:pPr>
      <w:r w:rsidRPr="0034139E">
        <w:rPr>
          <w:rFonts w:ascii="SimSun" w:hAnsi="SimSun" w:hint="eastAsia"/>
          <w:sz w:val="21"/>
          <w:szCs w:val="22"/>
        </w:rPr>
        <w:t>c</w:t>
      </w:r>
      <w:r w:rsidR="002E3D16">
        <w:rPr>
          <w:rFonts w:ascii="SimSun" w:hAnsi="SimSun" w:hint="eastAsia"/>
          <w:sz w:val="21"/>
          <w:szCs w:val="22"/>
        </w:rPr>
        <w:t>)</w:t>
      </w:r>
      <w:r w:rsidR="002E3D16">
        <w:rPr>
          <w:rFonts w:ascii="SimSun" w:hAnsi="SimSun" w:hint="eastAsia"/>
          <w:sz w:val="21"/>
          <w:szCs w:val="22"/>
        </w:rPr>
        <w:tab/>
      </w:r>
      <w:r w:rsidRPr="0034139E">
        <w:rPr>
          <w:rFonts w:ascii="SimSun" w:hAnsi="SimSun" w:hint="eastAsia"/>
          <w:sz w:val="21"/>
          <w:szCs w:val="22"/>
        </w:rPr>
        <w:t>第三部分（一般</w:t>
      </w:r>
      <w:r w:rsidR="00B667AB">
        <w:rPr>
          <w:rFonts w:ascii="SimSun" w:hAnsi="SimSun" w:hint="eastAsia"/>
          <w:sz w:val="21"/>
          <w:szCs w:val="22"/>
        </w:rPr>
        <w:t>信通技术</w:t>
      </w:r>
      <w:r w:rsidRPr="0034139E">
        <w:rPr>
          <w:rFonts w:ascii="SimSun" w:hAnsi="SimSun" w:hint="eastAsia"/>
          <w:sz w:val="21"/>
          <w:szCs w:val="22"/>
        </w:rPr>
        <w:t>战略）讨论与国家和国际</w:t>
      </w:r>
      <w:r w:rsidR="00B667AB">
        <w:rPr>
          <w:rFonts w:ascii="SimSun" w:hAnsi="SimSun" w:hint="eastAsia"/>
          <w:sz w:val="21"/>
          <w:szCs w:val="22"/>
        </w:rPr>
        <w:t>信通技术</w:t>
      </w:r>
      <w:r w:rsidRPr="0034139E">
        <w:rPr>
          <w:rFonts w:ascii="SimSun" w:hAnsi="SimSun" w:hint="eastAsia"/>
          <w:sz w:val="21"/>
          <w:szCs w:val="22"/>
        </w:rPr>
        <w:t>战略有关的共同要素及其他考虑要素，以期为今后讨论指明方向。第三部分还讨论了知识产权局和国际局可能希望探索的</w:t>
      </w:r>
      <w:r w:rsidR="00B667AB">
        <w:rPr>
          <w:rFonts w:ascii="SimSun" w:hAnsi="SimSun" w:hint="eastAsia"/>
          <w:sz w:val="21"/>
          <w:szCs w:val="22"/>
        </w:rPr>
        <w:t>信通技术</w:t>
      </w:r>
      <w:r w:rsidRPr="0034139E">
        <w:rPr>
          <w:rFonts w:ascii="SimSun" w:hAnsi="SimSun" w:hint="eastAsia"/>
          <w:sz w:val="21"/>
          <w:szCs w:val="22"/>
        </w:rPr>
        <w:t>战略未来</w:t>
      </w:r>
      <w:r w:rsidR="002E3D16">
        <w:rPr>
          <w:rFonts w:ascii="SimSun" w:hAnsi="SimSun" w:hint="eastAsia"/>
          <w:sz w:val="21"/>
          <w:szCs w:val="22"/>
        </w:rPr>
        <w:t>构想</w:t>
      </w:r>
      <w:r w:rsidRPr="0034139E">
        <w:rPr>
          <w:rFonts w:ascii="SimSun" w:hAnsi="SimSun" w:hint="eastAsia"/>
          <w:sz w:val="21"/>
          <w:szCs w:val="22"/>
        </w:rPr>
        <w:t>。</w:t>
      </w:r>
    </w:p>
    <w:p w:rsidR="000C0147" w:rsidRPr="006575B1" w:rsidRDefault="000C0147" w:rsidP="006575B1">
      <w:pPr>
        <w:pStyle w:val="Heading1"/>
        <w:overflowPunct w:val="0"/>
        <w:spacing w:beforeLines="100" w:afterLines="50" w:after="120" w:line="340" w:lineRule="atLeast"/>
        <w:rPr>
          <w:rFonts w:ascii="SimHei" w:eastAsia="SimHei" w:hAnsi="SimHei"/>
          <w:b w:val="0"/>
          <w:sz w:val="21"/>
        </w:rPr>
      </w:pPr>
      <w:r w:rsidRPr="006575B1">
        <w:rPr>
          <w:rFonts w:ascii="SimHei" w:eastAsia="SimHei" w:hAnsi="SimHei" w:hint="eastAsia"/>
          <w:b w:val="0"/>
          <w:sz w:val="21"/>
        </w:rPr>
        <w:lastRenderedPageBreak/>
        <w:t>第一部分：国家</w:t>
      </w:r>
      <w:r w:rsidR="00B667AB">
        <w:rPr>
          <w:rFonts w:ascii="SimHei" w:eastAsia="SimHei" w:hAnsi="SimHei" w:hint="eastAsia"/>
          <w:b w:val="0"/>
          <w:sz w:val="21"/>
        </w:rPr>
        <w:t>信通技术</w:t>
      </w:r>
      <w:r w:rsidRPr="006575B1">
        <w:rPr>
          <w:rFonts w:ascii="SimHei" w:eastAsia="SimHei" w:hAnsi="SimHei" w:hint="eastAsia"/>
          <w:b w:val="0"/>
          <w:sz w:val="21"/>
        </w:rPr>
        <w:t>战略</w:t>
      </w:r>
    </w:p>
    <w:p w:rsidR="000C0147" w:rsidRPr="006575B1" w:rsidRDefault="000C0147" w:rsidP="006575B1">
      <w:pPr>
        <w:pStyle w:val="Heading1"/>
        <w:overflowPunct w:val="0"/>
        <w:spacing w:beforeLines="100" w:afterLines="50" w:after="120" w:line="340" w:lineRule="atLeast"/>
        <w:rPr>
          <w:rFonts w:ascii="SimSun" w:hAnsi="SimSun"/>
          <w:sz w:val="21"/>
        </w:rPr>
      </w:pPr>
      <w:r w:rsidRPr="006575B1">
        <w:rPr>
          <w:rFonts w:ascii="SimSun" w:hAnsi="SimSun" w:hint="eastAsia"/>
          <w:sz w:val="21"/>
        </w:rPr>
        <w:t>概</w:t>
      </w:r>
      <w:r w:rsidR="00244155">
        <w:rPr>
          <w:rFonts w:ascii="SimSun" w:hAnsi="SimSun" w:hint="eastAsia"/>
          <w:sz w:val="21"/>
        </w:rPr>
        <w:t xml:space="preserve">　</w:t>
      </w:r>
      <w:r w:rsidRPr="006575B1">
        <w:rPr>
          <w:rFonts w:ascii="SimSun" w:hAnsi="SimSun" w:hint="eastAsia"/>
          <w:sz w:val="21"/>
        </w:rPr>
        <w:t>述</w:t>
      </w:r>
    </w:p>
    <w:p w:rsidR="000C0147" w:rsidRPr="0034139E" w:rsidRDefault="000C0147" w:rsidP="009D0855">
      <w:pPr>
        <w:pStyle w:val="ONUME"/>
        <w:numPr>
          <w:ilvl w:val="0"/>
          <w:numId w:val="8"/>
        </w:numPr>
        <w:overflowPunct w:val="0"/>
        <w:spacing w:afterLines="50" w:after="120" w:line="340" w:lineRule="atLeast"/>
        <w:ind w:left="0" w:firstLine="0"/>
        <w:jc w:val="both"/>
        <w:rPr>
          <w:rFonts w:ascii="SimSun" w:hAnsi="SimSun"/>
          <w:sz w:val="21"/>
          <w:szCs w:val="22"/>
        </w:rPr>
      </w:pPr>
      <w:r w:rsidRPr="0034139E">
        <w:rPr>
          <w:rFonts w:ascii="SimSun" w:hAnsi="SimSun" w:hint="eastAsia"/>
          <w:sz w:val="21"/>
          <w:szCs w:val="22"/>
        </w:rPr>
        <w:t>知识产权局面临压力，需要高效、切实并准确处理国家或国际申请和注册以及相关行动。各国知识产权局需要配备与其国家、地区和国际角色紧密匹配的</w:t>
      </w:r>
      <w:r w:rsidR="00B667AB">
        <w:rPr>
          <w:rFonts w:ascii="SimSun" w:hAnsi="SimSun" w:hint="eastAsia"/>
          <w:sz w:val="21"/>
          <w:szCs w:val="22"/>
        </w:rPr>
        <w:t>信通技术</w:t>
      </w:r>
      <w:r w:rsidRPr="0034139E">
        <w:rPr>
          <w:rFonts w:ascii="SimSun" w:hAnsi="SimSun" w:hint="eastAsia"/>
          <w:sz w:val="21"/>
          <w:szCs w:val="22"/>
        </w:rPr>
        <w:t>系统。知识产权局应充分利用先进技术和国际合作提供的新机遇，</w:t>
      </w:r>
      <w:r w:rsidRPr="0034139E">
        <w:rPr>
          <w:rFonts w:ascii="SimSun" w:hAnsi="SimSun"/>
          <w:sz w:val="21"/>
          <w:szCs w:val="22"/>
        </w:rPr>
        <w:t>分享有关优化业务解决方案的信息和开发</w:t>
      </w:r>
      <w:r w:rsidR="00B667AB">
        <w:rPr>
          <w:rFonts w:ascii="SimSun" w:hAnsi="SimSun"/>
          <w:sz w:val="21"/>
          <w:szCs w:val="22"/>
        </w:rPr>
        <w:t>信通技术</w:t>
      </w:r>
      <w:r w:rsidRPr="0034139E">
        <w:rPr>
          <w:rFonts w:ascii="SimSun" w:hAnsi="SimSun"/>
          <w:sz w:val="21"/>
          <w:szCs w:val="22"/>
        </w:rPr>
        <w:t>系统</w:t>
      </w:r>
      <w:r w:rsidRPr="0034139E">
        <w:rPr>
          <w:rFonts w:ascii="SimSun" w:hAnsi="SimSun" w:hint="eastAsia"/>
          <w:sz w:val="21"/>
          <w:szCs w:val="22"/>
        </w:rPr>
        <w:t>方面</w:t>
      </w:r>
      <w:r w:rsidRPr="0034139E">
        <w:rPr>
          <w:rFonts w:ascii="SimSun" w:hAnsi="SimSun"/>
          <w:sz w:val="21"/>
          <w:szCs w:val="22"/>
        </w:rPr>
        <w:t>的经</w:t>
      </w:r>
      <w:r w:rsidR="005C509A">
        <w:rPr>
          <w:rFonts w:ascii="SimSun" w:hAnsi="SimSun"/>
          <w:sz w:val="21"/>
          <w:szCs w:val="22"/>
        </w:rPr>
        <w:t>‍</w:t>
      </w:r>
      <w:r w:rsidRPr="0034139E">
        <w:rPr>
          <w:rFonts w:ascii="SimSun" w:hAnsi="SimSun"/>
          <w:sz w:val="21"/>
          <w:szCs w:val="22"/>
        </w:rPr>
        <w:t>验。</w:t>
      </w:r>
    </w:p>
    <w:p w:rsidR="000C0147" w:rsidRPr="0034139E" w:rsidRDefault="000C0147" w:rsidP="009D0855">
      <w:pPr>
        <w:pStyle w:val="ONUME"/>
        <w:numPr>
          <w:ilvl w:val="0"/>
          <w:numId w:val="8"/>
        </w:numPr>
        <w:overflowPunct w:val="0"/>
        <w:spacing w:afterLines="50" w:after="120" w:line="340" w:lineRule="atLeast"/>
        <w:ind w:left="0" w:firstLine="0"/>
        <w:jc w:val="both"/>
        <w:rPr>
          <w:rFonts w:ascii="SimSun" w:hAnsi="SimSun"/>
          <w:sz w:val="21"/>
          <w:szCs w:val="22"/>
        </w:rPr>
      </w:pPr>
      <w:r w:rsidRPr="0034139E">
        <w:rPr>
          <w:rFonts w:ascii="SimSun" w:hAnsi="SimSun" w:hint="eastAsia"/>
          <w:sz w:val="21"/>
          <w:szCs w:val="22"/>
        </w:rPr>
        <w:t>本世纪初</w:t>
      </w:r>
      <w:r w:rsidR="001434DD" w:rsidRPr="0034139E">
        <w:rPr>
          <w:rFonts w:ascii="SimSun" w:hAnsi="SimSun" w:hint="eastAsia"/>
          <w:sz w:val="21"/>
          <w:szCs w:val="22"/>
        </w:rPr>
        <w:t>，</w:t>
      </w:r>
      <w:r w:rsidRPr="0034139E">
        <w:rPr>
          <w:rFonts w:ascii="SimSun" w:hAnsi="SimSun" w:hint="eastAsia"/>
          <w:sz w:val="21"/>
          <w:szCs w:val="22"/>
        </w:rPr>
        <w:t>在联合国千年发展目标中讨论</w:t>
      </w:r>
      <w:r w:rsidR="001434DD" w:rsidRPr="0034139E">
        <w:rPr>
          <w:rFonts w:ascii="SimSun" w:hAnsi="SimSun" w:hint="eastAsia"/>
          <w:sz w:val="21"/>
          <w:szCs w:val="22"/>
        </w:rPr>
        <w:t>了</w:t>
      </w:r>
      <w:r w:rsidRPr="0034139E">
        <w:rPr>
          <w:rFonts w:ascii="SimSun" w:hAnsi="SimSun" w:hint="eastAsia"/>
          <w:sz w:val="21"/>
          <w:szCs w:val="22"/>
        </w:rPr>
        <w:t>数字鸿沟问题</w:t>
      </w:r>
      <w:r w:rsidR="001434DD" w:rsidRPr="0034139E">
        <w:rPr>
          <w:rFonts w:ascii="SimSun" w:hAnsi="SimSun" w:hint="eastAsia"/>
          <w:sz w:val="21"/>
          <w:szCs w:val="22"/>
        </w:rPr>
        <w:t>。此后</w:t>
      </w:r>
      <w:r w:rsidRPr="0034139E">
        <w:rPr>
          <w:rFonts w:ascii="SimSun" w:hAnsi="SimSun" w:hint="eastAsia"/>
          <w:sz w:val="21"/>
          <w:szCs w:val="22"/>
        </w:rPr>
        <w:t>，技术基础设施已经有了很大改进。目前大多数国家都受益于现代通信技术，如互联网和手机。但是，资源有限的小规模知识产权局仍然没有机会使用更为先进的</w:t>
      </w:r>
      <w:r w:rsidR="00B667AB">
        <w:rPr>
          <w:rFonts w:ascii="SimSun" w:hAnsi="SimSun" w:hint="eastAsia"/>
          <w:sz w:val="21"/>
          <w:szCs w:val="22"/>
        </w:rPr>
        <w:t>信通技术</w:t>
      </w:r>
      <w:r w:rsidRPr="0034139E">
        <w:rPr>
          <w:rFonts w:ascii="SimSun" w:hAnsi="SimSun" w:hint="eastAsia"/>
          <w:sz w:val="21"/>
          <w:szCs w:val="22"/>
        </w:rPr>
        <w:t>系统和工具，主要是在发展中国家和最不发达国家（LDC）。考虑到这一点，应更加重视国际合作并为此类知识产权局提供适当的解决方案。</w:t>
      </w:r>
    </w:p>
    <w:p w:rsidR="000C0147" w:rsidRPr="0034139E" w:rsidRDefault="000C0147" w:rsidP="009D0855">
      <w:pPr>
        <w:pStyle w:val="ONUME"/>
        <w:numPr>
          <w:ilvl w:val="0"/>
          <w:numId w:val="8"/>
        </w:numPr>
        <w:overflowPunct w:val="0"/>
        <w:spacing w:afterLines="50" w:after="120" w:line="340" w:lineRule="atLeast"/>
        <w:ind w:left="0" w:firstLine="0"/>
        <w:jc w:val="both"/>
        <w:rPr>
          <w:rFonts w:ascii="SimSun" w:hAnsi="SimSun"/>
          <w:sz w:val="21"/>
          <w:szCs w:val="22"/>
        </w:rPr>
      </w:pPr>
      <w:r w:rsidRPr="0034139E">
        <w:rPr>
          <w:rFonts w:ascii="SimSun" w:hAnsi="SimSun" w:hint="eastAsia"/>
          <w:sz w:val="21"/>
          <w:szCs w:val="22"/>
        </w:rPr>
        <w:t>应牢记，作为国家政策框架的有效组成部分，知识产权局需要提供的服务不仅是有效地管理国家知识产权法律。它们还需要确保建立一个有效的平台，以协助其国家创意团体启动寻求国际保护的流程。国家申请人须能够分析国际知识产权保护的成本和收益，并在适当的情况下，无障碍地在其他地方提出保护申请，无论通过</w:t>
      </w:r>
      <w:r w:rsidR="00D40A28">
        <w:rPr>
          <w:rFonts w:ascii="SimSun" w:hAnsi="SimSun" w:hint="eastAsia"/>
          <w:sz w:val="21"/>
          <w:szCs w:val="22"/>
        </w:rPr>
        <w:t>《</w:t>
      </w:r>
      <w:r w:rsidRPr="0034139E">
        <w:rPr>
          <w:rFonts w:ascii="SimSun" w:hAnsi="SimSun" w:hint="eastAsia"/>
          <w:sz w:val="21"/>
          <w:szCs w:val="22"/>
        </w:rPr>
        <w:t>巴黎公约</w:t>
      </w:r>
      <w:r w:rsidR="00D40A28">
        <w:rPr>
          <w:rFonts w:ascii="SimSun" w:hAnsi="SimSun" w:hint="eastAsia"/>
          <w:sz w:val="21"/>
          <w:szCs w:val="22"/>
        </w:rPr>
        <w:t>》</w:t>
      </w:r>
      <w:r w:rsidRPr="0034139E">
        <w:rPr>
          <w:rFonts w:ascii="SimSun" w:hAnsi="SimSun" w:hint="eastAsia"/>
          <w:sz w:val="21"/>
          <w:szCs w:val="22"/>
        </w:rPr>
        <w:t>下的直接国家申请还是</w:t>
      </w:r>
      <w:r w:rsidR="00EA50FC">
        <w:rPr>
          <w:rFonts w:ascii="SimSun" w:hAnsi="SimSun" w:hint="eastAsia"/>
          <w:sz w:val="21"/>
          <w:szCs w:val="22"/>
        </w:rPr>
        <w:t>产权组织</w:t>
      </w:r>
      <w:r w:rsidRPr="0034139E">
        <w:rPr>
          <w:rFonts w:ascii="SimSun" w:hAnsi="SimSun" w:hint="eastAsia"/>
          <w:sz w:val="21"/>
          <w:szCs w:val="22"/>
        </w:rPr>
        <w:t>全球知识产权体系下的国际申请。这意味着在设计知识产权局IT系统界面时，应考虑到国际背景，以支持其国家要求及其国际角色。同样，数据收集和存储应考虑到与申请人以及其他知识产权局交换文件和数据所采用的技术标</w:t>
      </w:r>
      <w:r w:rsidR="00CF143B">
        <w:rPr>
          <w:rFonts w:ascii="SimSun" w:hAnsi="SimSun"/>
          <w:sz w:val="21"/>
          <w:szCs w:val="22"/>
        </w:rPr>
        <w:t>‍</w:t>
      </w:r>
      <w:r w:rsidRPr="0034139E">
        <w:rPr>
          <w:rFonts w:ascii="SimSun" w:hAnsi="SimSun" w:hint="eastAsia"/>
          <w:sz w:val="21"/>
          <w:szCs w:val="22"/>
        </w:rPr>
        <w:t>准。</w:t>
      </w:r>
    </w:p>
    <w:p w:rsidR="000C0147" w:rsidRPr="006575B1" w:rsidRDefault="000C0147" w:rsidP="006575B1">
      <w:pPr>
        <w:pStyle w:val="Heading1"/>
        <w:overflowPunct w:val="0"/>
        <w:spacing w:beforeLines="100" w:afterLines="50" w:after="120" w:line="340" w:lineRule="atLeast"/>
        <w:rPr>
          <w:rFonts w:ascii="SimSun" w:hAnsi="SimSun"/>
          <w:sz w:val="21"/>
        </w:rPr>
      </w:pPr>
      <w:r w:rsidRPr="006575B1">
        <w:rPr>
          <w:rFonts w:ascii="SimSun" w:hAnsi="SimSun" w:hint="eastAsia"/>
          <w:sz w:val="21"/>
        </w:rPr>
        <w:t>知识产权局的业务流程和技术要求</w:t>
      </w:r>
    </w:p>
    <w:p w:rsidR="000C0147" w:rsidRPr="0034139E" w:rsidRDefault="00D40A28" w:rsidP="009D0855">
      <w:pPr>
        <w:pStyle w:val="ONUME"/>
        <w:numPr>
          <w:ilvl w:val="0"/>
          <w:numId w:val="8"/>
        </w:numPr>
        <w:overflowPunct w:val="0"/>
        <w:spacing w:afterLines="50" w:after="120" w:line="340" w:lineRule="atLeast"/>
        <w:ind w:left="0" w:firstLine="0"/>
        <w:jc w:val="both"/>
        <w:rPr>
          <w:rFonts w:ascii="SimSun" w:hAnsi="SimSun"/>
          <w:sz w:val="21"/>
          <w:szCs w:val="22"/>
        </w:rPr>
      </w:pPr>
      <w:r>
        <w:rPr>
          <w:rFonts w:ascii="SimSun" w:hAnsi="SimSun" w:hint="eastAsia"/>
          <w:sz w:val="21"/>
          <w:szCs w:val="22"/>
        </w:rPr>
        <w:t>在高级层面上，</w:t>
      </w:r>
      <w:r w:rsidR="000C0147" w:rsidRPr="0034139E">
        <w:rPr>
          <w:rFonts w:ascii="SimSun" w:hAnsi="SimSun" w:hint="eastAsia"/>
          <w:sz w:val="21"/>
          <w:szCs w:val="22"/>
        </w:rPr>
        <w:t>知识产权局</w:t>
      </w:r>
      <w:r>
        <w:rPr>
          <w:rFonts w:ascii="SimSun" w:hAnsi="SimSun" w:hint="eastAsia"/>
          <w:sz w:val="21"/>
          <w:szCs w:val="22"/>
        </w:rPr>
        <w:t>有</w:t>
      </w:r>
      <w:r w:rsidR="000C0147" w:rsidRPr="0034139E">
        <w:rPr>
          <w:rFonts w:ascii="SimSun" w:hAnsi="SimSun" w:hint="eastAsia"/>
          <w:sz w:val="21"/>
          <w:szCs w:val="22"/>
        </w:rPr>
        <w:t>一套共同的业务流程。以下各段简要介绍了知识产权局业务经理和IT经理在寻求解决方案和制定能够体现其国家</w:t>
      </w:r>
      <w:r w:rsidR="00B667AB">
        <w:rPr>
          <w:rFonts w:ascii="SimSun" w:hAnsi="SimSun" w:hint="eastAsia"/>
          <w:sz w:val="21"/>
          <w:szCs w:val="22"/>
        </w:rPr>
        <w:t>信通技术</w:t>
      </w:r>
      <w:r w:rsidR="000C0147" w:rsidRPr="0034139E">
        <w:rPr>
          <w:rFonts w:ascii="SimSun" w:hAnsi="SimSun" w:hint="eastAsia"/>
          <w:sz w:val="21"/>
          <w:szCs w:val="22"/>
        </w:rPr>
        <w:t>战略的政策中面临的要求和挑战。</w:t>
      </w:r>
    </w:p>
    <w:p w:rsidR="000C0147" w:rsidRPr="0034139E" w:rsidRDefault="000C0147" w:rsidP="009D0855">
      <w:pPr>
        <w:pStyle w:val="ONUME"/>
        <w:numPr>
          <w:ilvl w:val="0"/>
          <w:numId w:val="8"/>
        </w:numPr>
        <w:overflowPunct w:val="0"/>
        <w:spacing w:afterLines="50" w:after="120" w:line="340" w:lineRule="atLeast"/>
        <w:ind w:left="0" w:firstLine="0"/>
        <w:jc w:val="both"/>
        <w:rPr>
          <w:rFonts w:ascii="SimSun" w:hAnsi="SimSun"/>
          <w:sz w:val="21"/>
          <w:szCs w:val="22"/>
        </w:rPr>
      </w:pPr>
      <w:r w:rsidRPr="0034139E">
        <w:rPr>
          <w:rFonts w:ascii="SimSun" w:hAnsi="SimSun" w:hint="eastAsia"/>
          <w:sz w:val="21"/>
          <w:szCs w:val="22"/>
        </w:rPr>
        <w:t>图1给出了在典型知识产权局中处理知识产权申请的目标、业务职能和工作流程的高层流程</w:t>
      </w:r>
      <w:r w:rsidR="00CF143B">
        <w:rPr>
          <w:rFonts w:ascii="SimSun" w:hAnsi="SimSun"/>
          <w:sz w:val="21"/>
          <w:szCs w:val="22"/>
        </w:rPr>
        <w:t>‍</w:t>
      </w:r>
      <w:r w:rsidRPr="0034139E">
        <w:rPr>
          <w:rFonts w:ascii="SimSun" w:hAnsi="SimSun" w:hint="eastAsia"/>
          <w:sz w:val="21"/>
          <w:szCs w:val="22"/>
        </w:rPr>
        <w:t>图。</w:t>
      </w:r>
    </w:p>
    <w:p w:rsidR="007E542F" w:rsidRPr="0034139E" w:rsidRDefault="00244155" w:rsidP="00D40A28">
      <w:pPr>
        <w:spacing w:afterLines="50" w:after="120" w:line="340" w:lineRule="atLeast"/>
        <w:jc w:val="center"/>
        <w:rPr>
          <w:rFonts w:ascii="SimSun" w:hAnsi="SimSun"/>
          <w:sz w:val="21"/>
          <w:szCs w:val="22"/>
        </w:rPr>
      </w:pPr>
      <w:r w:rsidRPr="00244155">
        <w:rPr>
          <w:noProof/>
          <w:lang w:eastAsia="en-US"/>
        </w:rPr>
        <w:drawing>
          <wp:inline distT="0" distB="0" distL="0" distR="0" wp14:anchorId="3B24A2B1" wp14:editId="07823D4A">
            <wp:extent cx="4802400" cy="34128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802400" cy="3412800"/>
                    </a:xfrm>
                    <a:prstGeom prst="rect">
                      <a:avLst/>
                    </a:prstGeom>
                    <a:noFill/>
                    <a:ln>
                      <a:noFill/>
                    </a:ln>
                  </pic:spPr>
                </pic:pic>
              </a:graphicData>
            </a:graphic>
          </wp:inline>
        </w:drawing>
      </w:r>
    </w:p>
    <w:p w:rsidR="009E158C" w:rsidRPr="006575B1" w:rsidRDefault="00652F0B" w:rsidP="006575B1">
      <w:pPr>
        <w:pStyle w:val="Heading1"/>
        <w:overflowPunct w:val="0"/>
        <w:spacing w:beforeLines="100" w:afterLines="50" w:after="120" w:line="340" w:lineRule="atLeast"/>
        <w:rPr>
          <w:rFonts w:ascii="SimSun" w:hAnsi="SimSun"/>
          <w:sz w:val="21"/>
        </w:rPr>
      </w:pPr>
      <w:r w:rsidRPr="006575B1">
        <w:rPr>
          <w:rFonts w:ascii="SimSun" w:hAnsi="SimSun" w:hint="eastAsia"/>
          <w:sz w:val="21"/>
        </w:rPr>
        <w:lastRenderedPageBreak/>
        <w:t>受理知识产权申请</w:t>
      </w:r>
    </w:p>
    <w:p w:rsidR="009E158C" w:rsidRPr="0034139E" w:rsidRDefault="00940A15" w:rsidP="009D0855">
      <w:pPr>
        <w:pStyle w:val="ONUME"/>
        <w:numPr>
          <w:ilvl w:val="0"/>
          <w:numId w:val="8"/>
        </w:numPr>
        <w:overflowPunct w:val="0"/>
        <w:spacing w:afterLines="50" w:after="120" w:line="340" w:lineRule="atLeast"/>
        <w:ind w:left="0" w:firstLine="0"/>
        <w:jc w:val="both"/>
        <w:rPr>
          <w:rFonts w:ascii="SimSun" w:hAnsi="SimSun"/>
          <w:sz w:val="21"/>
          <w:szCs w:val="22"/>
        </w:rPr>
      </w:pPr>
      <w:r w:rsidRPr="0034139E">
        <w:rPr>
          <w:rFonts w:ascii="SimSun" w:hAnsi="SimSun" w:hint="eastAsia"/>
          <w:sz w:val="21"/>
          <w:szCs w:val="22"/>
        </w:rPr>
        <w:t>受理</w:t>
      </w:r>
      <w:r w:rsidR="009E158C" w:rsidRPr="0034139E">
        <w:rPr>
          <w:rFonts w:ascii="SimSun" w:hAnsi="SimSun" w:hint="eastAsia"/>
          <w:sz w:val="21"/>
          <w:szCs w:val="22"/>
        </w:rPr>
        <w:t>是指接受知识产权申请人提交的新知识产权申请文件及后续交易的过程。</w:t>
      </w:r>
      <w:r w:rsidRPr="0034139E">
        <w:rPr>
          <w:rFonts w:ascii="SimSun" w:hAnsi="SimSun" w:hint="eastAsia"/>
          <w:sz w:val="21"/>
          <w:szCs w:val="22"/>
        </w:rPr>
        <w:t>在受理</w:t>
      </w:r>
      <w:r w:rsidR="009E158C" w:rsidRPr="0034139E">
        <w:rPr>
          <w:rFonts w:ascii="SimSun" w:hAnsi="SimSun" w:hint="eastAsia"/>
          <w:sz w:val="21"/>
          <w:szCs w:val="22"/>
        </w:rPr>
        <w:t>流程中，对文件/文档分配编号、确定正式</w:t>
      </w:r>
      <w:r w:rsidR="00172B80" w:rsidRPr="0034139E">
        <w:rPr>
          <w:rFonts w:ascii="SimSun" w:hAnsi="SimSun" w:hint="eastAsia"/>
          <w:sz w:val="21"/>
          <w:szCs w:val="22"/>
        </w:rPr>
        <w:t>受理</w:t>
      </w:r>
      <w:r w:rsidR="009E158C" w:rsidRPr="0034139E">
        <w:rPr>
          <w:rFonts w:ascii="SimSun" w:hAnsi="SimSun" w:hint="eastAsia"/>
          <w:sz w:val="21"/>
          <w:szCs w:val="22"/>
        </w:rPr>
        <w:t>日期并</w:t>
      </w:r>
      <w:r w:rsidR="00172B80" w:rsidRPr="0034139E">
        <w:rPr>
          <w:rFonts w:ascii="SimSun" w:hAnsi="SimSun" w:hint="eastAsia"/>
          <w:sz w:val="21"/>
          <w:szCs w:val="22"/>
        </w:rPr>
        <w:t>接受</w:t>
      </w:r>
      <w:r w:rsidR="009E158C" w:rsidRPr="0034139E">
        <w:rPr>
          <w:rFonts w:ascii="SimSun" w:hAnsi="SimSun" w:hint="eastAsia"/>
          <w:sz w:val="21"/>
          <w:szCs w:val="22"/>
        </w:rPr>
        <w:t>服务费，从而建立合法权利的依据。</w:t>
      </w:r>
    </w:p>
    <w:p w:rsidR="009E158C" w:rsidRPr="0034139E" w:rsidRDefault="009E158C" w:rsidP="009D0855">
      <w:pPr>
        <w:pStyle w:val="ONUME"/>
        <w:numPr>
          <w:ilvl w:val="0"/>
          <w:numId w:val="8"/>
        </w:numPr>
        <w:overflowPunct w:val="0"/>
        <w:spacing w:afterLines="50" w:after="120" w:line="340" w:lineRule="atLeast"/>
        <w:ind w:left="0" w:firstLine="0"/>
        <w:jc w:val="both"/>
        <w:rPr>
          <w:rFonts w:ascii="SimSun" w:hAnsi="SimSun"/>
          <w:sz w:val="21"/>
          <w:szCs w:val="22"/>
        </w:rPr>
      </w:pPr>
      <w:r w:rsidRPr="0034139E">
        <w:rPr>
          <w:rFonts w:ascii="SimSun" w:hAnsi="SimSun" w:hint="eastAsia"/>
          <w:sz w:val="21"/>
          <w:szCs w:val="22"/>
        </w:rPr>
        <w:t>在基于纸质的国家，</w:t>
      </w:r>
      <w:r w:rsidR="00172B80" w:rsidRPr="0034139E">
        <w:rPr>
          <w:rFonts w:ascii="SimSun" w:hAnsi="SimSun" w:hint="eastAsia"/>
          <w:sz w:val="21"/>
          <w:szCs w:val="22"/>
        </w:rPr>
        <w:t>受理</w:t>
      </w:r>
      <w:r w:rsidRPr="0034139E">
        <w:rPr>
          <w:rFonts w:ascii="SimSun" w:hAnsi="SimSun" w:hint="eastAsia"/>
          <w:sz w:val="21"/>
          <w:szCs w:val="22"/>
        </w:rPr>
        <w:t>流程依赖于日志和人工检查文件。但许多国家的知识产权局已开始采用网络系统完成</w:t>
      </w:r>
      <w:r w:rsidR="00172B80" w:rsidRPr="0034139E">
        <w:rPr>
          <w:rFonts w:ascii="SimSun" w:hAnsi="SimSun" w:hint="eastAsia"/>
          <w:sz w:val="21"/>
          <w:szCs w:val="22"/>
        </w:rPr>
        <w:t>受理</w:t>
      </w:r>
      <w:r w:rsidRPr="0034139E">
        <w:rPr>
          <w:rFonts w:ascii="SimSun" w:hAnsi="SimSun" w:hint="eastAsia"/>
          <w:sz w:val="21"/>
          <w:szCs w:val="22"/>
        </w:rPr>
        <w:t>流程，使检查基本手续、分配日期和编号以及计算费用的过程自动化。</w:t>
      </w:r>
    </w:p>
    <w:p w:rsidR="00A85EAE" w:rsidRPr="0034139E" w:rsidRDefault="00A85EAE" w:rsidP="009D0855">
      <w:pPr>
        <w:pStyle w:val="ONUME"/>
        <w:numPr>
          <w:ilvl w:val="0"/>
          <w:numId w:val="8"/>
        </w:numPr>
        <w:overflowPunct w:val="0"/>
        <w:spacing w:afterLines="50" w:after="120" w:line="340" w:lineRule="atLeast"/>
        <w:ind w:left="0" w:firstLine="0"/>
        <w:jc w:val="both"/>
        <w:rPr>
          <w:rFonts w:ascii="SimSun" w:hAnsi="SimSun"/>
          <w:sz w:val="21"/>
          <w:szCs w:val="22"/>
        </w:rPr>
      </w:pPr>
      <w:r w:rsidRPr="0034139E">
        <w:rPr>
          <w:rFonts w:ascii="SimSun" w:hAnsi="SimSun" w:hint="eastAsia"/>
          <w:sz w:val="21"/>
          <w:szCs w:val="22"/>
        </w:rPr>
        <w:t>但采用网络系统和数字处理也产生了一些新的挑战，其中一些问题包括：</w:t>
      </w:r>
    </w:p>
    <w:p w:rsidR="00A85EAE" w:rsidRPr="0034139E" w:rsidRDefault="00A85EAE" w:rsidP="00244155">
      <w:pPr>
        <w:overflowPunct w:val="0"/>
        <w:spacing w:afterLines="50" w:after="120" w:line="340" w:lineRule="atLeast"/>
        <w:ind w:left="567"/>
        <w:jc w:val="both"/>
        <w:rPr>
          <w:rFonts w:ascii="SimSun" w:hAnsi="SimSun"/>
          <w:sz w:val="21"/>
          <w:szCs w:val="22"/>
        </w:rPr>
      </w:pPr>
      <w:r w:rsidRPr="0034139E">
        <w:rPr>
          <w:rFonts w:ascii="SimSun" w:hAnsi="SimSun" w:hint="eastAsia"/>
          <w:sz w:val="21"/>
          <w:szCs w:val="22"/>
        </w:rPr>
        <w:t>a</w:t>
      </w:r>
      <w:r w:rsidR="002E3D16">
        <w:rPr>
          <w:rFonts w:ascii="SimSun" w:hAnsi="SimSun" w:hint="eastAsia"/>
          <w:sz w:val="21"/>
          <w:szCs w:val="22"/>
        </w:rPr>
        <w:t>)</w:t>
      </w:r>
      <w:r w:rsidR="00244155">
        <w:rPr>
          <w:rFonts w:ascii="SimSun" w:hAnsi="SimSun" w:hint="eastAsia"/>
          <w:sz w:val="21"/>
          <w:szCs w:val="22"/>
        </w:rPr>
        <w:tab/>
      </w:r>
      <w:r w:rsidRPr="00244155">
        <w:rPr>
          <w:rFonts w:ascii="KaiTi" w:eastAsia="KaiTi" w:hAnsi="KaiTi" w:hint="eastAsia"/>
          <w:sz w:val="21"/>
          <w:szCs w:val="22"/>
        </w:rPr>
        <w:t>数字记录的</w:t>
      </w:r>
      <w:r w:rsidR="00D40A28">
        <w:rPr>
          <w:rFonts w:ascii="KaiTi" w:eastAsia="KaiTi" w:hAnsi="KaiTi" w:hint="eastAsia"/>
          <w:sz w:val="21"/>
          <w:szCs w:val="22"/>
        </w:rPr>
        <w:t>作准</w:t>
      </w:r>
      <w:r w:rsidRPr="00244155">
        <w:rPr>
          <w:rFonts w:ascii="KaiTi" w:eastAsia="KaiTi" w:hAnsi="KaiTi" w:hint="eastAsia"/>
          <w:sz w:val="21"/>
          <w:szCs w:val="22"/>
        </w:rPr>
        <w:t>性</w:t>
      </w:r>
      <w:r w:rsidRPr="0034139E">
        <w:rPr>
          <w:rFonts w:ascii="SimSun" w:hAnsi="SimSun" w:hint="eastAsia"/>
          <w:sz w:val="21"/>
          <w:szCs w:val="22"/>
        </w:rPr>
        <w:t>：大多数国家正在通过立法，允许在政府服务和在线业务中使用电子记录和电子交易。若不建立这样的法律基础，数字记录可能被认为不具</w:t>
      </w:r>
      <w:r w:rsidR="00D40A28">
        <w:rPr>
          <w:rFonts w:ascii="SimSun" w:hAnsi="SimSun" w:hint="eastAsia"/>
          <w:sz w:val="21"/>
          <w:szCs w:val="22"/>
        </w:rPr>
        <w:t>作准</w:t>
      </w:r>
      <w:r w:rsidRPr="0034139E">
        <w:rPr>
          <w:rFonts w:ascii="SimSun" w:hAnsi="SimSun" w:hint="eastAsia"/>
          <w:sz w:val="21"/>
          <w:szCs w:val="22"/>
        </w:rPr>
        <w:t>性。</w:t>
      </w:r>
    </w:p>
    <w:p w:rsidR="00A85EAE" w:rsidRPr="0034139E" w:rsidRDefault="00A85EAE" w:rsidP="00244155">
      <w:pPr>
        <w:overflowPunct w:val="0"/>
        <w:spacing w:afterLines="50" w:after="120" w:line="340" w:lineRule="atLeast"/>
        <w:ind w:left="567"/>
        <w:jc w:val="both"/>
        <w:rPr>
          <w:rFonts w:ascii="SimSun" w:hAnsi="SimSun"/>
          <w:sz w:val="21"/>
          <w:szCs w:val="22"/>
        </w:rPr>
      </w:pPr>
      <w:r w:rsidRPr="0034139E">
        <w:rPr>
          <w:rFonts w:ascii="SimSun" w:hAnsi="SimSun" w:hint="eastAsia"/>
          <w:sz w:val="21"/>
          <w:szCs w:val="22"/>
        </w:rPr>
        <w:t>b</w:t>
      </w:r>
      <w:r w:rsidR="002E3D16">
        <w:rPr>
          <w:rFonts w:ascii="SimSun" w:hAnsi="SimSun" w:hint="eastAsia"/>
          <w:sz w:val="21"/>
          <w:szCs w:val="22"/>
        </w:rPr>
        <w:t>)</w:t>
      </w:r>
      <w:r w:rsidR="00244155">
        <w:rPr>
          <w:rFonts w:ascii="SimSun" w:hAnsi="SimSun" w:hint="eastAsia"/>
          <w:sz w:val="21"/>
          <w:szCs w:val="22"/>
        </w:rPr>
        <w:tab/>
      </w:r>
      <w:r w:rsidRPr="00244155">
        <w:rPr>
          <w:rFonts w:ascii="KaiTi" w:eastAsia="KaiTi" w:hAnsi="KaiTi" w:hint="eastAsia"/>
          <w:sz w:val="21"/>
          <w:szCs w:val="22"/>
        </w:rPr>
        <w:t>在线支付系统</w:t>
      </w:r>
      <w:r w:rsidRPr="0034139E">
        <w:rPr>
          <w:rFonts w:ascii="SimSun" w:hAnsi="SimSun" w:hint="eastAsia"/>
          <w:sz w:val="21"/>
          <w:szCs w:val="22"/>
        </w:rPr>
        <w:t>：目前全球性支付系统很少，而现有的系统（如信用卡）可能不适用于政府服务。各个国家知识产权局需要与当地金融服务提供商建立支付通道。在许多国家，集中式电子政务门户使这个问题得到简化。</w:t>
      </w:r>
    </w:p>
    <w:p w:rsidR="00A85EAE" w:rsidRPr="0034139E" w:rsidRDefault="00A85EAE" w:rsidP="00244155">
      <w:pPr>
        <w:overflowPunct w:val="0"/>
        <w:spacing w:afterLines="50" w:after="120" w:line="340" w:lineRule="atLeast"/>
        <w:ind w:left="567"/>
        <w:jc w:val="both"/>
        <w:rPr>
          <w:rFonts w:ascii="SimSun" w:hAnsi="SimSun"/>
          <w:sz w:val="21"/>
          <w:szCs w:val="22"/>
        </w:rPr>
      </w:pPr>
      <w:r w:rsidRPr="0034139E">
        <w:rPr>
          <w:rFonts w:ascii="SimSun" w:hAnsi="SimSun" w:hint="eastAsia"/>
          <w:sz w:val="21"/>
          <w:szCs w:val="22"/>
        </w:rPr>
        <w:t>c</w:t>
      </w:r>
      <w:r w:rsidR="002E3D16">
        <w:rPr>
          <w:rFonts w:ascii="SimSun" w:hAnsi="SimSun" w:hint="eastAsia"/>
          <w:sz w:val="21"/>
          <w:szCs w:val="22"/>
        </w:rPr>
        <w:t>)</w:t>
      </w:r>
      <w:r w:rsidR="00244155">
        <w:rPr>
          <w:rFonts w:ascii="SimSun" w:hAnsi="SimSun" w:hint="eastAsia"/>
          <w:sz w:val="21"/>
          <w:szCs w:val="22"/>
        </w:rPr>
        <w:tab/>
      </w:r>
      <w:r w:rsidRPr="00244155">
        <w:rPr>
          <w:rFonts w:ascii="KaiTi" w:eastAsia="KaiTi" w:hAnsi="KaiTi" w:hint="eastAsia"/>
          <w:sz w:val="21"/>
          <w:szCs w:val="22"/>
        </w:rPr>
        <w:t>身份验证和签名要求</w:t>
      </w:r>
      <w:r w:rsidRPr="0034139E">
        <w:rPr>
          <w:rFonts w:ascii="SimSun" w:hAnsi="SimSun" w:hint="eastAsia"/>
          <w:sz w:val="21"/>
          <w:szCs w:val="22"/>
        </w:rPr>
        <w:t>：知识产权局需要提供一个验证用户身份并接受数字签名的在线机制。也可以通过国家立法和电子政务措施解决这个问题。</w:t>
      </w:r>
    </w:p>
    <w:p w:rsidR="00A85EAE" w:rsidRPr="0034139E" w:rsidRDefault="00A85EAE" w:rsidP="00244155">
      <w:pPr>
        <w:overflowPunct w:val="0"/>
        <w:spacing w:afterLines="50" w:after="120" w:line="340" w:lineRule="atLeast"/>
        <w:ind w:left="567"/>
        <w:jc w:val="both"/>
        <w:rPr>
          <w:rFonts w:ascii="SimSun" w:hAnsi="SimSun"/>
          <w:sz w:val="21"/>
          <w:szCs w:val="22"/>
        </w:rPr>
      </w:pPr>
      <w:r w:rsidRPr="0034139E">
        <w:rPr>
          <w:rFonts w:ascii="SimSun" w:hAnsi="SimSun" w:hint="eastAsia"/>
          <w:sz w:val="21"/>
          <w:szCs w:val="22"/>
        </w:rPr>
        <w:t>d</w:t>
      </w:r>
      <w:r w:rsidR="002E3D16">
        <w:rPr>
          <w:rFonts w:ascii="SimSun" w:hAnsi="SimSun" w:hint="eastAsia"/>
          <w:sz w:val="21"/>
          <w:szCs w:val="22"/>
        </w:rPr>
        <w:t>)</w:t>
      </w:r>
      <w:r w:rsidR="00244155">
        <w:rPr>
          <w:rFonts w:ascii="SimSun" w:hAnsi="SimSun" w:hint="eastAsia"/>
          <w:sz w:val="21"/>
          <w:szCs w:val="22"/>
        </w:rPr>
        <w:tab/>
      </w:r>
      <w:r w:rsidRPr="00244155">
        <w:rPr>
          <w:rFonts w:ascii="KaiTi" w:eastAsia="KaiTi" w:hAnsi="KaiTi" w:hint="eastAsia"/>
          <w:sz w:val="21"/>
          <w:szCs w:val="22"/>
        </w:rPr>
        <w:t>在线交易的保密性和完整性</w:t>
      </w:r>
      <w:r w:rsidRPr="0034139E">
        <w:rPr>
          <w:rFonts w:ascii="SimSun" w:hAnsi="SimSun" w:hint="eastAsia"/>
          <w:sz w:val="21"/>
          <w:szCs w:val="22"/>
        </w:rPr>
        <w:t>：要确保使用在线服务的用户的交易保密性，确保不可由第三方进行更改。</w:t>
      </w:r>
    </w:p>
    <w:p w:rsidR="00A85EAE" w:rsidRPr="0034139E" w:rsidRDefault="00A85EAE" w:rsidP="00244155">
      <w:pPr>
        <w:overflowPunct w:val="0"/>
        <w:spacing w:afterLines="50" w:after="120" w:line="340" w:lineRule="atLeast"/>
        <w:ind w:left="567"/>
        <w:jc w:val="both"/>
        <w:rPr>
          <w:rFonts w:ascii="SimSun" w:hAnsi="SimSun"/>
          <w:sz w:val="21"/>
          <w:szCs w:val="22"/>
        </w:rPr>
      </w:pPr>
      <w:r w:rsidRPr="0034139E">
        <w:rPr>
          <w:rFonts w:ascii="SimSun" w:hAnsi="SimSun" w:hint="eastAsia"/>
          <w:sz w:val="21"/>
          <w:szCs w:val="22"/>
        </w:rPr>
        <w:t>e</w:t>
      </w:r>
      <w:r w:rsidR="002E3D16">
        <w:rPr>
          <w:rFonts w:ascii="SimSun" w:hAnsi="SimSun" w:hint="eastAsia"/>
          <w:sz w:val="21"/>
          <w:szCs w:val="22"/>
        </w:rPr>
        <w:t>)</w:t>
      </w:r>
      <w:r w:rsidR="00244155">
        <w:rPr>
          <w:rFonts w:ascii="SimSun" w:hAnsi="SimSun" w:hint="eastAsia"/>
          <w:sz w:val="21"/>
          <w:szCs w:val="22"/>
        </w:rPr>
        <w:tab/>
      </w:r>
      <w:r w:rsidRPr="00244155">
        <w:rPr>
          <w:rFonts w:ascii="KaiTi" w:eastAsia="KaiTi" w:hAnsi="KaiTi" w:hint="eastAsia"/>
          <w:sz w:val="21"/>
          <w:szCs w:val="22"/>
        </w:rPr>
        <w:t>其他安全问题</w:t>
      </w:r>
      <w:r w:rsidRPr="0034139E">
        <w:rPr>
          <w:rFonts w:ascii="SimSun" w:hAnsi="SimSun" w:hint="eastAsia"/>
          <w:sz w:val="21"/>
          <w:szCs w:val="22"/>
        </w:rPr>
        <w:t>：所有在线</w:t>
      </w:r>
      <w:r w:rsidR="00B667AB">
        <w:rPr>
          <w:rFonts w:ascii="SimSun" w:hAnsi="SimSun" w:hint="eastAsia"/>
          <w:sz w:val="21"/>
          <w:szCs w:val="22"/>
        </w:rPr>
        <w:t>信通技术</w:t>
      </w:r>
      <w:r w:rsidRPr="0034139E">
        <w:rPr>
          <w:rFonts w:ascii="SimSun" w:hAnsi="SimSun" w:hint="eastAsia"/>
          <w:sz w:val="21"/>
          <w:szCs w:val="22"/>
        </w:rPr>
        <w:t>系统都存在很多安全风险。知识产权局可能不具备高层次的内部安全管理技能人才。</w:t>
      </w:r>
    </w:p>
    <w:p w:rsidR="00A85EAE" w:rsidRPr="0034139E" w:rsidRDefault="00A85EAE" w:rsidP="009D0855">
      <w:pPr>
        <w:pStyle w:val="ONUME"/>
        <w:numPr>
          <w:ilvl w:val="0"/>
          <w:numId w:val="8"/>
        </w:numPr>
        <w:overflowPunct w:val="0"/>
        <w:spacing w:afterLines="50" w:after="120" w:line="340" w:lineRule="atLeast"/>
        <w:ind w:left="0" w:firstLine="0"/>
        <w:jc w:val="both"/>
        <w:rPr>
          <w:rFonts w:ascii="SimSun" w:hAnsi="SimSun"/>
          <w:sz w:val="21"/>
          <w:szCs w:val="22"/>
        </w:rPr>
      </w:pPr>
      <w:r w:rsidRPr="0034139E">
        <w:rPr>
          <w:rFonts w:ascii="SimSun" w:hAnsi="SimSun" w:hint="eastAsia"/>
          <w:sz w:val="21"/>
          <w:szCs w:val="22"/>
        </w:rPr>
        <w:t>在适当情况下必须对流程进行检验，以确保解决实际需求。在设计解决方案时，存在完整性、真实性和机密性方面的重大风险，因此需要适当的专业知识。</w:t>
      </w:r>
    </w:p>
    <w:p w:rsidR="00055492" w:rsidRPr="006575B1" w:rsidRDefault="00055492" w:rsidP="006575B1">
      <w:pPr>
        <w:pStyle w:val="Heading1"/>
        <w:overflowPunct w:val="0"/>
        <w:spacing w:beforeLines="100" w:afterLines="50" w:after="120" w:line="340" w:lineRule="atLeast"/>
        <w:rPr>
          <w:rFonts w:ascii="SimSun" w:hAnsi="SimSun"/>
          <w:sz w:val="21"/>
        </w:rPr>
      </w:pPr>
      <w:r w:rsidRPr="006575B1">
        <w:rPr>
          <w:rFonts w:ascii="SimSun" w:hAnsi="SimSun" w:hint="eastAsia"/>
          <w:sz w:val="21"/>
        </w:rPr>
        <w:t>数据结构</w:t>
      </w:r>
    </w:p>
    <w:p w:rsidR="00055492" w:rsidRPr="0034139E" w:rsidRDefault="00055492" w:rsidP="009D0855">
      <w:pPr>
        <w:pStyle w:val="ONUME"/>
        <w:numPr>
          <w:ilvl w:val="0"/>
          <w:numId w:val="8"/>
        </w:numPr>
        <w:overflowPunct w:val="0"/>
        <w:spacing w:afterLines="50" w:after="120" w:line="340" w:lineRule="atLeast"/>
        <w:ind w:left="0" w:firstLine="0"/>
        <w:jc w:val="both"/>
        <w:rPr>
          <w:rFonts w:ascii="SimSun" w:hAnsi="SimSun"/>
          <w:sz w:val="21"/>
          <w:szCs w:val="22"/>
        </w:rPr>
      </w:pPr>
      <w:r w:rsidRPr="0034139E">
        <w:rPr>
          <w:rFonts w:ascii="SimSun" w:hAnsi="SimSun" w:hint="eastAsia"/>
          <w:sz w:val="21"/>
          <w:szCs w:val="22"/>
        </w:rPr>
        <w:t>在线服务改进了数据采集过程，特别是结构化</w:t>
      </w:r>
      <w:r w:rsidR="00540952">
        <w:rPr>
          <w:rFonts w:ascii="SimSun" w:hAnsi="SimSun" w:hint="eastAsia"/>
          <w:sz w:val="21"/>
        </w:rPr>
        <w:t>著录项目</w:t>
      </w:r>
      <w:r w:rsidRPr="0034139E">
        <w:rPr>
          <w:rFonts w:ascii="SimSun" w:hAnsi="SimSun" w:hint="eastAsia"/>
          <w:sz w:val="21"/>
          <w:szCs w:val="22"/>
        </w:rPr>
        <w:t>数据，在现有的法律框架（例如</w:t>
      </w:r>
      <w:r w:rsidR="004C426D" w:rsidRPr="0034139E">
        <w:rPr>
          <w:rFonts w:ascii="SimSun" w:hAnsi="SimSun" w:hint="eastAsia"/>
          <w:sz w:val="21"/>
          <w:szCs w:val="22"/>
        </w:rPr>
        <w:t>《专利法条约》</w:t>
      </w:r>
      <w:r w:rsidRPr="0034139E">
        <w:rPr>
          <w:rFonts w:ascii="SimSun" w:hAnsi="SimSun" w:hint="eastAsia"/>
          <w:sz w:val="21"/>
          <w:szCs w:val="22"/>
        </w:rPr>
        <w:t>（PLT））和技术框架（特别是WIPO标准）下对其予以标准化和明确定义。</w:t>
      </w:r>
    </w:p>
    <w:p w:rsidR="00055492" w:rsidRPr="0034139E" w:rsidRDefault="00055492" w:rsidP="009D0855">
      <w:pPr>
        <w:pStyle w:val="ONUME"/>
        <w:numPr>
          <w:ilvl w:val="0"/>
          <w:numId w:val="8"/>
        </w:numPr>
        <w:overflowPunct w:val="0"/>
        <w:spacing w:afterLines="50" w:after="120" w:line="340" w:lineRule="atLeast"/>
        <w:ind w:left="0" w:firstLine="0"/>
        <w:jc w:val="both"/>
        <w:rPr>
          <w:rFonts w:ascii="SimSun" w:hAnsi="SimSun"/>
          <w:sz w:val="21"/>
          <w:szCs w:val="22"/>
        </w:rPr>
      </w:pPr>
      <w:r w:rsidRPr="0034139E">
        <w:rPr>
          <w:rFonts w:ascii="SimSun" w:hAnsi="SimSun" w:hint="eastAsia"/>
          <w:sz w:val="21"/>
          <w:szCs w:val="22"/>
        </w:rPr>
        <w:t>尽管已经过多年的努力，仍然仅有少数知识产权局能够从申请人处接收全文XML（可扩展标记语言，一种既简单又非常灵活的文本格式，用于在互联网上交换各种数据）数据。XML创建系统复杂且难以使用，大多数申请人在可选择的情况下还是倾向于提供PDF格式的文档，因此大多数知识产权局可接受非结构化格式、需要对数据进行解压缩和格式化的文件。对于以纸质、传真、WORD、PDF或其他非结构化格式收到的知识产权申请和后续提交文件，需要将其中包含的知识产权数据根据WIPO标准转换为机器可读和结构良好的格式，最好是通过光学字符识别（OCR）转换为XML格式，这对于知识产权局及国际局也是一项挑战。但是，光学字符识别对于知识产权局来说成本高昂，并且存在可能影响申请人权利和数据质量的错误风险。</w:t>
      </w:r>
    </w:p>
    <w:p w:rsidR="00055492" w:rsidRPr="0034139E" w:rsidRDefault="00055492" w:rsidP="009D0855">
      <w:pPr>
        <w:pStyle w:val="ONUME"/>
        <w:numPr>
          <w:ilvl w:val="0"/>
          <w:numId w:val="8"/>
        </w:numPr>
        <w:overflowPunct w:val="0"/>
        <w:spacing w:afterLines="50" w:after="120" w:line="340" w:lineRule="atLeast"/>
        <w:ind w:left="0" w:firstLine="0"/>
        <w:jc w:val="both"/>
        <w:rPr>
          <w:rFonts w:ascii="SimSun" w:hAnsi="SimSun"/>
          <w:sz w:val="21"/>
          <w:szCs w:val="22"/>
        </w:rPr>
      </w:pPr>
      <w:r w:rsidRPr="0034139E">
        <w:rPr>
          <w:rFonts w:ascii="SimSun" w:hAnsi="SimSun" w:hint="eastAsia"/>
          <w:sz w:val="21"/>
          <w:szCs w:val="22"/>
        </w:rPr>
        <w:t>光学字符识别的良好实践是基于“确保源头质量”的战略。这一概念包括各个知识产权局须对其提供的全部文本质量负责，并受益于大型知识产权局的技术支持，以制定其所需程序和系统。在</w:t>
      </w:r>
      <w:r w:rsidR="00B667AB">
        <w:rPr>
          <w:rFonts w:ascii="SimSun" w:hAnsi="SimSun" w:hint="eastAsia"/>
          <w:sz w:val="21"/>
          <w:szCs w:val="22"/>
        </w:rPr>
        <w:t>信通技术</w:t>
      </w:r>
      <w:r w:rsidRPr="0034139E">
        <w:rPr>
          <w:rFonts w:ascii="SimSun" w:hAnsi="SimSun" w:hint="eastAsia"/>
          <w:sz w:val="21"/>
          <w:szCs w:val="22"/>
        </w:rPr>
        <w:t>策略的背景下，应在知识产权申请周期的尽早阶段以标准化的数字格式生成知识产权数据，最好是在源代码生成。准确性至关重要，因为所获得的文本不仅对于国家知识产权局确保公共服务质量有重要意义，对于与之进行知识产权数据交换以进行知识产权信息</w:t>
      </w:r>
      <w:r w:rsidR="00C02144" w:rsidRPr="0034139E">
        <w:rPr>
          <w:rFonts w:ascii="SimSun" w:hAnsi="SimSun" w:hint="eastAsia"/>
          <w:sz w:val="21"/>
          <w:szCs w:val="22"/>
        </w:rPr>
        <w:t>检索</w:t>
      </w:r>
      <w:r w:rsidRPr="0034139E">
        <w:rPr>
          <w:rFonts w:ascii="SimSun" w:hAnsi="SimSun" w:hint="eastAsia"/>
          <w:sz w:val="21"/>
          <w:szCs w:val="22"/>
        </w:rPr>
        <w:t>、</w:t>
      </w:r>
      <w:r w:rsidR="00692F47" w:rsidRPr="0034139E">
        <w:rPr>
          <w:rFonts w:ascii="SimSun" w:hAnsi="SimSun" w:hint="eastAsia"/>
          <w:sz w:val="21"/>
          <w:szCs w:val="22"/>
        </w:rPr>
        <w:t>审查</w:t>
      </w:r>
      <w:r w:rsidRPr="0034139E">
        <w:rPr>
          <w:rFonts w:ascii="SimSun" w:hAnsi="SimSun" w:hint="eastAsia"/>
          <w:sz w:val="21"/>
          <w:szCs w:val="22"/>
        </w:rPr>
        <w:t>和全球传播的国际合作的其他知识产权局也很重要。</w:t>
      </w:r>
      <w:r w:rsidR="00EA50FC">
        <w:rPr>
          <w:rFonts w:ascii="SimSun" w:hAnsi="SimSun" w:hint="eastAsia"/>
          <w:sz w:val="21"/>
          <w:szCs w:val="22"/>
        </w:rPr>
        <w:t>产权组织</w:t>
      </w:r>
      <w:r w:rsidRPr="0034139E">
        <w:rPr>
          <w:rFonts w:ascii="SimSun" w:hAnsi="SimSun" w:hint="eastAsia"/>
          <w:sz w:val="21"/>
          <w:szCs w:val="22"/>
        </w:rPr>
        <w:t>正在通过提供培训、软件和定制WIPO OCR解决方案来协助各知</w:t>
      </w:r>
      <w:r w:rsidRPr="0034139E">
        <w:rPr>
          <w:rFonts w:ascii="SimSun" w:hAnsi="SimSun" w:hint="eastAsia"/>
          <w:sz w:val="21"/>
          <w:szCs w:val="22"/>
        </w:rPr>
        <w:lastRenderedPageBreak/>
        <w:t>识产权局实施这方面的工作，WIPO OCR解决方案最初开发的目的是为PATENTSCOPE创建可</w:t>
      </w:r>
      <w:r w:rsidR="004C426D" w:rsidRPr="0034139E">
        <w:rPr>
          <w:rFonts w:ascii="SimSun" w:hAnsi="SimSun" w:hint="eastAsia"/>
          <w:sz w:val="21"/>
          <w:szCs w:val="22"/>
        </w:rPr>
        <w:t>检索</w:t>
      </w:r>
      <w:r w:rsidRPr="0034139E">
        <w:rPr>
          <w:rFonts w:ascii="SimSun" w:hAnsi="SimSun" w:hint="eastAsia"/>
          <w:sz w:val="21"/>
          <w:szCs w:val="22"/>
        </w:rPr>
        <w:t>的全</w:t>
      </w:r>
      <w:r w:rsidR="00CF143B">
        <w:rPr>
          <w:rFonts w:ascii="SimSun" w:hAnsi="SimSun"/>
          <w:sz w:val="21"/>
          <w:szCs w:val="22"/>
        </w:rPr>
        <w:t>‍</w:t>
      </w:r>
      <w:r w:rsidRPr="0034139E">
        <w:rPr>
          <w:rFonts w:ascii="SimSun" w:hAnsi="SimSun" w:hint="eastAsia"/>
          <w:sz w:val="21"/>
          <w:szCs w:val="22"/>
        </w:rPr>
        <w:t>文。</w:t>
      </w:r>
    </w:p>
    <w:p w:rsidR="00C05453" w:rsidRPr="0034139E" w:rsidRDefault="00C05453" w:rsidP="009D0855">
      <w:pPr>
        <w:pStyle w:val="ONUME"/>
        <w:numPr>
          <w:ilvl w:val="0"/>
          <w:numId w:val="8"/>
        </w:numPr>
        <w:overflowPunct w:val="0"/>
        <w:spacing w:afterLines="50" w:after="120" w:line="340" w:lineRule="atLeast"/>
        <w:ind w:left="0" w:firstLine="0"/>
        <w:jc w:val="both"/>
        <w:rPr>
          <w:rFonts w:ascii="SimSun" w:hAnsi="SimSun"/>
          <w:sz w:val="21"/>
          <w:szCs w:val="22"/>
        </w:rPr>
      </w:pPr>
      <w:r w:rsidRPr="0034139E">
        <w:rPr>
          <w:rFonts w:ascii="SimSun" w:hAnsi="SimSun" w:hint="eastAsia"/>
          <w:sz w:val="21"/>
          <w:szCs w:val="22"/>
        </w:rPr>
        <w:t>追求“确保源头质量”的理念，归根结底是要看知识产权申请人或其代理人是否能使用</w:t>
      </w:r>
      <w:r w:rsidR="00B667AB">
        <w:rPr>
          <w:rFonts w:ascii="SimSun" w:hAnsi="SimSun" w:hint="eastAsia"/>
          <w:sz w:val="21"/>
          <w:szCs w:val="22"/>
        </w:rPr>
        <w:t>信通技术</w:t>
      </w:r>
      <w:r w:rsidRPr="0034139E">
        <w:rPr>
          <w:rFonts w:ascii="SimSun" w:hAnsi="SimSun" w:hint="eastAsia"/>
          <w:sz w:val="21"/>
          <w:szCs w:val="22"/>
        </w:rPr>
        <w:t>系统正确编制知识产权申请及相关数据。除了申请机构之外，通过将在线服务与知识产权代理人（在大多数国家提交大多数申请的人）所使用的</w:t>
      </w:r>
      <w:r w:rsidR="00B667AB">
        <w:rPr>
          <w:rFonts w:ascii="SimSun" w:hAnsi="SimSun" w:hint="eastAsia"/>
          <w:sz w:val="21"/>
          <w:szCs w:val="22"/>
        </w:rPr>
        <w:t>信通技术</w:t>
      </w:r>
      <w:r w:rsidRPr="0034139E">
        <w:rPr>
          <w:rFonts w:ascii="SimSun" w:hAnsi="SimSun" w:hint="eastAsia"/>
          <w:sz w:val="21"/>
          <w:szCs w:val="22"/>
        </w:rPr>
        <w:t>系统相整合，可以大大提高服务水平。由于知识产权局的系统与知识产权代理人的系统之间通常很少或几乎没有联系，所以仍然存在大量信息重新编码，导致效率低下且容易出错。知识产权局的在线系统常常将这项工作转移给代理人，但这样做也只是减少了</w:t>
      </w:r>
      <w:r w:rsidR="00692F47" w:rsidRPr="0034139E">
        <w:rPr>
          <w:rFonts w:ascii="SimSun" w:hAnsi="SimSun" w:hint="eastAsia"/>
          <w:sz w:val="21"/>
          <w:szCs w:val="22"/>
        </w:rPr>
        <w:t>审查</w:t>
      </w:r>
      <w:r w:rsidRPr="0034139E">
        <w:rPr>
          <w:rFonts w:ascii="SimSun" w:hAnsi="SimSun" w:hint="eastAsia"/>
          <w:sz w:val="21"/>
          <w:szCs w:val="22"/>
        </w:rPr>
        <w:t>数据是否已被知识产权局正确转录的工作量，并没有产生显著的生产率提高。通用的数据交换协议允许在系统之间进行安全的双向数据传输，这会带来很多好处，并会鼓励第三方解决方案提供商为知识产权代理人开发集成的、可互操作的案</w:t>
      </w:r>
      <w:r w:rsidR="00D40A28">
        <w:rPr>
          <w:rFonts w:ascii="SimSun" w:hAnsi="SimSun" w:hint="eastAsia"/>
          <w:sz w:val="21"/>
          <w:szCs w:val="22"/>
        </w:rPr>
        <w:t>件</w:t>
      </w:r>
      <w:r w:rsidRPr="0034139E">
        <w:rPr>
          <w:rFonts w:ascii="SimSun" w:hAnsi="SimSun" w:hint="eastAsia"/>
          <w:sz w:val="21"/>
          <w:szCs w:val="22"/>
        </w:rPr>
        <w:t>管理系统。</w:t>
      </w:r>
    </w:p>
    <w:p w:rsidR="00C05453" w:rsidRPr="0034139E" w:rsidRDefault="00C05453" w:rsidP="009D0855">
      <w:pPr>
        <w:pStyle w:val="ONUME"/>
        <w:numPr>
          <w:ilvl w:val="0"/>
          <w:numId w:val="8"/>
        </w:numPr>
        <w:overflowPunct w:val="0"/>
        <w:spacing w:afterLines="50" w:after="120" w:line="340" w:lineRule="atLeast"/>
        <w:ind w:left="0" w:firstLine="0"/>
        <w:jc w:val="both"/>
        <w:rPr>
          <w:rFonts w:ascii="SimSun" w:hAnsi="SimSun"/>
          <w:sz w:val="21"/>
          <w:szCs w:val="22"/>
        </w:rPr>
      </w:pPr>
      <w:r w:rsidRPr="0034139E">
        <w:rPr>
          <w:rFonts w:ascii="SimSun" w:hAnsi="SimSun" w:hint="eastAsia"/>
          <w:sz w:val="21"/>
          <w:szCs w:val="22"/>
        </w:rPr>
        <w:t>由申请人可以信任并可轻松使用的文本起草系统</w:t>
      </w:r>
      <w:r w:rsidR="00D40A28">
        <w:rPr>
          <w:rFonts w:ascii="SimSun" w:hAnsi="SimSun" w:hint="eastAsia"/>
          <w:sz w:val="21"/>
          <w:szCs w:val="22"/>
        </w:rPr>
        <w:t>，</w:t>
      </w:r>
      <w:r w:rsidRPr="0034139E">
        <w:rPr>
          <w:rFonts w:ascii="SimSun" w:hAnsi="SimSun" w:hint="eastAsia"/>
          <w:sz w:val="21"/>
          <w:szCs w:val="22"/>
        </w:rPr>
        <w:t>为从源头上生成标准化和结构良好的知识产权数据提供支持。大量现有专利文件以WIPO标准ST.36 XML格式提交或编码。很多知识产权局对这个格式给予大量投</w:t>
      </w:r>
      <w:r w:rsidR="00863B44">
        <w:rPr>
          <w:rFonts w:ascii="SimSun" w:hAnsi="SimSun" w:hint="eastAsia"/>
          <w:sz w:val="21"/>
          <w:szCs w:val="22"/>
        </w:rPr>
        <w:t>入</w:t>
      </w:r>
      <w:r w:rsidRPr="0034139E">
        <w:rPr>
          <w:rFonts w:ascii="SimSun" w:hAnsi="SimSun" w:hint="eastAsia"/>
          <w:sz w:val="21"/>
          <w:szCs w:val="22"/>
        </w:rPr>
        <w:t>，而还有很多知识产权局打算实施新的WIPO标准ST.96（使用XML处理工业产权信息）。重要的是，这些标准的实施应该能够实现两个标准之间至少主要实质性内容的无差错转换。</w:t>
      </w:r>
    </w:p>
    <w:p w:rsidR="00C05453" w:rsidRPr="0034139E" w:rsidRDefault="00C05453" w:rsidP="009D0855">
      <w:pPr>
        <w:pStyle w:val="ONUME"/>
        <w:numPr>
          <w:ilvl w:val="0"/>
          <w:numId w:val="8"/>
        </w:numPr>
        <w:overflowPunct w:val="0"/>
        <w:spacing w:afterLines="50" w:after="120" w:line="340" w:lineRule="atLeast"/>
        <w:ind w:left="0" w:firstLine="0"/>
        <w:jc w:val="both"/>
        <w:rPr>
          <w:rFonts w:ascii="SimSun" w:hAnsi="SimSun"/>
          <w:sz w:val="21"/>
          <w:szCs w:val="22"/>
        </w:rPr>
      </w:pPr>
      <w:r w:rsidRPr="0034139E">
        <w:rPr>
          <w:rFonts w:ascii="SimSun" w:hAnsi="SimSun" w:hint="eastAsia"/>
          <w:sz w:val="21"/>
          <w:szCs w:val="22"/>
        </w:rPr>
        <w:t>近年来，知识产权局已经开始适应申请人的需求，以知识产权局和国际局的</w:t>
      </w:r>
      <w:r w:rsidR="00B667AB">
        <w:rPr>
          <w:rFonts w:ascii="SimSun" w:hAnsi="SimSun" w:hint="eastAsia"/>
          <w:sz w:val="21"/>
          <w:szCs w:val="22"/>
        </w:rPr>
        <w:t>信通技术</w:t>
      </w:r>
      <w:r w:rsidRPr="0034139E">
        <w:rPr>
          <w:rFonts w:ascii="SimSun" w:hAnsi="SimSun" w:hint="eastAsia"/>
          <w:sz w:val="21"/>
          <w:szCs w:val="22"/>
        </w:rPr>
        <w:t>系统可读并可处理的标准化数字格式将高度技术性信息纳入申请中。下一部分将从商业和法律角度简要介绍一些对高度技术性信息的数据进行数字化的项目，在</w:t>
      </w:r>
      <w:r w:rsidR="00B667AB">
        <w:rPr>
          <w:rFonts w:ascii="SimSun" w:hAnsi="SimSun" w:hint="eastAsia"/>
          <w:sz w:val="21"/>
          <w:szCs w:val="22"/>
        </w:rPr>
        <w:t>信通技术</w:t>
      </w:r>
      <w:r w:rsidRPr="0034139E">
        <w:rPr>
          <w:rFonts w:ascii="SimSun" w:hAnsi="SimSun" w:hint="eastAsia"/>
          <w:sz w:val="21"/>
          <w:szCs w:val="22"/>
        </w:rPr>
        <w:t>战略中应对此有所体现。</w:t>
      </w:r>
    </w:p>
    <w:p w:rsidR="00C05453" w:rsidRPr="0034139E" w:rsidRDefault="00C05453" w:rsidP="009D0855">
      <w:pPr>
        <w:pStyle w:val="ONUME"/>
        <w:numPr>
          <w:ilvl w:val="0"/>
          <w:numId w:val="8"/>
        </w:numPr>
        <w:overflowPunct w:val="0"/>
        <w:spacing w:afterLines="50" w:after="120" w:line="340" w:lineRule="atLeast"/>
        <w:ind w:left="0" w:firstLine="0"/>
        <w:jc w:val="both"/>
        <w:rPr>
          <w:rFonts w:ascii="SimSun" w:hAnsi="SimSun"/>
          <w:sz w:val="21"/>
          <w:szCs w:val="22"/>
        </w:rPr>
      </w:pPr>
      <w:r w:rsidRPr="0034139E">
        <w:rPr>
          <w:rFonts w:ascii="SimSun" w:hAnsi="SimSun" w:hint="eastAsia"/>
          <w:sz w:val="21"/>
          <w:szCs w:val="22"/>
        </w:rPr>
        <w:t>首先，技术信息或诸如流程图、化学和数学公式、表格、图表、照片等复杂元素曾作为图像数据嵌入到专利申请的全文中。现在这些已经被最新的标准化数据格式所覆盖，并整合到XML格式的WIPO标准中。</w:t>
      </w:r>
    </w:p>
    <w:p w:rsidR="00C05453" w:rsidRPr="0034139E" w:rsidRDefault="00C05453" w:rsidP="009D0855">
      <w:pPr>
        <w:pStyle w:val="ONUME"/>
        <w:numPr>
          <w:ilvl w:val="0"/>
          <w:numId w:val="8"/>
        </w:numPr>
        <w:overflowPunct w:val="0"/>
        <w:spacing w:afterLines="50" w:after="120" w:line="340" w:lineRule="atLeast"/>
        <w:ind w:left="0" w:firstLine="0"/>
        <w:jc w:val="both"/>
        <w:rPr>
          <w:rFonts w:ascii="SimSun" w:hAnsi="SimSun"/>
          <w:sz w:val="21"/>
          <w:szCs w:val="22"/>
        </w:rPr>
      </w:pPr>
      <w:r w:rsidRPr="0034139E">
        <w:rPr>
          <w:rFonts w:ascii="SimSun" w:hAnsi="SimSun" w:hint="eastAsia"/>
          <w:sz w:val="21"/>
          <w:szCs w:val="22"/>
        </w:rPr>
        <w:t>其次，强烈希望允许在专利或设计申请中提交发明或设计的彩色</w:t>
      </w:r>
      <w:r w:rsidR="00863B44">
        <w:rPr>
          <w:rFonts w:ascii="SimSun" w:hAnsi="SimSun" w:hint="eastAsia"/>
          <w:sz w:val="21"/>
          <w:szCs w:val="22"/>
        </w:rPr>
        <w:t>附</w:t>
      </w:r>
      <w:r w:rsidRPr="0034139E">
        <w:rPr>
          <w:rFonts w:ascii="SimSun" w:hAnsi="SimSun" w:hint="eastAsia"/>
          <w:sz w:val="21"/>
          <w:szCs w:val="22"/>
        </w:rPr>
        <w:t>图，或在商标申请中提交商标的彩色复印件。WIPO标准ST.67的制定是为了实施对商标图形</w:t>
      </w:r>
      <w:r w:rsidR="00863B44">
        <w:rPr>
          <w:rFonts w:ascii="SimSun" w:hAnsi="SimSun" w:hint="eastAsia"/>
          <w:sz w:val="21"/>
          <w:szCs w:val="22"/>
        </w:rPr>
        <w:t>要</w:t>
      </w:r>
      <w:r w:rsidRPr="0034139E">
        <w:rPr>
          <w:rFonts w:ascii="SimSun" w:hAnsi="SimSun" w:hint="eastAsia"/>
          <w:sz w:val="21"/>
          <w:szCs w:val="22"/>
        </w:rPr>
        <w:t>素的电子化管理，</w:t>
      </w:r>
      <w:r w:rsidR="00EA50FC">
        <w:rPr>
          <w:rFonts w:ascii="SimSun" w:hAnsi="SimSun" w:hint="eastAsia"/>
          <w:sz w:val="21"/>
          <w:szCs w:val="22"/>
        </w:rPr>
        <w:t>产权组织</w:t>
      </w:r>
      <w:r w:rsidRPr="0034139E">
        <w:rPr>
          <w:rFonts w:ascii="SimSun" w:hAnsi="SimSun" w:hint="eastAsia"/>
          <w:sz w:val="21"/>
          <w:szCs w:val="22"/>
        </w:rPr>
        <w:t>标准委员会（CWS）在第57号任务中，针对向知识产权局和申请人收集</w:t>
      </w:r>
      <w:r w:rsidR="00863B44">
        <w:rPr>
          <w:rFonts w:ascii="SimSun" w:hAnsi="SimSun" w:hint="eastAsia"/>
          <w:sz w:val="21"/>
          <w:szCs w:val="22"/>
        </w:rPr>
        <w:t>外观设计可视表现形式</w:t>
      </w:r>
      <w:r w:rsidRPr="0034139E">
        <w:rPr>
          <w:rFonts w:ascii="SimSun" w:hAnsi="SimSun" w:hint="eastAsia"/>
          <w:sz w:val="21"/>
          <w:szCs w:val="22"/>
        </w:rPr>
        <w:t>信息的要求，讨论制定一项新标准。</w:t>
      </w:r>
    </w:p>
    <w:p w:rsidR="009D734F" w:rsidRPr="0034139E" w:rsidRDefault="009D734F" w:rsidP="009D0855">
      <w:pPr>
        <w:pStyle w:val="ONUME"/>
        <w:numPr>
          <w:ilvl w:val="0"/>
          <w:numId w:val="8"/>
        </w:numPr>
        <w:overflowPunct w:val="0"/>
        <w:spacing w:afterLines="50" w:after="120" w:line="340" w:lineRule="atLeast"/>
        <w:ind w:left="0" w:firstLine="0"/>
        <w:jc w:val="both"/>
        <w:rPr>
          <w:rFonts w:ascii="SimSun" w:hAnsi="SimSun"/>
          <w:sz w:val="21"/>
          <w:szCs w:val="22"/>
        </w:rPr>
      </w:pPr>
      <w:r w:rsidRPr="0034139E">
        <w:rPr>
          <w:rFonts w:ascii="SimSun" w:hAnsi="SimSun" w:hint="eastAsia"/>
          <w:sz w:val="21"/>
          <w:szCs w:val="22"/>
        </w:rPr>
        <w:t>第三，</w:t>
      </w:r>
      <w:r w:rsidR="00B667AB">
        <w:rPr>
          <w:rFonts w:ascii="SimSun" w:hAnsi="SimSun" w:hint="eastAsia"/>
          <w:sz w:val="21"/>
          <w:szCs w:val="22"/>
        </w:rPr>
        <w:t>信通技术</w:t>
      </w:r>
      <w:r w:rsidRPr="0034139E">
        <w:rPr>
          <w:rFonts w:ascii="SimSun" w:hAnsi="SimSun" w:hint="eastAsia"/>
          <w:sz w:val="21"/>
          <w:szCs w:val="22"/>
        </w:rPr>
        <w:t>产生的可受工业品外观设计保护的新元素</w:t>
      </w:r>
      <w:r w:rsidR="00863B44">
        <w:rPr>
          <w:rFonts w:ascii="SimSun" w:hAnsi="SimSun" w:hint="eastAsia"/>
          <w:sz w:val="21"/>
          <w:szCs w:val="22"/>
        </w:rPr>
        <w:t>，</w:t>
      </w:r>
      <w:r w:rsidRPr="0034139E">
        <w:rPr>
          <w:rFonts w:ascii="SimSun" w:hAnsi="SimSun" w:hint="eastAsia"/>
          <w:sz w:val="21"/>
          <w:szCs w:val="22"/>
        </w:rPr>
        <w:t>也对知识产权局的</w:t>
      </w:r>
      <w:r w:rsidR="00B667AB">
        <w:rPr>
          <w:rFonts w:ascii="SimSun" w:hAnsi="SimSun" w:hint="eastAsia"/>
          <w:sz w:val="21"/>
          <w:szCs w:val="22"/>
        </w:rPr>
        <w:t>信通技术</w:t>
      </w:r>
      <w:r w:rsidRPr="0034139E">
        <w:rPr>
          <w:rFonts w:ascii="SimSun" w:hAnsi="SimSun" w:hint="eastAsia"/>
          <w:sz w:val="21"/>
          <w:szCs w:val="22"/>
        </w:rPr>
        <w:t>战略构成挑战。这包括可受保护的图形用户界面（GUI）、图标和字体/字体设计。在2017年10月举行的商标、工业品外观设计和地理标志法律常设委员会（SCT）第三十八届会议上，还就上述设计元素召开了一次信息会议</w:t>
      </w:r>
      <w:r w:rsidRPr="0034139E">
        <w:rPr>
          <w:rFonts w:ascii="SimSun" w:hAnsi="SimSun"/>
          <w:sz w:val="21"/>
          <w:szCs w:val="22"/>
          <w:vertAlign w:val="superscript"/>
        </w:rPr>
        <w:footnoteReference w:id="2"/>
      </w:r>
      <w:r w:rsidRPr="0034139E">
        <w:rPr>
          <w:rFonts w:ascii="SimSun" w:hAnsi="SimSun" w:hint="eastAsia"/>
          <w:sz w:val="21"/>
          <w:szCs w:val="22"/>
        </w:rPr>
        <w:t>。在SCT会议上收到的提案已经汇编成一份文件，该文件将于下次SCT会议上审议。</w:t>
      </w:r>
      <w:r w:rsidR="0001235F" w:rsidRPr="0034139E">
        <w:rPr>
          <w:rFonts w:ascii="SimSun" w:hAnsi="SimSun" w:hint="eastAsia"/>
          <w:sz w:val="21"/>
          <w:szCs w:val="22"/>
        </w:rPr>
        <w:t>这对于采用复杂旧</w:t>
      </w:r>
      <w:r w:rsidRPr="0034139E">
        <w:rPr>
          <w:rFonts w:ascii="SimSun" w:hAnsi="SimSun" w:hint="eastAsia"/>
          <w:sz w:val="21"/>
          <w:szCs w:val="22"/>
        </w:rPr>
        <w:t>系统，只能接受黑白图纸知识产权局是一项重大的技术挑战。</w:t>
      </w:r>
      <w:r w:rsidR="00EA50FC">
        <w:rPr>
          <w:rFonts w:ascii="SimSun" w:hAnsi="SimSun" w:hint="eastAsia"/>
          <w:sz w:val="21"/>
          <w:szCs w:val="22"/>
        </w:rPr>
        <w:t>产权组织</w:t>
      </w:r>
      <w:r w:rsidRPr="0034139E">
        <w:rPr>
          <w:rFonts w:ascii="SimSun" w:hAnsi="SimSun" w:hint="eastAsia"/>
          <w:sz w:val="21"/>
          <w:szCs w:val="22"/>
        </w:rPr>
        <w:t>标准委员会开始讨论为电子图形视图设计建立一个新WIPO标准</w:t>
      </w:r>
      <w:r w:rsidR="00AB5F55" w:rsidRPr="0034139E">
        <w:rPr>
          <w:rStyle w:val="FootnoteReference"/>
          <w:rFonts w:ascii="SimSun" w:hAnsi="SimSun"/>
          <w:sz w:val="21"/>
          <w:szCs w:val="22"/>
        </w:rPr>
        <w:footnoteReference w:id="3"/>
      </w:r>
      <w:r w:rsidRPr="0034139E">
        <w:rPr>
          <w:rFonts w:ascii="SimSun" w:hAnsi="SimSun" w:hint="eastAsia"/>
          <w:sz w:val="21"/>
          <w:szCs w:val="22"/>
        </w:rPr>
        <w:t>。</w:t>
      </w:r>
    </w:p>
    <w:p w:rsidR="009D734F" w:rsidRPr="0034139E" w:rsidRDefault="009D734F" w:rsidP="009D0855">
      <w:pPr>
        <w:pStyle w:val="ONUME"/>
        <w:numPr>
          <w:ilvl w:val="0"/>
          <w:numId w:val="8"/>
        </w:numPr>
        <w:overflowPunct w:val="0"/>
        <w:spacing w:afterLines="50" w:after="120" w:line="340" w:lineRule="atLeast"/>
        <w:ind w:left="0" w:firstLine="0"/>
        <w:jc w:val="both"/>
        <w:rPr>
          <w:rFonts w:ascii="SimSun" w:hAnsi="SimSun"/>
          <w:sz w:val="21"/>
          <w:szCs w:val="22"/>
        </w:rPr>
      </w:pPr>
      <w:r w:rsidRPr="0034139E">
        <w:rPr>
          <w:rFonts w:ascii="SimSun" w:hAnsi="SimSun" w:hint="eastAsia"/>
          <w:sz w:val="21"/>
          <w:szCs w:val="22"/>
        </w:rPr>
        <w:t>最后一点，尽管一项专利申请中随附的核苷酸和氨基酸序列表被视为文本信息，也应该将其整合到专利申请的XML格式中。根据</w:t>
      </w:r>
      <w:r w:rsidR="00EA50FC">
        <w:rPr>
          <w:rFonts w:ascii="SimSun" w:hAnsi="SimSun" w:hint="eastAsia"/>
          <w:sz w:val="21"/>
          <w:szCs w:val="22"/>
        </w:rPr>
        <w:t>产权组织</w:t>
      </w:r>
      <w:r w:rsidRPr="0034139E">
        <w:rPr>
          <w:rFonts w:ascii="SimSun" w:hAnsi="SimSun" w:hint="eastAsia"/>
          <w:sz w:val="21"/>
          <w:szCs w:val="22"/>
        </w:rPr>
        <w:t>标准委员会的</w:t>
      </w:r>
      <w:r w:rsidR="00863B44">
        <w:rPr>
          <w:rFonts w:ascii="SimSun" w:hAnsi="SimSun" w:hint="eastAsia"/>
          <w:sz w:val="21"/>
          <w:szCs w:val="22"/>
        </w:rPr>
        <w:t>一致意见</w:t>
      </w:r>
      <w:r w:rsidRPr="0034139E">
        <w:rPr>
          <w:rFonts w:ascii="SimSun" w:hAnsi="SimSun"/>
          <w:sz w:val="21"/>
          <w:szCs w:val="22"/>
          <w:vertAlign w:val="superscript"/>
        </w:rPr>
        <w:footnoteReference w:id="4"/>
      </w:r>
      <w:r w:rsidRPr="0034139E">
        <w:rPr>
          <w:rFonts w:ascii="SimSun" w:hAnsi="SimSun" w:hint="eastAsia"/>
          <w:sz w:val="21"/>
          <w:szCs w:val="22"/>
        </w:rPr>
        <w:t>，从2022年1月起，申请人和知识产权局必须符合WIPO标准ST.26的要求，使序列表实现机器可读和可</w:t>
      </w:r>
      <w:r w:rsidR="0001235F" w:rsidRPr="0034139E">
        <w:rPr>
          <w:rFonts w:ascii="SimSun" w:hAnsi="SimSun" w:hint="eastAsia"/>
          <w:sz w:val="21"/>
          <w:szCs w:val="22"/>
        </w:rPr>
        <w:t>检索</w:t>
      </w:r>
      <w:r w:rsidRPr="0034139E">
        <w:rPr>
          <w:rFonts w:ascii="SimSun" w:hAnsi="SimSun" w:hint="eastAsia"/>
          <w:sz w:val="21"/>
          <w:szCs w:val="22"/>
        </w:rPr>
        <w:t>，这对于申请人和知识产权局而言是一项挑战。</w:t>
      </w:r>
      <w:r w:rsidR="00EA50FC">
        <w:rPr>
          <w:rFonts w:ascii="SimSun" w:hAnsi="SimSun" w:hint="eastAsia"/>
          <w:sz w:val="21"/>
          <w:szCs w:val="22"/>
        </w:rPr>
        <w:t>产权组织</w:t>
      </w:r>
      <w:r w:rsidRPr="0034139E">
        <w:rPr>
          <w:rFonts w:ascii="SimSun" w:hAnsi="SimSun" w:hint="eastAsia"/>
          <w:sz w:val="21"/>
          <w:szCs w:val="22"/>
        </w:rPr>
        <w:t>已经与知识产权局合作，开始开发一个通用的创作和验证软件工具，使申请人和知识产权局能够以ST.26 XML格式编制和/或验证序列表。</w:t>
      </w:r>
    </w:p>
    <w:p w:rsidR="009D734F" w:rsidRPr="0034139E" w:rsidRDefault="009D734F" w:rsidP="00244155">
      <w:pPr>
        <w:overflowPunct w:val="0"/>
        <w:spacing w:afterLines="50" w:after="120" w:line="340" w:lineRule="atLeast"/>
        <w:ind w:left="567"/>
        <w:jc w:val="both"/>
        <w:rPr>
          <w:rFonts w:ascii="SimSun" w:hAnsi="SimSun"/>
          <w:bCs/>
          <w:sz w:val="21"/>
          <w:szCs w:val="26"/>
          <w:u w:val="single"/>
        </w:rPr>
      </w:pPr>
      <w:r w:rsidRPr="0034139E">
        <w:rPr>
          <w:rFonts w:ascii="SimSun" w:hAnsi="SimSun" w:hint="eastAsia"/>
          <w:bCs/>
          <w:sz w:val="21"/>
          <w:szCs w:val="26"/>
          <w:u w:val="single"/>
        </w:rPr>
        <w:lastRenderedPageBreak/>
        <w:t>建</w:t>
      </w:r>
      <w:r w:rsidR="00656C6A">
        <w:rPr>
          <w:rFonts w:ascii="SimSun" w:hAnsi="SimSun" w:hint="eastAsia"/>
          <w:bCs/>
          <w:sz w:val="21"/>
          <w:szCs w:val="26"/>
          <w:u w:val="single"/>
        </w:rPr>
        <w:t xml:space="preserve">　</w:t>
      </w:r>
      <w:r w:rsidRPr="0034139E">
        <w:rPr>
          <w:rFonts w:ascii="SimSun" w:hAnsi="SimSun" w:hint="eastAsia"/>
          <w:bCs/>
          <w:sz w:val="21"/>
          <w:szCs w:val="26"/>
          <w:u w:val="single"/>
        </w:rPr>
        <w:t>议</w:t>
      </w:r>
    </w:p>
    <w:p w:rsidR="009D734F" w:rsidRPr="0034139E" w:rsidRDefault="009D734F" w:rsidP="00244155">
      <w:pPr>
        <w:overflowPunct w:val="0"/>
        <w:spacing w:afterLines="50" w:after="120" w:line="340" w:lineRule="atLeast"/>
        <w:ind w:left="567"/>
        <w:jc w:val="both"/>
        <w:rPr>
          <w:rFonts w:ascii="SimSun" w:hAnsi="SimSun"/>
          <w:sz w:val="21"/>
          <w:szCs w:val="22"/>
        </w:rPr>
      </w:pPr>
      <w:r w:rsidRPr="0034139E">
        <w:rPr>
          <w:rFonts w:ascii="SimSun" w:hAnsi="SimSun" w:hint="eastAsia"/>
          <w:sz w:val="21"/>
          <w:szCs w:val="22"/>
          <w:u w:val="single"/>
        </w:rPr>
        <w:t>建议</w:t>
      </w:r>
      <w:r w:rsidRPr="00656C6A">
        <w:rPr>
          <w:rFonts w:ascii="SimSun" w:hAnsi="SimSun" w:hint="eastAsia"/>
          <w:sz w:val="21"/>
          <w:szCs w:val="22"/>
          <w:u w:val="single"/>
        </w:rPr>
        <w:t>1</w:t>
      </w:r>
      <w:r w:rsidR="00656C6A" w:rsidRPr="00656C6A">
        <w:rPr>
          <w:rFonts w:ascii="SimSun" w:hAnsi="SimSun" w:hint="eastAsia"/>
          <w:sz w:val="21"/>
          <w:szCs w:val="22"/>
          <w:u w:val="single"/>
        </w:rPr>
        <w:t>：</w:t>
      </w:r>
      <w:r w:rsidRPr="0034139E">
        <w:rPr>
          <w:rFonts w:ascii="SimSun" w:hAnsi="SimSun" w:hint="eastAsia"/>
          <w:sz w:val="21"/>
          <w:szCs w:val="22"/>
        </w:rPr>
        <w:t>开发一套覆盖关键共同交易的在线数据交换协议，直接从知识产权管理系统的输出中生成高质量的知识产权数据，以根据WIPO标准与知识产权局和国际局创建和交换知识产权数据。</w:t>
      </w:r>
    </w:p>
    <w:p w:rsidR="009D734F" w:rsidRPr="0034139E" w:rsidRDefault="009D734F" w:rsidP="00244155">
      <w:pPr>
        <w:overflowPunct w:val="0"/>
        <w:spacing w:afterLines="50" w:after="120" w:line="340" w:lineRule="atLeast"/>
        <w:ind w:left="567"/>
        <w:jc w:val="both"/>
        <w:rPr>
          <w:rFonts w:ascii="SimSun" w:hAnsi="SimSun"/>
          <w:sz w:val="21"/>
          <w:szCs w:val="22"/>
        </w:rPr>
      </w:pPr>
      <w:r w:rsidRPr="0034139E">
        <w:rPr>
          <w:rFonts w:ascii="SimSun" w:hAnsi="SimSun" w:hint="eastAsia"/>
          <w:sz w:val="21"/>
          <w:szCs w:val="22"/>
          <w:u w:val="single"/>
        </w:rPr>
        <w:t>建议</w:t>
      </w:r>
      <w:r w:rsidRPr="00656C6A">
        <w:rPr>
          <w:rFonts w:ascii="SimSun" w:hAnsi="SimSun" w:hint="eastAsia"/>
          <w:sz w:val="21"/>
          <w:szCs w:val="22"/>
          <w:u w:val="single"/>
        </w:rPr>
        <w:t>2</w:t>
      </w:r>
      <w:r w:rsidR="00656C6A">
        <w:rPr>
          <w:rFonts w:ascii="SimSun" w:hAnsi="SimSun" w:hint="eastAsia"/>
          <w:sz w:val="21"/>
          <w:szCs w:val="22"/>
        </w:rPr>
        <w:t>：</w:t>
      </w:r>
      <w:r w:rsidRPr="0034139E">
        <w:rPr>
          <w:rFonts w:ascii="SimSun" w:hAnsi="SimSun" w:hint="eastAsia"/>
          <w:sz w:val="21"/>
          <w:szCs w:val="22"/>
        </w:rPr>
        <w:t>在引入在线数据交换协议时，应实施适当的政策并考虑知识产权申请人和知识产权代理使用的</w:t>
      </w:r>
      <w:r w:rsidR="00B667AB">
        <w:rPr>
          <w:rFonts w:ascii="SimSun" w:hAnsi="SimSun" w:hint="eastAsia"/>
          <w:sz w:val="21"/>
          <w:szCs w:val="22"/>
        </w:rPr>
        <w:t>信通技术</w:t>
      </w:r>
      <w:r w:rsidRPr="0034139E">
        <w:rPr>
          <w:rFonts w:ascii="SimSun" w:hAnsi="SimSun" w:hint="eastAsia"/>
          <w:sz w:val="21"/>
          <w:szCs w:val="22"/>
        </w:rPr>
        <w:t>系统，以方便其使用该协议和提交高质量的知识产权数据。</w:t>
      </w:r>
    </w:p>
    <w:p w:rsidR="009D734F" w:rsidRPr="0034139E" w:rsidRDefault="009D734F" w:rsidP="00244155">
      <w:pPr>
        <w:overflowPunct w:val="0"/>
        <w:spacing w:afterLines="50" w:after="120" w:line="340" w:lineRule="atLeast"/>
        <w:ind w:left="567"/>
        <w:jc w:val="both"/>
        <w:rPr>
          <w:rFonts w:ascii="SimSun" w:hAnsi="SimSun"/>
          <w:sz w:val="21"/>
          <w:szCs w:val="22"/>
        </w:rPr>
      </w:pPr>
      <w:r w:rsidRPr="0034139E">
        <w:rPr>
          <w:rFonts w:ascii="SimSun" w:hAnsi="SimSun" w:hint="eastAsia"/>
          <w:sz w:val="21"/>
          <w:szCs w:val="22"/>
          <w:u w:val="single"/>
        </w:rPr>
        <w:t>建议</w:t>
      </w:r>
      <w:r w:rsidRPr="00656C6A">
        <w:rPr>
          <w:rFonts w:ascii="SimSun" w:hAnsi="SimSun" w:hint="eastAsia"/>
          <w:sz w:val="21"/>
          <w:szCs w:val="22"/>
          <w:u w:val="single"/>
        </w:rPr>
        <w:t>3</w:t>
      </w:r>
      <w:r w:rsidR="00656C6A">
        <w:rPr>
          <w:rFonts w:ascii="SimSun" w:hAnsi="SimSun" w:hint="eastAsia"/>
          <w:sz w:val="21"/>
          <w:szCs w:val="22"/>
        </w:rPr>
        <w:t>：</w:t>
      </w:r>
      <w:r w:rsidRPr="0034139E">
        <w:rPr>
          <w:rFonts w:ascii="SimSun" w:hAnsi="SimSun" w:hint="eastAsia"/>
          <w:sz w:val="21"/>
          <w:szCs w:val="22"/>
        </w:rPr>
        <w:t>根据良好的质量控制和相关WIPO标准，通过图像数据的OCR转换正确实施对知识产权数据的备份文件捕获。</w:t>
      </w:r>
    </w:p>
    <w:p w:rsidR="009D734F" w:rsidRPr="0034139E" w:rsidRDefault="009D734F" w:rsidP="00244155">
      <w:pPr>
        <w:overflowPunct w:val="0"/>
        <w:spacing w:afterLines="50" w:after="120" w:line="340" w:lineRule="atLeast"/>
        <w:ind w:left="567"/>
        <w:jc w:val="both"/>
        <w:rPr>
          <w:rFonts w:ascii="SimSun" w:hAnsi="SimSun"/>
          <w:sz w:val="21"/>
          <w:szCs w:val="22"/>
        </w:rPr>
      </w:pPr>
      <w:r w:rsidRPr="0034139E">
        <w:rPr>
          <w:rFonts w:ascii="SimSun" w:hAnsi="SimSun" w:hint="eastAsia"/>
          <w:sz w:val="21"/>
          <w:szCs w:val="22"/>
          <w:u w:val="single"/>
        </w:rPr>
        <w:t>建议</w:t>
      </w:r>
      <w:r w:rsidRPr="00656C6A">
        <w:rPr>
          <w:rFonts w:ascii="SimSun" w:hAnsi="SimSun" w:hint="eastAsia"/>
          <w:sz w:val="21"/>
          <w:szCs w:val="22"/>
          <w:u w:val="single"/>
        </w:rPr>
        <w:t>4</w:t>
      </w:r>
      <w:r w:rsidR="00656C6A">
        <w:rPr>
          <w:rFonts w:ascii="SimSun" w:hAnsi="SimSun" w:hint="eastAsia"/>
          <w:sz w:val="21"/>
          <w:szCs w:val="22"/>
        </w:rPr>
        <w:t>：</w:t>
      </w:r>
      <w:r w:rsidRPr="0034139E">
        <w:rPr>
          <w:rFonts w:ascii="SimSun" w:hAnsi="SimSun" w:hint="eastAsia"/>
          <w:sz w:val="21"/>
          <w:szCs w:val="22"/>
        </w:rPr>
        <w:t>除了诸如申请人姓名之类的</w:t>
      </w:r>
      <w:r w:rsidR="00863B44">
        <w:rPr>
          <w:rFonts w:ascii="SimSun" w:hAnsi="SimSun" w:hint="eastAsia"/>
          <w:sz w:val="21"/>
          <w:szCs w:val="22"/>
        </w:rPr>
        <w:t>著录项目</w:t>
      </w:r>
      <w:r w:rsidRPr="0034139E">
        <w:rPr>
          <w:rFonts w:ascii="SimSun" w:hAnsi="SimSun" w:hint="eastAsia"/>
          <w:sz w:val="21"/>
          <w:szCs w:val="22"/>
        </w:rPr>
        <w:t>数据之外，应将专利说明书的全文进行转换或者从源头生成，以使专利申请可</w:t>
      </w:r>
      <w:r w:rsidR="00C02144" w:rsidRPr="0034139E">
        <w:rPr>
          <w:rFonts w:ascii="SimSun" w:hAnsi="SimSun" w:hint="eastAsia"/>
          <w:sz w:val="21"/>
          <w:szCs w:val="22"/>
        </w:rPr>
        <w:t>检索</w:t>
      </w:r>
      <w:r w:rsidRPr="0034139E">
        <w:rPr>
          <w:rFonts w:ascii="SimSun" w:hAnsi="SimSun" w:hint="eastAsia"/>
          <w:sz w:val="21"/>
          <w:szCs w:val="22"/>
        </w:rPr>
        <w:t>。在从文字处理器格式中编制XML时要考虑使用常用工具或至少更接近WIPO标准，以确保一致性。</w:t>
      </w:r>
    </w:p>
    <w:p w:rsidR="009D734F" w:rsidRPr="0034139E" w:rsidRDefault="009D734F" w:rsidP="00244155">
      <w:pPr>
        <w:overflowPunct w:val="0"/>
        <w:spacing w:afterLines="50" w:after="120" w:line="340" w:lineRule="atLeast"/>
        <w:ind w:left="567"/>
        <w:jc w:val="both"/>
        <w:rPr>
          <w:rFonts w:ascii="SimSun" w:hAnsi="SimSun"/>
          <w:sz w:val="21"/>
          <w:szCs w:val="22"/>
        </w:rPr>
      </w:pPr>
      <w:r w:rsidRPr="0034139E">
        <w:rPr>
          <w:rFonts w:ascii="SimSun" w:hAnsi="SimSun" w:hint="eastAsia"/>
          <w:sz w:val="21"/>
          <w:szCs w:val="22"/>
          <w:u w:val="single"/>
        </w:rPr>
        <w:t>建议</w:t>
      </w:r>
      <w:r w:rsidRPr="00656C6A">
        <w:rPr>
          <w:rFonts w:ascii="SimSun" w:hAnsi="SimSun" w:hint="eastAsia"/>
          <w:sz w:val="21"/>
          <w:szCs w:val="22"/>
          <w:u w:val="single"/>
        </w:rPr>
        <w:t>5</w:t>
      </w:r>
      <w:r w:rsidR="00656C6A">
        <w:rPr>
          <w:rFonts w:ascii="SimSun" w:hAnsi="SimSun" w:hint="eastAsia"/>
          <w:sz w:val="21"/>
          <w:szCs w:val="22"/>
        </w:rPr>
        <w:t>：</w:t>
      </w:r>
      <w:r w:rsidRPr="0034139E">
        <w:rPr>
          <w:rFonts w:ascii="SimSun" w:hAnsi="SimSun" w:hint="eastAsia"/>
          <w:sz w:val="21"/>
          <w:szCs w:val="22"/>
        </w:rPr>
        <w:t>根据相关的WIPO标准（特别是WIPO标准ST.96</w:t>
      </w:r>
      <w:r w:rsidRPr="0034139E">
        <w:rPr>
          <w:rStyle w:val="FootnoteReference"/>
          <w:rFonts w:ascii="SimSun" w:hAnsi="SimSun"/>
          <w:sz w:val="21"/>
        </w:rPr>
        <w:footnoteReference w:id="5"/>
      </w:r>
      <w:r w:rsidRPr="0034139E">
        <w:rPr>
          <w:rFonts w:ascii="SimSun" w:hAnsi="SimSun"/>
          <w:sz w:val="21"/>
        </w:rPr>
        <w:t>)</w:t>
      </w:r>
      <w:r w:rsidRPr="0034139E">
        <w:rPr>
          <w:rFonts w:ascii="SimSun" w:hAnsi="SimSun" w:hint="eastAsia"/>
          <w:sz w:val="21"/>
          <w:szCs w:val="22"/>
        </w:rPr>
        <w:t>），应将图像数据和复杂元素（如知识产权申请中包含的设备商标图像、工业品外观设计和图形）生成为机器可</w:t>
      </w:r>
      <w:r w:rsidR="00C02144" w:rsidRPr="0034139E">
        <w:rPr>
          <w:rFonts w:ascii="SimSun" w:hAnsi="SimSun" w:hint="eastAsia"/>
          <w:sz w:val="21"/>
          <w:szCs w:val="22"/>
        </w:rPr>
        <w:t>检索</w:t>
      </w:r>
      <w:r w:rsidRPr="0034139E">
        <w:rPr>
          <w:rFonts w:ascii="SimSun" w:hAnsi="SimSun" w:hint="eastAsia"/>
          <w:sz w:val="21"/>
          <w:szCs w:val="22"/>
        </w:rPr>
        <w:t>的数据。</w:t>
      </w:r>
    </w:p>
    <w:p w:rsidR="003F40FC" w:rsidRPr="006575B1" w:rsidRDefault="003F40FC" w:rsidP="006575B1">
      <w:pPr>
        <w:pStyle w:val="Heading1"/>
        <w:overflowPunct w:val="0"/>
        <w:spacing w:beforeLines="100" w:afterLines="50" w:after="120" w:line="340" w:lineRule="atLeast"/>
        <w:rPr>
          <w:rFonts w:ascii="SimSun" w:hAnsi="SimSun"/>
          <w:sz w:val="21"/>
        </w:rPr>
      </w:pPr>
      <w:r w:rsidRPr="006575B1">
        <w:rPr>
          <w:rFonts w:ascii="SimSun" w:hAnsi="SimSun" w:hint="eastAsia"/>
          <w:sz w:val="21"/>
        </w:rPr>
        <w:t>工作流程和案</w:t>
      </w:r>
      <w:r w:rsidR="00863B44">
        <w:rPr>
          <w:rFonts w:ascii="SimSun" w:hAnsi="SimSun" w:hint="eastAsia"/>
          <w:sz w:val="21"/>
        </w:rPr>
        <w:t>件</w:t>
      </w:r>
      <w:r w:rsidRPr="006575B1">
        <w:rPr>
          <w:rFonts w:ascii="SimSun" w:hAnsi="SimSun" w:hint="eastAsia"/>
          <w:sz w:val="21"/>
        </w:rPr>
        <w:t>管理</w:t>
      </w:r>
    </w:p>
    <w:p w:rsidR="003F40FC" w:rsidRPr="0034139E" w:rsidRDefault="003F40FC" w:rsidP="009D0855">
      <w:pPr>
        <w:pStyle w:val="ONUME"/>
        <w:numPr>
          <w:ilvl w:val="0"/>
          <w:numId w:val="8"/>
        </w:numPr>
        <w:overflowPunct w:val="0"/>
        <w:spacing w:afterLines="50" w:after="120" w:line="340" w:lineRule="atLeast"/>
        <w:ind w:left="0" w:firstLine="0"/>
        <w:jc w:val="both"/>
        <w:rPr>
          <w:rFonts w:ascii="SimSun" w:hAnsi="SimSun"/>
          <w:sz w:val="21"/>
          <w:szCs w:val="22"/>
        </w:rPr>
      </w:pPr>
      <w:r w:rsidRPr="0034139E">
        <w:rPr>
          <w:rFonts w:ascii="SimSun" w:hAnsi="SimSun" w:hint="eastAsia"/>
          <w:sz w:val="21"/>
          <w:szCs w:val="22"/>
        </w:rPr>
        <w:t>所有知识产权局都需要建立一个系统来跟踪档案、分配工作、监督截止日期和实施处理知识产权的详细规章与程序。在纸质世界中，需要实际进行文件流通和在文件封面上标记关键信息（例如截止日期和法律状态信息）来完成这些工作。</w:t>
      </w:r>
    </w:p>
    <w:p w:rsidR="003F40FC" w:rsidRPr="0034139E" w:rsidRDefault="003F40FC" w:rsidP="009D0855">
      <w:pPr>
        <w:pStyle w:val="ONUME"/>
        <w:numPr>
          <w:ilvl w:val="0"/>
          <w:numId w:val="8"/>
        </w:numPr>
        <w:overflowPunct w:val="0"/>
        <w:spacing w:afterLines="50" w:after="120" w:line="340" w:lineRule="atLeast"/>
        <w:ind w:left="0" w:firstLine="0"/>
        <w:jc w:val="both"/>
        <w:rPr>
          <w:rFonts w:ascii="SimSun" w:hAnsi="SimSun"/>
          <w:sz w:val="21"/>
          <w:szCs w:val="22"/>
        </w:rPr>
      </w:pPr>
      <w:r w:rsidRPr="0034139E">
        <w:rPr>
          <w:rFonts w:ascii="SimSun" w:hAnsi="SimSun" w:hint="eastAsia"/>
          <w:sz w:val="21"/>
          <w:szCs w:val="22"/>
        </w:rPr>
        <w:t>通过实施</w:t>
      </w:r>
      <w:r w:rsidR="00B667AB">
        <w:rPr>
          <w:rFonts w:ascii="SimSun" w:hAnsi="SimSun" w:hint="eastAsia"/>
          <w:sz w:val="21"/>
          <w:szCs w:val="22"/>
        </w:rPr>
        <w:t>信通技术</w:t>
      </w:r>
      <w:r w:rsidRPr="0034139E">
        <w:rPr>
          <w:rFonts w:ascii="SimSun" w:hAnsi="SimSun" w:hint="eastAsia"/>
          <w:sz w:val="21"/>
          <w:szCs w:val="22"/>
        </w:rPr>
        <w:t>系统来管理工作流程和业务规则，可以带来提高效率和质量的良机，但很多知识产权局对这些流程的自动化还有些抗拒。国际局经常观察到，由于知识产权局的业务规则和工作流程复杂且相互关联，导致标准案件管理工具不能有效实施。知识产权局通常需要编写复杂的软件代码来全面实施其业务规则，这可能导致系统难以维护并且不灵活。</w:t>
      </w:r>
    </w:p>
    <w:p w:rsidR="003F40FC" w:rsidRPr="0034139E" w:rsidRDefault="003F40FC" w:rsidP="009D0855">
      <w:pPr>
        <w:pStyle w:val="ONUME"/>
        <w:numPr>
          <w:ilvl w:val="0"/>
          <w:numId w:val="8"/>
        </w:numPr>
        <w:overflowPunct w:val="0"/>
        <w:spacing w:afterLines="50" w:after="120" w:line="340" w:lineRule="atLeast"/>
        <w:ind w:left="0" w:firstLine="0"/>
        <w:jc w:val="both"/>
        <w:rPr>
          <w:rFonts w:ascii="SimSun" w:hAnsi="SimSun"/>
          <w:sz w:val="21"/>
          <w:szCs w:val="22"/>
        </w:rPr>
      </w:pPr>
      <w:r w:rsidRPr="0034139E">
        <w:rPr>
          <w:rFonts w:ascii="SimSun" w:hAnsi="SimSun" w:hint="eastAsia"/>
          <w:sz w:val="21"/>
          <w:szCs w:val="22"/>
        </w:rPr>
        <w:t>一个良好的知识产权局工作流程管理系统需要具有以下特征：</w:t>
      </w:r>
    </w:p>
    <w:p w:rsidR="003F40FC" w:rsidRPr="0034139E" w:rsidRDefault="003F40FC" w:rsidP="00244155">
      <w:pPr>
        <w:overflowPunct w:val="0"/>
        <w:spacing w:afterLines="50" w:after="120" w:line="340" w:lineRule="atLeast"/>
        <w:ind w:left="567"/>
        <w:jc w:val="both"/>
        <w:rPr>
          <w:rFonts w:ascii="SimSun" w:hAnsi="SimSun"/>
          <w:sz w:val="21"/>
          <w:szCs w:val="22"/>
        </w:rPr>
      </w:pPr>
      <w:r w:rsidRPr="0034139E">
        <w:rPr>
          <w:rFonts w:ascii="SimSun" w:hAnsi="SimSun" w:hint="eastAsia"/>
          <w:sz w:val="21"/>
          <w:szCs w:val="22"/>
        </w:rPr>
        <w:t>a</w:t>
      </w:r>
      <w:r w:rsidR="002E3D16">
        <w:rPr>
          <w:rFonts w:ascii="SimSun" w:hAnsi="SimSun" w:hint="eastAsia"/>
          <w:sz w:val="21"/>
          <w:szCs w:val="22"/>
        </w:rPr>
        <w:t>)</w:t>
      </w:r>
      <w:r w:rsidR="00656C6A">
        <w:rPr>
          <w:rFonts w:ascii="SimSun" w:hAnsi="SimSun" w:hint="eastAsia"/>
          <w:sz w:val="21"/>
          <w:szCs w:val="22"/>
        </w:rPr>
        <w:tab/>
      </w:r>
      <w:r w:rsidRPr="00244155">
        <w:rPr>
          <w:rFonts w:ascii="KaiTi" w:eastAsia="KaiTi" w:hAnsi="KaiTi" w:hint="eastAsia"/>
          <w:sz w:val="21"/>
          <w:szCs w:val="22"/>
        </w:rPr>
        <w:t>适应知识产权业务规则</w:t>
      </w:r>
      <w:r w:rsidRPr="0034139E">
        <w:rPr>
          <w:rFonts w:ascii="SimSun" w:hAnsi="SimSun" w:hint="eastAsia"/>
          <w:sz w:val="21"/>
          <w:szCs w:val="22"/>
        </w:rPr>
        <w:t>：例如，系统需要识别触发其他流程的流程（例如</w:t>
      </w:r>
      <w:r w:rsidR="00656C6A">
        <w:rPr>
          <w:rFonts w:ascii="SimSun" w:hAnsi="SimSun" w:hint="eastAsia"/>
          <w:sz w:val="21"/>
          <w:szCs w:val="22"/>
        </w:rPr>
        <w:t>公</w:t>
      </w:r>
      <w:r w:rsidRPr="0034139E">
        <w:rPr>
          <w:rFonts w:ascii="SimSun" w:hAnsi="SimSun" w:hint="eastAsia"/>
          <w:sz w:val="21"/>
          <w:szCs w:val="22"/>
        </w:rPr>
        <w:t>布）、依赖于或冻结其他流程的流程（例如异议）以及相互依赖的最后期限和时间限制等</w:t>
      </w:r>
      <w:r w:rsidR="002E3D16">
        <w:rPr>
          <w:rFonts w:ascii="SimSun" w:hAnsi="SimSun" w:hint="eastAsia"/>
          <w:sz w:val="21"/>
          <w:szCs w:val="22"/>
        </w:rPr>
        <w:t>；</w:t>
      </w:r>
    </w:p>
    <w:p w:rsidR="003F40FC" w:rsidRPr="0034139E" w:rsidRDefault="003F40FC" w:rsidP="00244155">
      <w:pPr>
        <w:overflowPunct w:val="0"/>
        <w:spacing w:afterLines="50" w:after="120" w:line="340" w:lineRule="atLeast"/>
        <w:ind w:left="567"/>
        <w:jc w:val="both"/>
        <w:rPr>
          <w:rFonts w:ascii="SimSun" w:hAnsi="SimSun"/>
          <w:sz w:val="21"/>
          <w:szCs w:val="22"/>
        </w:rPr>
      </w:pPr>
      <w:r w:rsidRPr="0034139E">
        <w:rPr>
          <w:rFonts w:ascii="SimSun" w:hAnsi="SimSun" w:hint="eastAsia"/>
          <w:sz w:val="21"/>
          <w:szCs w:val="22"/>
        </w:rPr>
        <w:t>b</w:t>
      </w:r>
      <w:r w:rsidR="002E3D16">
        <w:rPr>
          <w:rFonts w:ascii="SimSun" w:hAnsi="SimSun" w:hint="eastAsia"/>
          <w:sz w:val="21"/>
          <w:szCs w:val="22"/>
        </w:rPr>
        <w:t>)</w:t>
      </w:r>
      <w:r w:rsidR="00656C6A">
        <w:rPr>
          <w:rFonts w:ascii="SimSun" w:hAnsi="SimSun" w:hint="eastAsia"/>
          <w:sz w:val="21"/>
          <w:szCs w:val="22"/>
        </w:rPr>
        <w:tab/>
      </w:r>
      <w:r w:rsidRPr="00244155">
        <w:rPr>
          <w:rFonts w:ascii="KaiTi" w:eastAsia="KaiTi" w:hAnsi="KaiTi" w:hint="eastAsia"/>
          <w:sz w:val="21"/>
          <w:szCs w:val="22"/>
        </w:rPr>
        <w:t>对法律和业务规则的变化作出灵活反应</w:t>
      </w:r>
      <w:r w:rsidRPr="0034139E">
        <w:rPr>
          <w:rFonts w:ascii="SimSun" w:hAnsi="SimSun" w:hint="eastAsia"/>
          <w:sz w:val="21"/>
          <w:szCs w:val="22"/>
        </w:rPr>
        <w:t>：理想情况下，系统针对不同文件集激活不同的业务规则集（例如，一项新立法适用于特定日期之后提交的所有申请）</w:t>
      </w:r>
      <w:r w:rsidR="002E3D16">
        <w:rPr>
          <w:rFonts w:ascii="SimSun" w:hAnsi="SimSun" w:hint="eastAsia"/>
          <w:sz w:val="21"/>
          <w:szCs w:val="22"/>
        </w:rPr>
        <w:t>；</w:t>
      </w:r>
    </w:p>
    <w:p w:rsidR="003F40FC" w:rsidRPr="0034139E" w:rsidRDefault="003F40FC" w:rsidP="00244155">
      <w:pPr>
        <w:overflowPunct w:val="0"/>
        <w:spacing w:afterLines="50" w:after="120" w:line="340" w:lineRule="atLeast"/>
        <w:ind w:left="567"/>
        <w:jc w:val="both"/>
        <w:rPr>
          <w:rFonts w:ascii="SimSun" w:hAnsi="SimSun"/>
          <w:sz w:val="21"/>
          <w:szCs w:val="22"/>
        </w:rPr>
      </w:pPr>
      <w:r w:rsidRPr="0034139E">
        <w:rPr>
          <w:rFonts w:ascii="SimSun" w:hAnsi="SimSun" w:hint="eastAsia"/>
          <w:sz w:val="21"/>
          <w:szCs w:val="22"/>
        </w:rPr>
        <w:t>c</w:t>
      </w:r>
      <w:r w:rsidR="002E3D16">
        <w:rPr>
          <w:rFonts w:ascii="SimSun" w:hAnsi="SimSun" w:hint="eastAsia"/>
          <w:sz w:val="21"/>
          <w:szCs w:val="22"/>
        </w:rPr>
        <w:t>)</w:t>
      </w:r>
      <w:r w:rsidR="00656C6A">
        <w:rPr>
          <w:rFonts w:ascii="SimSun" w:hAnsi="SimSun" w:hint="eastAsia"/>
          <w:sz w:val="21"/>
          <w:szCs w:val="22"/>
        </w:rPr>
        <w:tab/>
      </w:r>
      <w:r w:rsidRPr="0034139E">
        <w:rPr>
          <w:rFonts w:ascii="SimSun" w:hAnsi="SimSun" w:hint="eastAsia"/>
          <w:sz w:val="21"/>
          <w:szCs w:val="22"/>
        </w:rPr>
        <w:t>无需对支持工作流程管理的软件进行复杂编程即可修改业务规则的能力</w:t>
      </w:r>
      <w:r w:rsidR="002E3D16">
        <w:rPr>
          <w:rFonts w:ascii="SimSun" w:hAnsi="SimSun" w:hint="eastAsia"/>
          <w:sz w:val="21"/>
          <w:szCs w:val="22"/>
        </w:rPr>
        <w:t>；</w:t>
      </w:r>
    </w:p>
    <w:p w:rsidR="003F40FC" w:rsidRPr="0034139E" w:rsidRDefault="003F40FC" w:rsidP="00244155">
      <w:pPr>
        <w:overflowPunct w:val="0"/>
        <w:spacing w:afterLines="50" w:after="120" w:line="340" w:lineRule="atLeast"/>
        <w:ind w:left="567"/>
        <w:jc w:val="both"/>
        <w:rPr>
          <w:rFonts w:ascii="SimSun" w:hAnsi="SimSun"/>
          <w:sz w:val="21"/>
          <w:szCs w:val="22"/>
        </w:rPr>
      </w:pPr>
      <w:r w:rsidRPr="0034139E">
        <w:rPr>
          <w:rFonts w:ascii="SimSun" w:hAnsi="SimSun" w:hint="eastAsia"/>
          <w:sz w:val="21"/>
          <w:szCs w:val="22"/>
        </w:rPr>
        <w:t>d</w:t>
      </w:r>
      <w:r w:rsidR="002E3D16">
        <w:rPr>
          <w:rFonts w:ascii="SimSun" w:hAnsi="SimSun" w:hint="eastAsia"/>
          <w:sz w:val="21"/>
          <w:szCs w:val="22"/>
        </w:rPr>
        <w:t>)</w:t>
      </w:r>
      <w:r w:rsidR="00656C6A">
        <w:rPr>
          <w:rFonts w:ascii="SimSun" w:hAnsi="SimSun" w:hint="eastAsia"/>
          <w:sz w:val="21"/>
          <w:szCs w:val="22"/>
        </w:rPr>
        <w:tab/>
      </w:r>
      <w:r w:rsidRPr="0034139E">
        <w:rPr>
          <w:rFonts w:ascii="SimSun" w:hAnsi="SimSun" w:hint="eastAsia"/>
          <w:sz w:val="21"/>
          <w:szCs w:val="22"/>
        </w:rPr>
        <w:t>快速、清晰、准确，可提供丰富的信息并易于与其他服务整合。</w:t>
      </w:r>
    </w:p>
    <w:p w:rsidR="003F40FC" w:rsidRPr="0034139E" w:rsidRDefault="003F40FC" w:rsidP="009D0855">
      <w:pPr>
        <w:pStyle w:val="ONUME"/>
        <w:numPr>
          <w:ilvl w:val="0"/>
          <w:numId w:val="8"/>
        </w:numPr>
        <w:overflowPunct w:val="0"/>
        <w:spacing w:afterLines="50" w:after="120" w:line="340" w:lineRule="atLeast"/>
        <w:ind w:left="0" w:firstLine="0"/>
        <w:jc w:val="both"/>
        <w:rPr>
          <w:rFonts w:ascii="SimSun" w:hAnsi="SimSun"/>
          <w:sz w:val="21"/>
          <w:szCs w:val="22"/>
        </w:rPr>
      </w:pPr>
      <w:r w:rsidRPr="0034139E">
        <w:rPr>
          <w:rFonts w:ascii="SimSun" w:hAnsi="SimSun" w:hint="eastAsia"/>
          <w:sz w:val="21"/>
          <w:szCs w:val="22"/>
        </w:rPr>
        <w:t>少量知识产权管理软件包可以满足这些要求。知识产权局</w:t>
      </w:r>
      <w:r w:rsidR="000D4F87">
        <w:rPr>
          <w:rFonts w:ascii="SimSun" w:hAnsi="SimSun" w:hint="eastAsia"/>
          <w:sz w:val="21"/>
          <w:szCs w:val="22"/>
        </w:rPr>
        <w:t>要么</w:t>
      </w:r>
      <w:r w:rsidRPr="0034139E">
        <w:rPr>
          <w:rFonts w:ascii="SimSun" w:hAnsi="SimSun" w:hint="eastAsia"/>
          <w:sz w:val="21"/>
          <w:szCs w:val="22"/>
        </w:rPr>
        <w:t>必须开发自己的系统</w:t>
      </w:r>
      <w:r w:rsidR="000D4F87">
        <w:rPr>
          <w:rFonts w:ascii="SimSun" w:hAnsi="SimSun" w:hint="eastAsia"/>
          <w:sz w:val="21"/>
          <w:szCs w:val="22"/>
        </w:rPr>
        <w:t>，要么</w:t>
      </w:r>
      <w:r w:rsidRPr="0034139E">
        <w:rPr>
          <w:rFonts w:ascii="SimSun" w:hAnsi="SimSun" w:hint="eastAsia"/>
          <w:sz w:val="21"/>
          <w:szCs w:val="22"/>
        </w:rPr>
        <w:t>采用其中一种标准软件包。</w:t>
      </w:r>
    </w:p>
    <w:p w:rsidR="003F40FC" w:rsidRPr="0034139E" w:rsidRDefault="003F40FC" w:rsidP="009D0855">
      <w:pPr>
        <w:pStyle w:val="ONUME"/>
        <w:numPr>
          <w:ilvl w:val="0"/>
          <w:numId w:val="8"/>
        </w:numPr>
        <w:overflowPunct w:val="0"/>
        <w:spacing w:afterLines="50" w:after="120" w:line="340" w:lineRule="atLeast"/>
        <w:ind w:left="0" w:firstLine="0"/>
        <w:jc w:val="both"/>
        <w:rPr>
          <w:rFonts w:ascii="SimSun" w:hAnsi="SimSun"/>
          <w:sz w:val="21"/>
          <w:szCs w:val="22"/>
        </w:rPr>
      </w:pPr>
      <w:r w:rsidRPr="0034139E">
        <w:rPr>
          <w:rFonts w:ascii="SimSun" w:hAnsi="SimSun" w:hint="eastAsia"/>
          <w:sz w:val="21"/>
          <w:szCs w:val="22"/>
        </w:rPr>
        <w:t>应该指出的是，如果难以明确规定业务规则，这可能表明需要对流程进行审查，或者需要将大型复杂流程更仔细地建模为复杂程度较低的子流程。许多知识产权局实施了自动化工作流程管理系统，但没有充分利用机会改进其业务流程和管理信息。例如，知识产权局可能会继续要求提交多份文</w:t>
      </w:r>
      <w:r w:rsidRPr="0034139E">
        <w:rPr>
          <w:rFonts w:ascii="SimSun" w:hAnsi="SimSun" w:hint="eastAsia"/>
          <w:sz w:val="21"/>
          <w:szCs w:val="22"/>
        </w:rPr>
        <w:lastRenderedPageBreak/>
        <w:t>件副本，或以在新系统中简单复制纸质流程的方式执行业务流程。同样，知识产权局可能也未充分利用机会通过设定和衡量工作质量或工作效率绩效指标而改进管理报告。因此，自动化项目不应被视为简单的</w:t>
      </w:r>
      <w:r w:rsidR="00B667AB">
        <w:rPr>
          <w:rFonts w:ascii="SimSun" w:hAnsi="SimSun" w:hint="eastAsia"/>
          <w:sz w:val="21"/>
          <w:szCs w:val="22"/>
        </w:rPr>
        <w:t>信通技术</w:t>
      </w:r>
      <w:r w:rsidRPr="0034139E">
        <w:rPr>
          <w:rFonts w:ascii="SimSun" w:hAnsi="SimSun" w:hint="eastAsia"/>
          <w:sz w:val="21"/>
          <w:szCs w:val="22"/>
        </w:rPr>
        <w:t>实施，而应视为高层管理人员利用此机会优化业务流程并改善服务交付的业务转型。这种转变还可能涉及修改条例和程序以实现新的工作实践。</w:t>
      </w:r>
    </w:p>
    <w:p w:rsidR="003F40FC" w:rsidRPr="0034139E" w:rsidRDefault="003F40FC" w:rsidP="009D0855">
      <w:pPr>
        <w:pStyle w:val="ONUME"/>
        <w:numPr>
          <w:ilvl w:val="0"/>
          <w:numId w:val="8"/>
        </w:numPr>
        <w:overflowPunct w:val="0"/>
        <w:spacing w:afterLines="50" w:after="120" w:line="340" w:lineRule="atLeast"/>
        <w:ind w:left="0" w:firstLine="0"/>
        <w:jc w:val="both"/>
        <w:rPr>
          <w:rFonts w:ascii="SimSun" w:hAnsi="SimSun"/>
          <w:sz w:val="21"/>
          <w:szCs w:val="22"/>
        </w:rPr>
      </w:pPr>
      <w:r w:rsidRPr="0034139E">
        <w:rPr>
          <w:rFonts w:ascii="SimSun" w:hAnsi="SimSun" w:hint="eastAsia"/>
          <w:sz w:val="21"/>
          <w:szCs w:val="22"/>
        </w:rPr>
        <w:t>多数知识产权局在基础设施和数据方面有大量现有投资，着眼于为现有申请人提供长期支持和处理，同时寻求未来的改进，但在分析和软件开发方面的能力则往往有限。这就要求必须认真考虑和识别在处理申请方面的优先顺序，从而使协作的效益最大化，优化结果或降低系统开发和维护的持续成本。重要的是不应该将任何此类项目视为纯粹的</w:t>
      </w:r>
      <w:r w:rsidR="00B667AB">
        <w:rPr>
          <w:rFonts w:ascii="SimSun" w:hAnsi="SimSun" w:hint="eastAsia"/>
          <w:sz w:val="21"/>
          <w:szCs w:val="22"/>
        </w:rPr>
        <w:t>信通技术</w:t>
      </w:r>
      <w:r w:rsidRPr="0034139E">
        <w:rPr>
          <w:rFonts w:ascii="SimSun" w:hAnsi="SimSun" w:hint="eastAsia"/>
          <w:sz w:val="21"/>
          <w:szCs w:val="22"/>
        </w:rPr>
        <w:t>项目，而是由</w:t>
      </w:r>
      <w:r w:rsidR="000D4F87">
        <w:rPr>
          <w:rFonts w:ascii="SimSun" w:hAnsi="SimSun" w:hint="eastAsia"/>
          <w:sz w:val="21"/>
          <w:szCs w:val="22"/>
        </w:rPr>
        <w:t>业务</w:t>
      </w:r>
      <w:r w:rsidRPr="0034139E">
        <w:rPr>
          <w:rFonts w:ascii="SimSun" w:hAnsi="SimSun" w:hint="eastAsia"/>
          <w:sz w:val="21"/>
          <w:szCs w:val="22"/>
        </w:rPr>
        <w:t>代表牵头，由法律代表全程参与各个阶段的一项工作。</w:t>
      </w:r>
    </w:p>
    <w:p w:rsidR="005E4A1C" w:rsidRPr="0034139E" w:rsidRDefault="00D40A28" w:rsidP="00244155">
      <w:pPr>
        <w:overflowPunct w:val="0"/>
        <w:spacing w:afterLines="50" w:after="120" w:line="340" w:lineRule="atLeast"/>
        <w:ind w:left="567"/>
        <w:jc w:val="both"/>
        <w:rPr>
          <w:rFonts w:ascii="SimSun" w:hAnsi="SimSun"/>
          <w:bCs/>
          <w:sz w:val="21"/>
          <w:szCs w:val="26"/>
          <w:u w:val="single"/>
        </w:rPr>
      </w:pPr>
      <w:r>
        <w:rPr>
          <w:rFonts w:ascii="SimSun" w:hAnsi="SimSun" w:hint="eastAsia"/>
          <w:bCs/>
          <w:sz w:val="21"/>
          <w:szCs w:val="26"/>
          <w:u w:val="single"/>
        </w:rPr>
        <w:t>建　议</w:t>
      </w:r>
    </w:p>
    <w:p w:rsidR="005E4A1C" w:rsidRPr="0034139E" w:rsidRDefault="005E4A1C" w:rsidP="00244155">
      <w:pPr>
        <w:overflowPunct w:val="0"/>
        <w:spacing w:afterLines="50" w:after="120" w:line="340" w:lineRule="atLeast"/>
        <w:ind w:left="567"/>
        <w:jc w:val="both"/>
        <w:rPr>
          <w:rFonts w:ascii="SimSun" w:hAnsi="SimSun"/>
          <w:sz w:val="21"/>
          <w:szCs w:val="22"/>
        </w:rPr>
      </w:pPr>
      <w:r w:rsidRPr="00656C6A">
        <w:rPr>
          <w:rFonts w:ascii="SimSun" w:hAnsi="SimSun" w:hint="eastAsia"/>
          <w:sz w:val="21"/>
          <w:szCs w:val="22"/>
          <w:u w:val="single"/>
        </w:rPr>
        <w:t>建议6</w:t>
      </w:r>
      <w:r w:rsidR="00656C6A">
        <w:rPr>
          <w:rFonts w:ascii="SimSun" w:hAnsi="SimSun" w:hint="eastAsia"/>
          <w:sz w:val="21"/>
          <w:szCs w:val="22"/>
        </w:rPr>
        <w:t>：</w:t>
      </w:r>
      <w:r w:rsidRPr="0034139E">
        <w:rPr>
          <w:rFonts w:ascii="SimSun" w:hAnsi="SimSun" w:hint="eastAsia"/>
          <w:sz w:val="21"/>
          <w:szCs w:val="22"/>
        </w:rPr>
        <w:t>在业务、</w:t>
      </w:r>
      <w:r w:rsidR="00B667AB">
        <w:rPr>
          <w:rFonts w:ascii="SimSun" w:hAnsi="SimSun" w:hint="eastAsia"/>
          <w:sz w:val="21"/>
          <w:szCs w:val="22"/>
        </w:rPr>
        <w:t>信通技术</w:t>
      </w:r>
      <w:r w:rsidRPr="0034139E">
        <w:rPr>
          <w:rFonts w:ascii="SimSun" w:hAnsi="SimSun" w:hint="eastAsia"/>
          <w:sz w:val="21"/>
          <w:szCs w:val="22"/>
        </w:rPr>
        <w:t>和法律代表全程参与和协作下，将基于纸质交易的现有业务模型和工作流流程重新设计并转型为基于数字知识产权数据交易的现代化的、优化的业务模型和工作流程。</w:t>
      </w:r>
    </w:p>
    <w:p w:rsidR="005E4A1C" w:rsidRPr="006575B1" w:rsidRDefault="00656C6A" w:rsidP="006575B1">
      <w:pPr>
        <w:pStyle w:val="Heading1"/>
        <w:overflowPunct w:val="0"/>
        <w:spacing w:beforeLines="100" w:afterLines="50" w:after="120" w:line="340" w:lineRule="atLeast"/>
        <w:rPr>
          <w:rFonts w:ascii="SimSun" w:hAnsi="SimSun"/>
          <w:sz w:val="21"/>
        </w:rPr>
      </w:pPr>
      <w:r>
        <w:rPr>
          <w:rFonts w:ascii="SimSun" w:hAnsi="SimSun" w:hint="eastAsia"/>
          <w:sz w:val="21"/>
        </w:rPr>
        <w:t>知识产权</w:t>
      </w:r>
      <w:r w:rsidR="005E4A1C" w:rsidRPr="006575B1">
        <w:rPr>
          <w:rFonts w:ascii="SimSun" w:hAnsi="SimSun" w:hint="eastAsia"/>
          <w:sz w:val="21"/>
        </w:rPr>
        <w:t>文件的有序分类和分配</w:t>
      </w:r>
    </w:p>
    <w:p w:rsidR="005E4A1C" w:rsidRPr="0034139E" w:rsidRDefault="005E4A1C" w:rsidP="009D0855">
      <w:pPr>
        <w:pStyle w:val="ONUME"/>
        <w:numPr>
          <w:ilvl w:val="0"/>
          <w:numId w:val="8"/>
        </w:numPr>
        <w:overflowPunct w:val="0"/>
        <w:spacing w:afterLines="50" w:after="120" w:line="340" w:lineRule="atLeast"/>
        <w:ind w:left="0" w:firstLine="0"/>
        <w:jc w:val="both"/>
        <w:rPr>
          <w:rFonts w:ascii="SimSun" w:hAnsi="SimSun"/>
          <w:sz w:val="21"/>
          <w:szCs w:val="22"/>
        </w:rPr>
      </w:pPr>
      <w:r w:rsidRPr="0034139E">
        <w:rPr>
          <w:rFonts w:ascii="SimSun" w:hAnsi="SimSun" w:hint="eastAsia"/>
          <w:sz w:val="21"/>
          <w:szCs w:val="22"/>
        </w:rPr>
        <w:t>工作流程从</w:t>
      </w:r>
      <w:r w:rsidR="00172B80" w:rsidRPr="0034139E">
        <w:rPr>
          <w:rFonts w:ascii="SimSun" w:hAnsi="SimSun" w:hint="eastAsia"/>
          <w:sz w:val="21"/>
          <w:szCs w:val="22"/>
        </w:rPr>
        <w:t>受理</w:t>
      </w:r>
      <w:r w:rsidRPr="0034139E">
        <w:rPr>
          <w:rFonts w:ascii="SimSun" w:hAnsi="SimSun" w:hint="eastAsia"/>
          <w:sz w:val="21"/>
          <w:szCs w:val="22"/>
        </w:rPr>
        <w:t>知识产权申请开始，然后将知识产权文件分配给组织单位进行实质审查。为便于分配，多数知识产权局将知识产权申请集中到数量可控的文件夹中，并将其分配给负责处理特定类别知识产权申请的适当单位。多数知识产权局使用国家或国际分类进行聚类。作为</w:t>
      </w:r>
      <w:r w:rsidR="00EA50FC">
        <w:rPr>
          <w:rFonts w:ascii="SimSun" w:hAnsi="SimSun" w:hint="eastAsia"/>
          <w:sz w:val="21"/>
          <w:szCs w:val="22"/>
        </w:rPr>
        <w:t>产权组织</w:t>
      </w:r>
      <w:r w:rsidRPr="0034139E">
        <w:rPr>
          <w:rFonts w:ascii="SimSun" w:hAnsi="SimSun" w:hint="eastAsia"/>
          <w:sz w:val="21"/>
          <w:szCs w:val="22"/>
        </w:rPr>
        <w:t>全球知识产权体系的缔约方，各条约希望或要求其成员国使用IPC、尼斯、维也纳和洛迦诺等国际分类法进行分类。使用准确的、</w:t>
      </w:r>
      <w:r w:rsidR="000D4F87">
        <w:rPr>
          <w:rFonts w:ascii="SimSun" w:hAnsi="SimSun" w:hint="eastAsia"/>
          <w:sz w:val="21"/>
          <w:szCs w:val="22"/>
        </w:rPr>
        <w:t>国际一致</w:t>
      </w:r>
      <w:r w:rsidRPr="0034139E">
        <w:rPr>
          <w:rFonts w:ascii="SimSun" w:hAnsi="SimSun" w:hint="eastAsia"/>
          <w:sz w:val="21"/>
          <w:szCs w:val="22"/>
        </w:rPr>
        <w:t>的国际分类方法对于在</w:t>
      </w:r>
      <w:r w:rsidR="00EA50FC">
        <w:rPr>
          <w:rFonts w:ascii="SimSun" w:hAnsi="SimSun" w:hint="eastAsia"/>
          <w:sz w:val="21"/>
          <w:szCs w:val="22"/>
        </w:rPr>
        <w:t>产权组织</w:t>
      </w:r>
      <w:r w:rsidRPr="0034139E">
        <w:rPr>
          <w:rFonts w:ascii="SimSun" w:hAnsi="SimSun" w:hint="eastAsia"/>
          <w:sz w:val="21"/>
          <w:szCs w:val="22"/>
        </w:rPr>
        <w:t>全球知识产权体系下运作非常重要。要实现这个管理目的，大多数知识产权局可能并不需要详细的分类级别。但如下文中所讨论的那样，有些分类（尤其是IPC）可能庞大而复杂，并且要使用最新的方案进行</w:t>
      </w:r>
      <w:r w:rsidR="00C02144" w:rsidRPr="0034139E">
        <w:rPr>
          <w:rFonts w:ascii="SimSun" w:hAnsi="SimSun" w:hint="eastAsia"/>
          <w:sz w:val="21"/>
          <w:szCs w:val="22"/>
        </w:rPr>
        <w:t>检索</w:t>
      </w:r>
      <w:r w:rsidRPr="0034139E">
        <w:rPr>
          <w:rFonts w:ascii="SimSun" w:hAnsi="SimSun" w:hint="eastAsia"/>
          <w:sz w:val="21"/>
          <w:szCs w:val="22"/>
        </w:rPr>
        <w:t>。</w:t>
      </w:r>
    </w:p>
    <w:p w:rsidR="005E4A1C" w:rsidRPr="0034139E" w:rsidRDefault="00B667AB" w:rsidP="009D0855">
      <w:pPr>
        <w:pStyle w:val="ONUME"/>
        <w:numPr>
          <w:ilvl w:val="0"/>
          <w:numId w:val="8"/>
        </w:numPr>
        <w:overflowPunct w:val="0"/>
        <w:spacing w:afterLines="50" w:after="120" w:line="340" w:lineRule="atLeast"/>
        <w:ind w:left="0" w:firstLine="0"/>
        <w:jc w:val="both"/>
        <w:rPr>
          <w:rFonts w:ascii="SimSun" w:hAnsi="SimSun"/>
          <w:sz w:val="21"/>
          <w:szCs w:val="22"/>
        </w:rPr>
      </w:pPr>
      <w:r>
        <w:rPr>
          <w:rFonts w:ascii="SimSun" w:hAnsi="SimSun" w:hint="eastAsia"/>
          <w:sz w:val="21"/>
          <w:szCs w:val="22"/>
        </w:rPr>
        <w:t>信通技术</w:t>
      </w:r>
      <w:r w:rsidR="005E4A1C" w:rsidRPr="0034139E">
        <w:rPr>
          <w:rFonts w:ascii="SimSun" w:hAnsi="SimSun" w:hint="eastAsia"/>
          <w:sz w:val="21"/>
          <w:szCs w:val="22"/>
        </w:rPr>
        <w:t>系统应支持分类标志的分配工作。知识产权局面临的挑战包括提供分类提议的培训、更新分类（包括重新分类工作），并在必要时通过提供当地语言版本的分类来建立分类的公</w:t>
      </w:r>
      <w:r w:rsidR="000D4F87">
        <w:rPr>
          <w:rFonts w:ascii="SimSun" w:hAnsi="SimSun" w:hint="eastAsia"/>
          <w:sz w:val="21"/>
          <w:szCs w:val="22"/>
        </w:rPr>
        <w:t>众</w:t>
      </w:r>
      <w:r w:rsidR="005E4A1C" w:rsidRPr="0034139E">
        <w:rPr>
          <w:rFonts w:ascii="SimSun" w:hAnsi="SimSun" w:hint="eastAsia"/>
          <w:sz w:val="21"/>
          <w:szCs w:val="22"/>
        </w:rPr>
        <w:t>意识。资源有限的知识产权局可能难以应对这些挑战。</w:t>
      </w:r>
    </w:p>
    <w:p w:rsidR="005E4A1C" w:rsidRPr="0034139E" w:rsidRDefault="00EA50FC" w:rsidP="009D0855">
      <w:pPr>
        <w:pStyle w:val="ONUME"/>
        <w:numPr>
          <w:ilvl w:val="0"/>
          <w:numId w:val="8"/>
        </w:numPr>
        <w:overflowPunct w:val="0"/>
        <w:spacing w:afterLines="50" w:after="120" w:line="340" w:lineRule="atLeast"/>
        <w:ind w:left="0" w:firstLine="0"/>
        <w:jc w:val="both"/>
        <w:rPr>
          <w:rFonts w:ascii="SimSun" w:hAnsi="SimSun"/>
          <w:sz w:val="21"/>
          <w:szCs w:val="22"/>
        </w:rPr>
      </w:pPr>
      <w:r>
        <w:rPr>
          <w:rFonts w:ascii="SimSun" w:hAnsi="SimSun" w:hint="eastAsia"/>
          <w:sz w:val="21"/>
          <w:szCs w:val="22"/>
        </w:rPr>
        <w:t>产权组织</w:t>
      </w:r>
      <w:r w:rsidR="005E4A1C" w:rsidRPr="0034139E">
        <w:rPr>
          <w:rFonts w:ascii="SimSun" w:hAnsi="SimSun" w:hint="eastAsia"/>
          <w:sz w:val="21"/>
          <w:szCs w:val="22"/>
        </w:rPr>
        <w:t>为互联网出版平台提供了诸如IPCPUB之类的</w:t>
      </w:r>
      <w:r w:rsidR="00987187" w:rsidRPr="0034139E">
        <w:rPr>
          <w:rFonts w:ascii="SimSun" w:hAnsi="SimSun" w:hint="eastAsia"/>
          <w:sz w:val="21"/>
          <w:szCs w:val="22"/>
        </w:rPr>
        <w:t>检索</w:t>
      </w:r>
      <w:r w:rsidR="005E4A1C" w:rsidRPr="0034139E">
        <w:rPr>
          <w:rFonts w:ascii="SimSun" w:hAnsi="SimSun" w:hint="eastAsia"/>
          <w:sz w:val="21"/>
          <w:szCs w:val="22"/>
        </w:rPr>
        <w:t>功能，这使知识产权局能够更容易地制作IPC的国家语言版本。</w:t>
      </w:r>
      <w:r>
        <w:rPr>
          <w:rFonts w:ascii="SimSun" w:hAnsi="SimSun" w:hint="eastAsia"/>
          <w:sz w:val="21"/>
          <w:szCs w:val="22"/>
        </w:rPr>
        <w:t>产权组织</w:t>
      </w:r>
      <w:r w:rsidR="005E4A1C" w:rsidRPr="0034139E">
        <w:rPr>
          <w:rFonts w:ascii="SimSun" w:hAnsi="SimSun" w:hint="eastAsia"/>
          <w:sz w:val="21"/>
          <w:szCs w:val="22"/>
        </w:rPr>
        <w:t>还提供了IPCCAT（IPC系统的一个分类辅助工具，主要用于帮助对IPC类别的专利进行分类</w:t>
      </w:r>
      <w:r w:rsidR="005E4A1C" w:rsidRPr="0034139E">
        <w:rPr>
          <w:rFonts w:ascii="SimSun" w:hAnsi="SimSun"/>
          <w:sz w:val="21"/>
          <w:szCs w:val="22"/>
          <w:vertAlign w:val="superscript"/>
        </w:rPr>
        <w:footnoteReference w:id="6"/>
      </w:r>
      <w:r w:rsidR="005E4A1C" w:rsidRPr="0034139E">
        <w:rPr>
          <w:rFonts w:ascii="SimSun" w:hAnsi="SimSun" w:hint="eastAsia"/>
          <w:sz w:val="21"/>
          <w:szCs w:val="22"/>
        </w:rPr>
        <w:t>），这是一个由人工智能支持的IPC子类自动分类工具。</w:t>
      </w:r>
    </w:p>
    <w:p w:rsidR="005E4A1C" w:rsidRPr="0034139E" w:rsidRDefault="005E4A1C" w:rsidP="009D0855">
      <w:pPr>
        <w:pStyle w:val="ONUME"/>
        <w:numPr>
          <w:ilvl w:val="0"/>
          <w:numId w:val="8"/>
        </w:numPr>
        <w:overflowPunct w:val="0"/>
        <w:spacing w:afterLines="50" w:after="120" w:line="340" w:lineRule="atLeast"/>
        <w:ind w:left="0" w:firstLine="0"/>
        <w:jc w:val="both"/>
        <w:rPr>
          <w:rFonts w:ascii="SimSun" w:hAnsi="SimSun"/>
          <w:sz w:val="21"/>
          <w:szCs w:val="22"/>
        </w:rPr>
      </w:pPr>
      <w:r w:rsidRPr="0034139E">
        <w:rPr>
          <w:rFonts w:ascii="SimSun" w:hAnsi="SimSun" w:hint="eastAsia"/>
          <w:sz w:val="21"/>
          <w:szCs w:val="22"/>
        </w:rPr>
        <w:t>为了协助马德</w:t>
      </w:r>
      <w:r w:rsidR="00940A15" w:rsidRPr="0034139E">
        <w:rPr>
          <w:rFonts w:ascii="SimSun" w:hAnsi="SimSun" w:hint="eastAsia"/>
          <w:sz w:val="21"/>
          <w:szCs w:val="22"/>
        </w:rPr>
        <w:t>里体系的用户，马德里</w:t>
      </w:r>
      <w:r w:rsidR="000D4F87">
        <w:rPr>
          <w:rFonts w:ascii="SimSun" w:hAnsi="SimSun" w:hint="eastAsia"/>
          <w:sz w:val="21"/>
          <w:szCs w:val="22"/>
        </w:rPr>
        <w:t>商品</w:t>
      </w:r>
      <w:r w:rsidR="00940A15" w:rsidRPr="0034139E">
        <w:rPr>
          <w:rFonts w:ascii="SimSun" w:hAnsi="SimSun" w:hint="eastAsia"/>
          <w:sz w:val="21"/>
          <w:szCs w:val="22"/>
        </w:rPr>
        <w:t>和服务数据库包含有可接受的商品和服务名称</w:t>
      </w:r>
      <w:r w:rsidRPr="0034139E">
        <w:rPr>
          <w:rFonts w:ascii="SimSun" w:hAnsi="SimSun" w:hint="eastAsia"/>
          <w:sz w:val="21"/>
          <w:szCs w:val="22"/>
        </w:rPr>
        <w:t>，该数据库完全符合尼斯分类。尼斯分类是商标中</w:t>
      </w:r>
      <w:r w:rsidR="000D4F87">
        <w:rPr>
          <w:rFonts w:ascii="SimSun" w:hAnsi="SimSun" w:hint="eastAsia"/>
          <w:sz w:val="21"/>
          <w:szCs w:val="22"/>
        </w:rPr>
        <w:t>商品</w:t>
      </w:r>
      <w:r w:rsidRPr="0034139E">
        <w:rPr>
          <w:rFonts w:ascii="SimSun" w:hAnsi="SimSun" w:hint="eastAsia"/>
          <w:sz w:val="21"/>
          <w:szCs w:val="22"/>
        </w:rPr>
        <w:t>和服务分类的标准。可接受的商品服务描述以英文书写的最多，目前超过82</w:t>
      </w:r>
      <w:r w:rsidR="000D4F87">
        <w:rPr>
          <w:rFonts w:ascii="SimSun" w:hAnsi="SimSun" w:hint="eastAsia"/>
          <w:sz w:val="21"/>
          <w:szCs w:val="22"/>
        </w:rPr>
        <w:t>%</w:t>
      </w:r>
      <w:r w:rsidRPr="0034139E">
        <w:rPr>
          <w:rFonts w:ascii="SimSun" w:hAnsi="SimSun" w:hint="eastAsia"/>
          <w:sz w:val="21"/>
          <w:szCs w:val="22"/>
        </w:rPr>
        <w:t>的申请人选择使用英语。马德里</w:t>
      </w:r>
      <w:r w:rsidR="000D4F87">
        <w:rPr>
          <w:rFonts w:ascii="SimSun" w:hAnsi="SimSun" w:hint="eastAsia"/>
          <w:sz w:val="21"/>
          <w:szCs w:val="22"/>
        </w:rPr>
        <w:t>商品</w:t>
      </w:r>
      <w:r w:rsidRPr="0034139E">
        <w:rPr>
          <w:rFonts w:ascii="SimSun" w:hAnsi="SimSun" w:hint="eastAsia"/>
          <w:sz w:val="21"/>
          <w:szCs w:val="22"/>
        </w:rPr>
        <w:t>和服务</w:t>
      </w:r>
      <w:r w:rsidR="000D4F87">
        <w:rPr>
          <w:rFonts w:ascii="SimSun" w:hAnsi="SimSun" w:hint="eastAsia"/>
          <w:sz w:val="21"/>
          <w:szCs w:val="22"/>
        </w:rPr>
        <w:t>管理器</w:t>
      </w:r>
      <w:r w:rsidRPr="0034139E">
        <w:rPr>
          <w:rFonts w:ascii="SimSun" w:hAnsi="SimSun" w:hint="eastAsia"/>
          <w:sz w:val="21"/>
          <w:szCs w:val="22"/>
        </w:rPr>
        <w:t>还为马德里体系用户提供马德里</w:t>
      </w:r>
      <w:r w:rsidR="000D4F87">
        <w:rPr>
          <w:rFonts w:ascii="SimSun" w:hAnsi="SimSun" w:hint="eastAsia"/>
          <w:sz w:val="21"/>
          <w:szCs w:val="22"/>
        </w:rPr>
        <w:t>商品</w:t>
      </w:r>
      <w:r w:rsidRPr="0034139E">
        <w:rPr>
          <w:rFonts w:ascii="SimSun" w:hAnsi="SimSun" w:hint="eastAsia"/>
          <w:sz w:val="21"/>
          <w:szCs w:val="22"/>
        </w:rPr>
        <w:t>和服务描述的</w:t>
      </w:r>
      <w:r w:rsidR="00C02144" w:rsidRPr="0034139E">
        <w:rPr>
          <w:rFonts w:ascii="SimSun" w:hAnsi="SimSun" w:hint="eastAsia"/>
          <w:sz w:val="21"/>
          <w:szCs w:val="22"/>
        </w:rPr>
        <w:t>检索</w:t>
      </w:r>
      <w:r w:rsidRPr="0034139E">
        <w:rPr>
          <w:rFonts w:ascii="SimSun" w:hAnsi="SimSun" w:hint="eastAsia"/>
          <w:sz w:val="21"/>
          <w:szCs w:val="22"/>
        </w:rPr>
        <w:t>功能以及知识产权局对此类描述的接受信息（更多详情将在第二部分讨论）。</w:t>
      </w:r>
    </w:p>
    <w:p w:rsidR="00987187" w:rsidRPr="0034139E" w:rsidRDefault="00987187" w:rsidP="009D0855">
      <w:pPr>
        <w:pStyle w:val="ONUME"/>
        <w:numPr>
          <w:ilvl w:val="0"/>
          <w:numId w:val="8"/>
        </w:numPr>
        <w:overflowPunct w:val="0"/>
        <w:spacing w:afterLines="50" w:after="120" w:line="340" w:lineRule="atLeast"/>
        <w:ind w:left="0" w:firstLine="0"/>
        <w:jc w:val="both"/>
        <w:rPr>
          <w:rFonts w:ascii="SimSun" w:hAnsi="SimSun"/>
          <w:sz w:val="21"/>
          <w:szCs w:val="22"/>
        </w:rPr>
      </w:pPr>
      <w:r w:rsidRPr="0034139E">
        <w:rPr>
          <w:rFonts w:ascii="SimSun" w:hAnsi="SimSun" w:hint="eastAsia"/>
          <w:sz w:val="21"/>
          <w:szCs w:val="22"/>
        </w:rPr>
        <w:t>为了提供进一步的信息技术支持，有必要探索开发或增强每种分类的自动化分类工具，尽可能反映常见做法，这可以帮助知识产权局和用户以切实有效的方式识别适当分类，包括商品和服务描述（见文件WIPO/IP/ITAI/GE/18/1）。</w:t>
      </w:r>
    </w:p>
    <w:p w:rsidR="00987187" w:rsidRPr="0034139E" w:rsidRDefault="00D40A28" w:rsidP="00244155">
      <w:pPr>
        <w:overflowPunct w:val="0"/>
        <w:spacing w:afterLines="50" w:after="120" w:line="340" w:lineRule="atLeast"/>
        <w:ind w:left="567"/>
        <w:jc w:val="both"/>
        <w:rPr>
          <w:rFonts w:ascii="SimSun" w:hAnsi="SimSun"/>
          <w:bCs/>
          <w:sz w:val="21"/>
          <w:szCs w:val="26"/>
          <w:u w:val="single"/>
        </w:rPr>
      </w:pPr>
      <w:r>
        <w:rPr>
          <w:rFonts w:ascii="SimSun" w:hAnsi="SimSun" w:hint="eastAsia"/>
          <w:bCs/>
          <w:sz w:val="21"/>
          <w:szCs w:val="26"/>
          <w:u w:val="single"/>
        </w:rPr>
        <w:lastRenderedPageBreak/>
        <w:t>建　议</w:t>
      </w:r>
    </w:p>
    <w:p w:rsidR="00987187" w:rsidRPr="0034139E" w:rsidRDefault="00987187" w:rsidP="00244155">
      <w:pPr>
        <w:overflowPunct w:val="0"/>
        <w:spacing w:afterLines="50" w:after="120" w:line="340" w:lineRule="atLeast"/>
        <w:ind w:left="567"/>
        <w:jc w:val="both"/>
        <w:rPr>
          <w:rFonts w:ascii="SimSun" w:hAnsi="SimSun"/>
          <w:sz w:val="21"/>
          <w:szCs w:val="22"/>
        </w:rPr>
      </w:pPr>
      <w:r w:rsidRPr="00656C6A">
        <w:rPr>
          <w:rFonts w:ascii="SimSun" w:hAnsi="SimSun" w:hint="eastAsia"/>
          <w:sz w:val="21"/>
          <w:szCs w:val="22"/>
          <w:u w:val="single"/>
        </w:rPr>
        <w:t>建议7</w:t>
      </w:r>
      <w:r w:rsidR="00656C6A">
        <w:rPr>
          <w:rFonts w:ascii="SimSun" w:hAnsi="SimSun" w:hint="eastAsia"/>
          <w:sz w:val="21"/>
          <w:szCs w:val="22"/>
        </w:rPr>
        <w:t>：</w:t>
      </w:r>
      <w:r w:rsidRPr="0034139E">
        <w:rPr>
          <w:rFonts w:ascii="SimSun" w:hAnsi="SimSun" w:hint="eastAsia"/>
          <w:sz w:val="21"/>
          <w:szCs w:val="22"/>
        </w:rPr>
        <w:t>探讨以人工智能为动力的自动分类工具的可行性，以加强对知识产权申请的分类符号的使用和控制。</w:t>
      </w:r>
    </w:p>
    <w:p w:rsidR="00987187" w:rsidRPr="0034139E" w:rsidRDefault="00987187" w:rsidP="00244155">
      <w:pPr>
        <w:overflowPunct w:val="0"/>
        <w:spacing w:afterLines="50" w:after="120" w:line="340" w:lineRule="atLeast"/>
        <w:ind w:left="567"/>
        <w:jc w:val="both"/>
        <w:rPr>
          <w:rFonts w:ascii="SimSun" w:hAnsi="SimSun"/>
          <w:sz w:val="21"/>
          <w:szCs w:val="22"/>
        </w:rPr>
      </w:pPr>
      <w:r w:rsidRPr="00656C6A">
        <w:rPr>
          <w:rFonts w:ascii="SimSun" w:hAnsi="SimSun" w:hint="eastAsia"/>
          <w:sz w:val="21"/>
          <w:szCs w:val="22"/>
          <w:u w:val="single"/>
        </w:rPr>
        <w:t>建议8</w:t>
      </w:r>
      <w:r w:rsidR="00656C6A">
        <w:rPr>
          <w:rFonts w:ascii="SimSun" w:hAnsi="SimSun" w:hint="eastAsia"/>
          <w:sz w:val="21"/>
          <w:szCs w:val="22"/>
        </w:rPr>
        <w:t>：</w:t>
      </w:r>
      <w:r w:rsidRPr="0034139E">
        <w:rPr>
          <w:rFonts w:ascii="SimSun" w:hAnsi="SimSun" w:hint="eastAsia"/>
          <w:sz w:val="21"/>
          <w:szCs w:val="22"/>
        </w:rPr>
        <w:t>加强国际合作，以实现国际分类方法使用的国际一致性，并提供技术支持，以制定国际分类的当地语言版本。</w:t>
      </w:r>
    </w:p>
    <w:p w:rsidR="00987187" w:rsidRPr="006575B1" w:rsidRDefault="00C02144" w:rsidP="006575B1">
      <w:pPr>
        <w:pStyle w:val="Heading1"/>
        <w:overflowPunct w:val="0"/>
        <w:spacing w:beforeLines="100" w:afterLines="50" w:after="120" w:line="340" w:lineRule="atLeast"/>
        <w:rPr>
          <w:rFonts w:ascii="SimSun" w:hAnsi="SimSun"/>
          <w:sz w:val="21"/>
        </w:rPr>
      </w:pPr>
      <w:r w:rsidRPr="006575B1">
        <w:rPr>
          <w:rFonts w:ascii="SimSun" w:hAnsi="SimSun" w:hint="eastAsia"/>
          <w:sz w:val="21"/>
        </w:rPr>
        <w:t>检索</w:t>
      </w:r>
      <w:r w:rsidR="00987187" w:rsidRPr="006575B1">
        <w:rPr>
          <w:rFonts w:ascii="SimSun" w:hAnsi="SimSun" w:hint="eastAsia"/>
          <w:sz w:val="21"/>
        </w:rPr>
        <w:t>和</w:t>
      </w:r>
      <w:r w:rsidRPr="006575B1">
        <w:rPr>
          <w:rFonts w:ascii="SimSun" w:hAnsi="SimSun" w:hint="eastAsia"/>
          <w:sz w:val="21"/>
        </w:rPr>
        <w:t>审查</w:t>
      </w:r>
    </w:p>
    <w:p w:rsidR="00987187" w:rsidRPr="0034139E" w:rsidRDefault="00987187" w:rsidP="009D0855">
      <w:pPr>
        <w:pStyle w:val="ONUME"/>
        <w:numPr>
          <w:ilvl w:val="0"/>
          <w:numId w:val="8"/>
        </w:numPr>
        <w:overflowPunct w:val="0"/>
        <w:spacing w:afterLines="50" w:after="120" w:line="340" w:lineRule="atLeast"/>
        <w:ind w:left="0" w:firstLine="0"/>
        <w:jc w:val="both"/>
        <w:rPr>
          <w:rFonts w:ascii="SimSun" w:hAnsi="SimSun"/>
          <w:sz w:val="21"/>
          <w:szCs w:val="22"/>
        </w:rPr>
      </w:pPr>
      <w:r w:rsidRPr="0034139E">
        <w:rPr>
          <w:rFonts w:ascii="SimSun" w:hAnsi="SimSun" w:hint="eastAsia"/>
          <w:sz w:val="21"/>
          <w:szCs w:val="22"/>
        </w:rPr>
        <w:t>由数据库和</w:t>
      </w:r>
      <w:r w:rsidR="00C02144" w:rsidRPr="0034139E">
        <w:rPr>
          <w:rFonts w:ascii="SimSun" w:hAnsi="SimSun" w:hint="eastAsia"/>
          <w:sz w:val="21"/>
          <w:szCs w:val="22"/>
        </w:rPr>
        <w:t>检索</w:t>
      </w:r>
      <w:r w:rsidRPr="0034139E">
        <w:rPr>
          <w:rFonts w:ascii="SimSun" w:hAnsi="SimSun" w:hint="eastAsia"/>
          <w:sz w:val="21"/>
          <w:szCs w:val="22"/>
        </w:rPr>
        <w:t>引擎为</w:t>
      </w:r>
      <w:r w:rsidR="00C02144" w:rsidRPr="0034139E">
        <w:rPr>
          <w:rFonts w:ascii="SimSun" w:hAnsi="SimSun" w:hint="eastAsia"/>
          <w:sz w:val="21"/>
          <w:szCs w:val="22"/>
        </w:rPr>
        <w:t>检索和审查</w:t>
      </w:r>
      <w:r w:rsidRPr="0034139E">
        <w:rPr>
          <w:rFonts w:ascii="SimSun" w:hAnsi="SimSun" w:hint="eastAsia"/>
          <w:sz w:val="21"/>
          <w:szCs w:val="22"/>
        </w:rPr>
        <w:t>功能提供支持。知识产权局有不同于标准图书馆或互联网</w:t>
      </w:r>
      <w:r w:rsidR="00C02144" w:rsidRPr="0034139E">
        <w:rPr>
          <w:rFonts w:ascii="SimSun" w:hAnsi="SimSun" w:hint="eastAsia"/>
          <w:sz w:val="21"/>
          <w:szCs w:val="22"/>
        </w:rPr>
        <w:t>检索</w:t>
      </w:r>
      <w:r w:rsidRPr="0034139E">
        <w:rPr>
          <w:rFonts w:ascii="SimSun" w:hAnsi="SimSun" w:hint="eastAsia"/>
          <w:sz w:val="21"/>
          <w:szCs w:val="22"/>
        </w:rPr>
        <w:t>引擎的要求，其中包括：</w:t>
      </w:r>
    </w:p>
    <w:p w:rsidR="00987187" w:rsidRPr="0034139E" w:rsidRDefault="00987187" w:rsidP="00244155">
      <w:pPr>
        <w:overflowPunct w:val="0"/>
        <w:spacing w:afterLines="50" w:after="120" w:line="340" w:lineRule="atLeast"/>
        <w:ind w:left="567"/>
        <w:jc w:val="both"/>
        <w:rPr>
          <w:rFonts w:ascii="SimSun" w:hAnsi="SimSun"/>
          <w:sz w:val="21"/>
          <w:szCs w:val="22"/>
        </w:rPr>
      </w:pPr>
      <w:r w:rsidRPr="0034139E">
        <w:rPr>
          <w:rFonts w:ascii="SimSun" w:hAnsi="SimSun" w:hint="eastAsia"/>
          <w:sz w:val="21"/>
          <w:szCs w:val="22"/>
        </w:rPr>
        <w:t>a</w:t>
      </w:r>
      <w:r w:rsidR="002E3D16">
        <w:rPr>
          <w:rFonts w:ascii="SimSun" w:hAnsi="SimSun" w:hint="eastAsia"/>
          <w:sz w:val="21"/>
          <w:szCs w:val="22"/>
        </w:rPr>
        <w:t>)</w:t>
      </w:r>
      <w:r w:rsidR="00656C6A">
        <w:rPr>
          <w:rFonts w:ascii="SimSun" w:hAnsi="SimSun" w:hint="eastAsia"/>
          <w:sz w:val="21"/>
          <w:szCs w:val="22"/>
        </w:rPr>
        <w:tab/>
      </w:r>
      <w:r w:rsidR="00C02144" w:rsidRPr="0034139E">
        <w:rPr>
          <w:rFonts w:ascii="SimSun" w:hAnsi="SimSun" w:hint="eastAsia"/>
          <w:sz w:val="21"/>
          <w:szCs w:val="22"/>
        </w:rPr>
        <w:t>检索</w:t>
      </w:r>
      <w:r w:rsidRPr="0034139E">
        <w:rPr>
          <w:rFonts w:ascii="SimSun" w:hAnsi="SimSun" w:hint="eastAsia"/>
          <w:sz w:val="21"/>
          <w:szCs w:val="22"/>
        </w:rPr>
        <w:t>必须采用包含索引和</w:t>
      </w:r>
      <w:r w:rsidR="00C02144" w:rsidRPr="0034139E">
        <w:rPr>
          <w:rFonts w:ascii="SimSun" w:hAnsi="SimSun" w:hint="eastAsia"/>
          <w:sz w:val="21"/>
          <w:szCs w:val="22"/>
        </w:rPr>
        <w:t>检索</w:t>
      </w:r>
      <w:r w:rsidRPr="0034139E">
        <w:rPr>
          <w:rFonts w:ascii="SimSun" w:hAnsi="SimSun" w:hint="eastAsia"/>
          <w:sz w:val="21"/>
          <w:szCs w:val="22"/>
        </w:rPr>
        <w:t>语法的完整结构</w:t>
      </w:r>
      <w:r w:rsidR="00656C6A">
        <w:rPr>
          <w:rFonts w:ascii="SimSun" w:hAnsi="SimSun" w:hint="eastAsia"/>
          <w:sz w:val="21"/>
          <w:szCs w:val="22"/>
        </w:rPr>
        <w:t>——</w:t>
      </w:r>
      <w:r w:rsidRPr="0034139E">
        <w:rPr>
          <w:rFonts w:ascii="SimSun" w:hAnsi="SimSun" w:hint="eastAsia"/>
          <w:sz w:val="21"/>
          <w:szCs w:val="22"/>
        </w:rPr>
        <w:t>知识产权</w:t>
      </w:r>
      <w:r w:rsidR="00C02144" w:rsidRPr="0034139E">
        <w:rPr>
          <w:rFonts w:ascii="SimSun" w:hAnsi="SimSun" w:hint="eastAsia"/>
          <w:sz w:val="21"/>
          <w:szCs w:val="22"/>
        </w:rPr>
        <w:t>检索</w:t>
      </w:r>
      <w:r w:rsidRPr="0034139E">
        <w:rPr>
          <w:rFonts w:ascii="SimSun" w:hAnsi="SimSun" w:hint="eastAsia"/>
          <w:sz w:val="21"/>
          <w:szCs w:val="22"/>
        </w:rPr>
        <w:t>不能用一般关键字</w:t>
      </w:r>
      <w:r w:rsidR="00C02144" w:rsidRPr="0034139E">
        <w:rPr>
          <w:rFonts w:ascii="SimSun" w:hAnsi="SimSun" w:hint="eastAsia"/>
          <w:sz w:val="21"/>
          <w:szCs w:val="22"/>
        </w:rPr>
        <w:t>检索</w:t>
      </w:r>
      <w:r w:rsidRPr="0034139E">
        <w:rPr>
          <w:rFonts w:ascii="SimSun" w:hAnsi="SimSun" w:hint="eastAsia"/>
          <w:sz w:val="21"/>
          <w:szCs w:val="22"/>
        </w:rPr>
        <w:t>来完成；</w:t>
      </w:r>
    </w:p>
    <w:p w:rsidR="00987187" w:rsidRPr="0034139E" w:rsidRDefault="00987187" w:rsidP="00244155">
      <w:pPr>
        <w:overflowPunct w:val="0"/>
        <w:spacing w:afterLines="50" w:after="120" w:line="340" w:lineRule="atLeast"/>
        <w:ind w:left="567"/>
        <w:jc w:val="both"/>
        <w:rPr>
          <w:rFonts w:ascii="SimSun" w:hAnsi="SimSun"/>
          <w:sz w:val="21"/>
          <w:szCs w:val="22"/>
        </w:rPr>
      </w:pPr>
      <w:r w:rsidRPr="0034139E">
        <w:rPr>
          <w:rFonts w:ascii="SimSun" w:hAnsi="SimSun" w:hint="eastAsia"/>
          <w:sz w:val="21"/>
          <w:szCs w:val="22"/>
        </w:rPr>
        <w:t>b</w:t>
      </w:r>
      <w:r w:rsidR="002E3D16">
        <w:rPr>
          <w:rFonts w:ascii="SimSun" w:hAnsi="SimSun" w:hint="eastAsia"/>
          <w:sz w:val="21"/>
          <w:szCs w:val="22"/>
        </w:rPr>
        <w:t>)</w:t>
      </w:r>
      <w:r w:rsidR="00656C6A">
        <w:rPr>
          <w:rFonts w:ascii="SimSun" w:hAnsi="SimSun" w:hint="eastAsia"/>
          <w:sz w:val="21"/>
          <w:szCs w:val="22"/>
        </w:rPr>
        <w:tab/>
      </w:r>
      <w:r w:rsidRPr="0034139E">
        <w:rPr>
          <w:rFonts w:ascii="SimSun" w:hAnsi="SimSun" w:hint="eastAsia"/>
          <w:sz w:val="21"/>
          <w:szCs w:val="22"/>
        </w:rPr>
        <w:t>必须支持分类系统及其特殊性；</w:t>
      </w:r>
    </w:p>
    <w:p w:rsidR="00987187" w:rsidRPr="0034139E" w:rsidRDefault="00987187" w:rsidP="00244155">
      <w:pPr>
        <w:overflowPunct w:val="0"/>
        <w:spacing w:afterLines="50" w:after="120" w:line="340" w:lineRule="atLeast"/>
        <w:ind w:left="567"/>
        <w:jc w:val="both"/>
        <w:rPr>
          <w:rFonts w:ascii="SimSun" w:hAnsi="SimSun"/>
          <w:sz w:val="21"/>
          <w:szCs w:val="22"/>
        </w:rPr>
      </w:pPr>
      <w:r w:rsidRPr="0034139E">
        <w:rPr>
          <w:rFonts w:ascii="SimSun" w:hAnsi="SimSun" w:hint="eastAsia"/>
          <w:sz w:val="21"/>
          <w:szCs w:val="22"/>
        </w:rPr>
        <w:t>c</w:t>
      </w:r>
      <w:r w:rsidR="002E3D16">
        <w:rPr>
          <w:rFonts w:ascii="SimSun" w:hAnsi="SimSun" w:hint="eastAsia"/>
          <w:sz w:val="21"/>
          <w:szCs w:val="22"/>
        </w:rPr>
        <w:t>)</w:t>
      </w:r>
      <w:r w:rsidR="00656C6A">
        <w:rPr>
          <w:rFonts w:ascii="SimSun" w:hAnsi="SimSun" w:hint="eastAsia"/>
          <w:sz w:val="21"/>
          <w:szCs w:val="22"/>
        </w:rPr>
        <w:tab/>
      </w:r>
      <w:r w:rsidR="001200B2">
        <w:rPr>
          <w:rFonts w:ascii="SimSun" w:hAnsi="SimSun" w:hint="eastAsia"/>
          <w:sz w:val="21"/>
          <w:szCs w:val="22"/>
        </w:rPr>
        <w:t>呼叫</w:t>
      </w:r>
      <w:r w:rsidR="00C02144" w:rsidRPr="0034139E">
        <w:rPr>
          <w:rFonts w:ascii="SimSun" w:hAnsi="SimSun" w:hint="eastAsia"/>
          <w:sz w:val="21"/>
          <w:szCs w:val="22"/>
        </w:rPr>
        <w:t>检索</w:t>
      </w:r>
      <w:r w:rsidRPr="0034139E">
        <w:rPr>
          <w:rFonts w:ascii="SimSun" w:hAnsi="SimSun" w:hint="eastAsia"/>
          <w:sz w:val="21"/>
          <w:szCs w:val="22"/>
        </w:rPr>
        <w:t>（对于商标）和词干规则与一般</w:t>
      </w:r>
      <w:r w:rsidR="00C02144" w:rsidRPr="0034139E">
        <w:rPr>
          <w:rFonts w:ascii="SimSun" w:hAnsi="SimSun" w:hint="eastAsia"/>
          <w:sz w:val="21"/>
          <w:szCs w:val="22"/>
        </w:rPr>
        <w:t>检索</w:t>
      </w:r>
      <w:r w:rsidRPr="0034139E">
        <w:rPr>
          <w:rFonts w:ascii="SimSun" w:hAnsi="SimSun" w:hint="eastAsia"/>
          <w:sz w:val="21"/>
          <w:szCs w:val="22"/>
        </w:rPr>
        <w:t>软件包不同；</w:t>
      </w:r>
    </w:p>
    <w:p w:rsidR="00987187" w:rsidRPr="0034139E" w:rsidRDefault="00987187" w:rsidP="00244155">
      <w:pPr>
        <w:overflowPunct w:val="0"/>
        <w:spacing w:afterLines="50" w:after="120" w:line="340" w:lineRule="atLeast"/>
        <w:ind w:left="567"/>
        <w:jc w:val="both"/>
        <w:rPr>
          <w:rFonts w:ascii="SimSun" w:hAnsi="SimSun"/>
          <w:sz w:val="21"/>
          <w:szCs w:val="22"/>
        </w:rPr>
      </w:pPr>
      <w:r w:rsidRPr="0034139E">
        <w:rPr>
          <w:rFonts w:ascii="SimSun" w:hAnsi="SimSun" w:hint="eastAsia"/>
          <w:sz w:val="21"/>
          <w:szCs w:val="22"/>
        </w:rPr>
        <w:t>d</w:t>
      </w:r>
      <w:r w:rsidR="002E3D16">
        <w:rPr>
          <w:rFonts w:ascii="SimSun" w:hAnsi="SimSun" w:hint="eastAsia"/>
          <w:sz w:val="21"/>
          <w:szCs w:val="22"/>
        </w:rPr>
        <w:t>)</w:t>
      </w:r>
      <w:r w:rsidR="00656C6A">
        <w:rPr>
          <w:rFonts w:ascii="SimSun" w:hAnsi="SimSun" w:hint="eastAsia"/>
          <w:sz w:val="21"/>
          <w:szCs w:val="22"/>
        </w:rPr>
        <w:tab/>
      </w:r>
      <w:r w:rsidRPr="0034139E">
        <w:rPr>
          <w:rFonts w:ascii="SimSun" w:hAnsi="SimSun" w:hint="eastAsia"/>
          <w:sz w:val="21"/>
          <w:szCs w:val="22"/>
        </w:rPr>
        <w:t>需要检索复杂</w:t>
      </w:r>
      <w:r w:rsidR="001200B2">
        <w:rPr>
          <w:rFonts w:ascii="SimSun" w:hAnsi="SimSun" w:hint="eastAsia"/>
          <w:sz w:val="21"/>
          <w:szCs w:val="22"/>
        </w:rPr>
        <w:t>要</w:t>
      </w:r>
      <w:r w:rsidRPr="0034139E">
        <w:rPr>
          <w:rFonts w:ascii="SimSun" w:hAnsi="SimSun" w:hint="eastAsia"/>
          <w:sz w:val="21"/>
          <w:szCs w:val="22"/>
        </w:rPr>
        <w:t>素（例如商标的图形</w:t>
      </w:r>
      <w:r w:rsidR="001200B2">
        <w:rPr>
          <w:rFonts w:ascii="SimSun" w:hAnsi="SimSun" w:hint="eastAsia"/>
          <w:sz w:val="21"/>
          <w:szCs w:val="22"/>
        </w:rPr>
        <w:t>要</w:t>
      </w:r>
      <w:r w:rsidRPr="0034139E">
        <w:rPr>
          <w:rFonts w:ascii="SimSun" w:hAnsi="SimSun" w:hint="eastAsia"/>
          <w:sz w:val="21"/>
          <w:szCs w:val="22"/>
        </w:rPr>
        <w:t>素、</w:t>
      </w:r>
      <w:r w:rsidR="001200B2" w:rsidRPr="0034139E">
        <w:rPr>
          <w:rFonts w:ascii="SimSun" w:hAnsi="SimSun" w:hint="eastAsia"/>
          <w:sz w:val="21"/>
          <w:szCs w:val="22"/>
        </w:rPr>
        <w:t>发明的</w:t>
      </w:r>
      <w:r w:rsidR="001200B2">
        <w:rPr>
          <w:rFonts w:ascii="SimSun" w:hAnsi="SimSun" w:hint="eastAsia"/>
          <w:sz w:val="21"/>
          <w:szCs w:val="22"/>
        </w:rPr>
        <w:t>附</w:t>
      </w:r>
      <w:r w:rsidRPr="0034139E">
        <w:rPr>
          <w:rFonts w:ascii="SimSun" w:hAnsi="SimSun" w:hint="eastAsia"/>
          <w:sz w:val="21"/>
          <w:szCs w:val="22"/>
        </w:rPr>
        <w:t>图和化学式）；</w:t>
      </w:r>
    </w:p>
    <w:p w:rsidR="00987187" w:rsidRPr="0034139E" w:rsidRDefault="00987187" w:rsidP="00244155">
      <w:pPr>
        <w:overflowPunct w:val="0"/>
        <w:spacing w:afterLines="50" w:after="120" w:line="340" w:lineRule="atLeast"/>
        <w:ind w:left="567"/>
        <w:jc w:val="both"/>
        <w:rPr>
          <w:rFonts w:ascii="SimSun" w:hAnsi="SimSun"/>
          <w:sz w:val="21"/>
          <w:szCs w:val="22"/>
        </w:rPr>
      </w:pPr>
      <w:r w:rsidRPr="0034139E">
        <w:rPr>
          <w:rFonts w:ascii="SimSun" w:hAnsi="SimSun" w:hint="eastAsia"/>
          <w:sz w:val="21"/>
          <w:szCs w:val="22"/>
        </w:rPr>
        <w:t>e</w:t>
      </w:r>
      <w:r w:rsidR="002E3D16">
        <w:rPr>
          <w:rFonts w:ascii="SimSun" w:hAnsi="SimSun" w:hint="eastAsia"/>
          <w:sz w:val="21"/>
          <w:szCs w:val="22"/>
        </w:rPr>
        <w:t>)</w:t>
      </w:r>
      <w:r w:rsidR="00656C6A">
        <w:rPr>
          <w:rFonts w:ascii="SimSun" w:hAnsi="SimSun" w:hint="eastAsia"/>
          <w:sz w:val="21"/>
          <w:szCs w:val="22"/>
        </w:rPr>
        <w:tab/>
      </w:r>
      <w:r w:rsidR="00C02144" w:rsidRPr="0034139E">
        <w:rPr>
          <w:rFonts w:ascii="SimSun" w:hAnsi="SimSun" w:hint="eastAsia"/>
          <w:sz w:val="21"/>
          <w:szCs w:val="22"/>
        </w:rPr>
        <w:t>检索</w:t>
      </w:r>
      <w:r w:rsidRPr="0034139E">
        <w:rPr>
          <w:rFonts w:ascii="SimSun" w:hAnsi="SimSun" w:hint="eastAsia"/>
          <w:sz w:val="21"/>
          <w:szCs w:val="22"/>
        </w:rPr>
        <w:t>者需要能够控制精确度和召回度，以正确设置</w:t>
      </w:r>
      <w:r w:rsidR="00C02144" w:rsidRPr="0034139E">
        <w:rPr>
          <w:rFonts w:ascii="SimSun" w:hAnsi="SimSun" w:hint="eastAsia"/>
          <w:sz w:val="21"/>
          <w:szCs w:val="22"/>
        </w:rPr>
        <w:t>检索</w:t>
      </w:r>
      <w:r w:rsidRPr="0034139E">
        <w:rPr>
          <w:rFonts w:ascii="SimSun" w:hAnsi="SimSun" w:hint="eastAsia"/>
          <w:sz w:val="21"/>
          <w:szCs w:val="22"/>
        </w:rPr>
        <w:t>范围。</w:t>
      </w:r>
    </w:p>
    <w:p w:rsidR="00E34DF5" w:rsidRPr="0034139E" w:rsidRDefault="00E34DF5" w:rsidP="009D0855">
      <w:pPr>
        <w:pStyle w:val="ONUME"/>
        <w:numPr>
          <w:ilvl w:val="0"/>
          <w:numId w:val="8"/>
        </w:numPr>
        <w:overflowPunct w:val="0"/>
        <w:spacing w:afterLines="50" w:after="120" w:line="340" w:lineRule="atLeast"/>
        <w:ind w:left="0" w:firstLine="0"/>
        <w:jc w:val="both"/>
        <w:rPr>
          <w:rFonts w:ascii="SimSun" w:hAnsi="SimSun"/>
          <w:sz w:val="21"/>
          <w:szCs w:val="22"/>
        </w:rPr>
      </w:pPr>
      <w:r w:rsidRPr="0034139E">
        <w:rPr>
          <w:rFonts w:ascii="SimSun" w:hAnsi="SimSun" w:hint="eastAsia"/>
          <w:sz w:val="21"/>
          <w:szCs w:val="22"/>
        </w:rPr>
        <w:t>在大多数知识产权局中，</w:t>
      </w:r>
      <w:r w:rsidR="00C02144" w:rsidRPr="0034139E">
        <w:rPr>
          <w:rFonts w:ascii="SimSun" w:hAnsi="SimSun" w:hint="eastAsia"/>
          <w:sz w:val="21"/>
          <w:szCs w:val="22"/>
        </w:rPr>
        <w:t>检索</w:t>
      </w:r>
      <w:r w:rsidRPr="0034139E">
        <w:rPr>
          <w:rFonts w:ascii="SimSun" w:hAnsi="SimSun" w:hint="eastAsia"/>
          <w:sz w:val="21"/>
          <w:szCs w:val="22"/>
        </w:rPr>
        <w:t>仍然是使用基于纸质的范式进行，即对数据和文档进行手工分类，然后由熟练的</w:t>
      </w:r>
      <w:r w:rsidR="00C02144" w:rsidRPr="0034139E">
        <w:rPr>
          <w:rFonts w:ascii="SimSun" w:hAnsi="SimSun" w:hint="eastAsia"/>
          <w:sz w:val="21"/>
          <w:szCs w:val="22"/>
        </w:rPr>
        <w:t>检索</w:t>
      </w:r>
      <w:r w:rsidRPr="0034139E">
        <w:rPr>
          <w:rFonts w:ascii="SimSun" w:hAnsi="SimSun" w:hint="eastAsia"/>
          <w:sz w:val="21"/>
          <w:szCs w:val="22"/>
        </w:rPr>
        <w:t>者使用分类符号进行</w:t>
      </w:r>
      <w:r w:rsidR="00C02144" w:rsidRPr="0034139E">
        <w:rPr>
          <w:rFonts w:ascii="SimSun" w:hAnsi="SimSun" w:hint="eastAsia"/>
          <w:sz w:val="21"/>
          <w:szCs w:val="22"/>
        </w:rPr>
        <w:t>检索</w:t>
      </w:r>
      <w:r w:rsidRPr="0034139E">
        <w:rPr>
          <w:rFonts w:ascii="SimSun" w:hAnsi="SimSun" w:hint="eastAsia"/>
          <w:sz w:val="21"/>
          <w:szCs w:val="22"/>
        </w:rPr>
        <w:t>，结合对摘要、全文和任何进一步编码（特别是在化学和生物技术</w:t>
      </w:r>
      <w:r w:rsidR="00863B44">
        <w:rPr>
          <w:rFonts w:ascii="SimSun" w:hAnsi="SimSun" w:hint="eastAsia"/>
          <w:sz w:val="21"/>
          <w:szCs w:val="22"/>
        </w:rPr>
        <w:t>案件</w:t>
      </w:r>
      <w:r w:rsidRPr="0034139E">
        <w:rPr>
          <w:rFonts w:ascii="SimSun" w:hAnsi="SimSun" w:hint="eastAsia"/>
          <w:sz w:val="21"/>
          <w:szCs w:val="22"/>
        </w:rPr>
        <w:t>中）的布尔</w:t>
      </w:r>
      <w:r w:rsidR="00C02144" w:rsidRPr="0034139E">
        <w:rPr>
          <w:rFonts w:ascii="SimSun" w:hAnsi="SimSun" w:hint="eastAsia"/>
          <w:sz w:val="21"/>
          <w:szCs w:val="22"/>
        </w:rPr>
        <w:t>检索</w:t>
      </w:r>
      <w:r w:rsidR="00195222" w:rsidRPr="0034139E">
        <w:rPr>
          <w:rFonts w:ascii="SimSun" w:hAnsi="SimSun" w:hint="eastAsia"/>
          <w:sz w:val="21"/>
          <w:szCs w:val="22"/>
        </w:rPr>
        <w:t>。这为没有足够资源来掌握大型复杂分类方案的较小知识产权局制造</w:t>
      </w:r>
      <w:r w:rsidRPr="0034139E">
        <w:rPr>
          <w:rFonts w:ascii="SimSun" w:hAnsi="SimSun" w:hint="eastAsia"/>
          <w:sz w:val="21"/>
          <w:szCs w:val="22"/>
        </w:rPr>
        <w:t>了障碍。为了让所有知识产权局利用人工智能或机器学习的图像识别或相似匹配等先进技术，在人工智能的</w:t>
      </w:r>
      <w:r w:rsidR="00C02144" w:rsidRPr="0034139E">
        <w:rPr>
          <w:rFonts w:ascii="SimSun" w:hAnsi="SimSun" w:hint="eastAsia"/>
          <w:sz w:val="21"/>
          <w:szCs w:val="22"/>
        </w:rPr>
        <w:t>检索</w:t>
      </w:r>
      <w:r w:rsidRPr="0034139E">
        <w:rPr>
          <w:rFonts w:ascii="SimSun" w:hAnsi="SimSun" w:hint="eastAsia"/>
          <w:sz w:val="21"/>
          <w:szCs w:val="22"/>
        </w:rPr>
        <w:t>工具达到可完全依赖的成熟度水平之前，将分类辅助工具（如上一节中讨论的）和新的人工智能</w:t>
      </w:r>
      <w:r w:rsidR="00C02144" w:rsidRPr="0034139E">
        <w:rPr>
          <w:rFonts w:ascii="SimSun" w:hAnsi="SimSun" w:hint="eastAsia"/>
          <w:sz w:val="21"/>
          <w:szCs w:val="22"/>
        </w:rPr>
        <w:t>检索</w:t>
      </w:r>
      <w:r w:rsidRPr="0034139E">
        <w:rPr>
          <w:rFonts w:ascii="SimSun" w:hAnsi="SimSun" w:hint="eastAsia"/>
          <w:sz w:val="21"/>
          <w:szCs w:val="22"/>
        </w:rPr>
        <w:t>技术结合运用似乎是一种好方法。</w:t>
      </w:r>
    </w:p>
    <w:p w:rsidR="00E34DF5" w:rsidRPr="0034139E" w:rsidRDefault="00E34DF5" w:rsidP="009D0855">
      <w:pPr>
        <w:pStyle w:val="ONUME"/>
        <w:numPr>
          <w:ilvl w:val="0"/>
          <w:numId w:val="8"/>
        </w:numPr>
        <w:overflowPunct w:val="0"/>
        <w:spacing w:afterLines="50" w:after="120" w:line="340" w:lineRule="atLeast"/>
        <w:ind w:left="0" w:firstLine="0"/>
        <w:jc w:val="both"/>
        <w:rPr>
          <w:rFonts w:ascii="SimSun" w:hAnsi="SimSun"/>
          <w:sz w:val="21"/>
          <w:szCs w:val="22"/>
        </w:rPr>
      </w:pPr>
      <w:r w:rsidRPr="0034139E">
        <w:rPr>
          <w:rFonts w:ascii="SimSun" w:hAnsi="SimSun" w:hint="eastAsia"/>
          <w:sz w:val="21"/>
          <w:szCs w:val="22"/>
        </w:rPr>
        <w:t>针对知识产权局的商业解决方案很少，因此许多知识产权局花费大量资源开发自己的定制式</w:t>
      </w:r>
      <w:r w:rsidR="00C02144" w:rsidRPr="0034139E">
        <w:rPr>
          <w:rFonts w:ascii="SimSun" w:hAnsi="SimSun" w:hint="eastAsia"/>
          <w:sz w:val="21"/>
          <w:szCs w:val="22"/>
        </w:rPr>
        <w:t>检索</w:t>
      </w:r>
      <w:r w:rsidRPr="0034139E">
        <w:rPr>
          <w:rFonts w:ascii="SimSun" w:hAnsi="SimSun" w:hint="eastAsia"/>
          <w:sz w:val="21"/>
          <w:szCs w:val="22"/>
        </w:rPr>
        <w:t>解决方案。由于</w:t>
      </w:r>
      <w:r w:rsidR="00C02144" w:rsidRPr="0034139E">
        <w:rPr>
          <w:rFonts w:ascii="SimSun" w:hAnsi="SimSun" w:hint="eastAsia"/>
          <w:sz w:val="21"/>
          <w:szCs w:val="22"/>
        </w:rPr>
        <w:t>检索</w:t>
      </w:r>
      <w:r w:rsidRPr="0034139E">
        <w:rPr>
          <w:rFonts w:ascii="SimSun" w:hAnsi="SimSun" w:hint="eastAsia"/>
          <w:sz w:val="21"/>
          <w:szCs w:val="22"/>
        </w:rPr>
        <w:t>技术的飞速发展，很少有知识产权局能够跟上最佳实践的步伐。</w:t>
      </w:r>
    </w:p>
    <w:p w:rsidR="00E34DF5" w:rsidRPr="0034139E" w:rsidRDefault="00E34DF5" w:rsidP="009D0855">
      <w:pPr>
        <w:pStyle w:val="ONUME"/>
        <w:numPr>
          <w:ilvl w:val="0"/>
          <w:numId w:val="8"/>
        </w:numPr>
        <w:overflowPunct w:val="0"/>
        <w:spacing w:afterLines="50" w:after="120" w:line="340" w:lineRule="atLeast"/>
        <w:ind w:left="0" w:firstLine="0"/>
        <w:jc w:val="both"/>
        <w:rPr>
          <w:rFonts w:ascii="SimSun" w:hAnsi="SimSun"/>
          <w:sz w:val="21"/>
          <w:szCs w:val="22"/>
        </w:rPr>
      </w:pPr>
      <w:r w:rsidRPr="0034139E">
        <w:rPr>
          <w:rFonts w:ascii="SimSun" w:hAnsi="SimSun" w:hint="eastAsia"/>
          <w:sz w:val="21"/>
          <w:szCs w:val="22"/>
        </w:rPr>
        <w:t>有些知识产权局在开发可利用新技术的</w:t>
      </w:r>
      <w:r w:rsidR="00C02144" w:rsidRPr="0034139E">
        <w:rPr>
          <w:rFonts w:ascii="SimSun" w:hAnsi="SimSun" w:hint="eastAsia"/>
          <w:sz w:val="21"/>
          <w:szCs w:val="22"/>
        </w:rPr>
        <w:t>检索</w:t>
      </w:r>
      <w:r w:rsidRPr="0034139E">
        <w:rPr>
          <w:rFonts w:ascii="SimSun" w:hAnsi="SimSun" w:hint="eastAsia"/>
          <w:sz w:val="21"/>
          <w:szCs w:val="22"/>
        </w:rPr>
        <w:t>工具。在某种程度上，同时开展多个项目来研究不同的选项是很有效的，但是，这些成本超出了许多知识产权局的预算，并且存在同步开发几乎相同的解决方案时浪费资源的重大风险。还需要加强协调和共享，以尽量减少大型知识产权局的成本，并最大限度地为小型知识产权局提供有效的解决方案。</w:t>
      </w:r>
    </w:p>
    <w:p w:rsidR="00E34DF5" w:rsidRPr="0034139E" w:rsidRDefault="00D40A28" w:rsidP="00244155">
      <w:pPr>
        <w:overflowPunct w:val="0"/>
        <w:spacing w:afterLines="50" w:after="120" w:line="340" w:lineRule="atLeast"/>
        <w:ind w:left="567"/>
        <w:jc w:val="both"/>
        <w:rPr>
          <w:rFonts w:ascii="SimSun" w:hAnsi="SimSun"/>
          <w:bCs/>
          <w:sz w:val="21"/>
          <w:szCs w:val="26"/>
          <w:u w:val="single"/>
        </w:rPr>
      </w:pPr>
      <w:r>
        <w:rPr>
          <w:rFonts w:ascii="SimSun" w:hAnsi="SimSun" w:hint="eastAsia"/>
          <w:bCs/>
          <w:sz w:val="21"/>
          <w:szCs w:val="26"/>
          <w:u w:val="single"/>
        </w:rPr>
        <w:t>建　议</w:t>
      </w:r>
    </w:p>
    <w:p w:rsidR="00E34DF5" w:rsidRPr="0034139E" w:rsidRDefault="00E34DF5" w:rsidP="00244155">
      <w:pPr>
        <w:overflowPunct w:val="0"/>
        <w:spacing w:afterLines="50" w:after="120" w:line="340" w:lineRule="atLeast"/>
        <w:ind w:left="567"/>
        <w:jc w:val="both"/>
        <w:rPr>
          <w:rFonts w:ascii="SimSun" w:hAnsi="SimSun"/>
          <w:sz w:val="21"/>
          <w:szCs w:val="22"/>
        </w:rPr>
      </w:pPr>
      <w:r w:rsidRPr="00656C6A">
        <w:rPr>
          <w:rFonts w:ascii="SimSun" w:hAnsi="SimSun" w:hint="eastAsia"/>
          <w:sz w:val="21"/>
          <w:szCs w:val="22"/>
          <w:u w:val="single"/>
        </w:rPr>
        <w:t>建议9</w:t>
      </w:r>
      <w:r w:rsidR="00656C6A">
        <w:rPr>
          <w:rFonts w:ascii="SimSun" w:hAnsi="SimSun" w:hint="eastAsia"/>
          <w:sz w:val="21"/>
          <w:szCs w:val="22"/>
        </w:rPr>
        <w:t>：</w:t>
      </w:r>
      <w:r w:rsidRPr="0034139E">
        <w:rPr>
          <w:rFonts w:ascii="SimSun" w:hAnsi="SimSun" w:hint="eastAsia"/>
          <w:sz w:val="21"/>
          <w:szCs w:val="22"/>
        </w:rPr>
        <w:t>分享有关新兴</w:t>
      </w:r>
      <w:r w:rsidR="00C02144" w:rsidRPr="0034139E">
        <w:rPr>
          <w:rFonts w:ascii="SimSun" w:hAnsi="SimSun" w:hint="eastAsia"/>
          <w:sz w:val="21"/>
          <w:szCs w:val="22"/>
        </w:rPr>
        <w:t>检索</w:t>
      </w:r>
      <w:r w:rsidRPr="0034139E">
        <w:rPr>
          <w:rFonts w:ascii="SimSun" w:hAnsi="SimSun" w:hint="eastAsia"/>
          <w:sz w:val="21"/>
          <w:szCs w:val="22"/>
        </w:rPr>
        <w:t>技术的信息，特别是图像</w:t>
      </w:r>
      <w:r w:rsidR="00C02144" w:rsidRPr="0034139E">
        <w:rPr>
          <w:rFonts w:ascii="SimSun" w:hAnsi="SimSun" w:hint="eastAsia"/>
          <w:sz w:val="21"/>
          <w:szCs w:val="22"/>
        </w:rPr>
        <w:t>检索</w:t>
      </w:r>
      <w:r w:rsidRPr="0034139E">
        <w:rPr>
          <w:rFonts w:ascii="SimSun" w:hAnsi="SimSun" w:hint="eastAsia"/>
          <w:sz w:val="21"/>
          <w:szCs w:val="22"/>
        </w:rPr>
        <w:t>、分类工具和语言工具，</w:t>
      </w:r>
      <w:r w:rsidRPr="0034139E">
        <w:rPr>
          <w:rFonts w:ascii="SimSun" w:hAnsi="SimSun"/>
          <w:sz w:val="21"/>
          <w:szCs w:val="22"/>
        </w:rPr>
        <w:t>并考虑如何将该技术共享并提供给规模较小的</w:t>
      </w:r>
      <w:r w:rsidRPr="0034139E">
        <w:rPr>
          <w:rFonts w:ascii="SimSun" w:hAnsi="SimSun" w:hint="eastAsia"/>
          <w:sz w:val="21"/>
          <w:szCs w:val="22"/>
        </w:rPr>
        <w:t>知识产权局，以提高知识产权信息</w:t>
      </w:r>
      <w:r w:rsidR="00C02144" w:rsidRPr="0034139E">
        <w:rPr>
          <w:rFonts w:ascii="SimSun" w:hAnsi="SimSun" w:hint="eastAsia"/>
          <w:sz w:val="21"/>
          <w:szCs w:val="22"/>
        </w:rPr>
        <w:t>检索</w:t>
      </w:r>
      <w:r w:rsidRPr="0034139E">
        <w:rPr>
          <w:rFonts w:ascii="SimSun" w:hAnsi="SimSun" w:hint="eastAsia"/>
          <w:sz w:val="21"/>
          <w:szCs w:val="22"/>
        </w:rPr>
        <w:t>的质量和效率。</w:t>
      </w:r>
    </w:p>
    <w:p w:rsidR="00E34DF5" w:rsidRPr="006575B1" w:rsidRDefault="00656C6A" w:rsidP="006575B1">
      <w:pPr>
        <w:pStyle w:val="Heading1"/>
        <w:overflowPunct w:val="0"/>
        <w:spacing w:beforeLines="100" w:afterLines="50" w:after="120" w:line="340" w:lineRule="atLeast"/>
        <w:rPr>
          <w:rFonts w:ascii="SimSun" w:hAnsi="SimSun"/>
          <w:sz w:val="21"/>
        </w:rPr>
      </w:pPr>
      <w:r>
        <w:rPr>
          <w:rFonts w:ascii="SimSun" w:hAnsi="SimSun" w:hint="eastAsia"/>
          <w:sz w:val="21"/>
        </w:rPr>
        <w:t>知识产权</w:t>
      </w:r>
      <w:r w:rsidR="00E34DF5" w:rsidRPr="006575B1">
        <w:rPr>
          <w:rFonts w:ascii="SimSun" w:hAnsi="SimSun" w:hint="eastAsia"/>
          <w:sz w:val="21"/>
        </w:rPr>
        <w:t>数据的公布和传播</w:t>
      </w:r>
    </w:p>
    <w:p w:rsidR="00E34DF5" w:rsidRPr="0034139E" w:rsidRDefault="00E34DF5" w:rsidP="009D0855">
      <w:pPr>
        <w:pStyle w:val="ONUME"/>
        <w:numPr>
          <w:ilvl w:val="0"/>
          <w:numId w:val="8"/>
        </w:numPr>
        <w:overflowPunct w:val="0"/>
        <w:spacing w:afterLines="50" w:after="120" w:line="340" w:lineRule="atLeast"/>
        <w:ind w:left="0" w:firstLine="0"/>
        <w:jc w:val="both"/>
        <w:rPr>
          <w:rFonts w:ascii="SimSun" w:hAnsi="SimSun"/>
          <w:sz w:val="21"/>
          <w:szCs w:val="22"/>
        </w:rPr>
      </w:pPr>
      <w:r w:rsidRPr="0034139E">
        <w:rPr>
          <w:rFonts w:ascii="SimSun" w:hAnsi="SimSun" w:hint="eastAsia"/>
          <w:sz w:val="21"/>
          <w:szCs w:val="22"/>
        </w:rPr>
        <w:t>公布是知识产权局的关键职能，它使知识产权信息向公众公开，建立法律确定性并</w:t>
      </w:r>
      <w:r w:rsidR="001200B2">
        <w:rPr>
          <w:rFonts w:ascii="SimSun" w:hAnsi="SimSun" w:hint="eastAsia"/>
          <w:sz w:val="21"/>
          <w:szCs w:val="22"/>
        </w:rPr>
        <w:t>触</w:t>
      </w:r>
      <w:r w:rsidRPr="0034139E">
        <w:rPr>
          <w:rFonts w:ascii="SimSun" w:hAnsi="SimSun" w:hint="eastAsia"/>
          <w:sz w:val="21"/>
          <w:szCs w:val="22"/>
        </w:rPr>
        <w:t>发如异议等其他进程。公布同时也是对可</w:t>
      </w:r>
      <w:r w:rsidR="00C02144" w:rsidRPr="0034139E">
        <w:rPr>
          <w:rFonts w:ascii="SimSun" w:hAnsi="SimSun" w:hint="eastAsia"/>
          <w:sz w:val="21"/>
          <w:szCs w:val="22"/>
        </w:rPr>
        <w:t>检索</w:t>
      </w:r>
      <w:r w:rsidRPr="0034139E">
        <w:rPr>
          <w:rFonts w:ascii="SimSun" w:hAnsi="SimSun" w:hint="eastAsia"/>
          <w:sz w:val="21"/>
          <w:szCs w:val="22"/>
        </w:rPr>
        <w:t>、分析的信息进行一般性传播。</w:t>
      </w:r>
    </w:p>
    <w:p w:rsidR="00E34DF5" w:rsidRPr="0034139E" w:rsidRDefault="00E34DF5" w:rsidP="009D0855">
      <w:pPr>
        <w:pStyle w:val="ONUME"/>
        <w:numPr>
          <w:ilvl w:val="0"/>
          <w:numId w:val="8"/>
        </w:numPr>
        <w:overflowPunct w:val="0"/>
        <w:spacing w:afterLines="50" w:after="120" w:line="340" w:lineRule="atLeast"/>
        <w:ind w:left="0" w:firstLine="0"/>
        <w:jc w:val="both"/>
        <w:rPr>
          <w:rFonts w:ascii="SimSun" w:hAnsi="SimSun"/>
          <w:sz w:val="21"/>
          <w:szCs w:val="22"/>
        </w:rPr>
      </w:pPr>
      <w:r w:rsidRPr="0034139E">
        <w:rPr>
          <w:rFonts w:ascii="SimSun" w:hAnsi="SimSun" w:hint="eastAsia"/>
          <w:sz w:val="21"/>
          <w:szCs w:val="22"/>
        </w:rPr>
        <w:lastRenderedPageBreak/>
        <w:t>传统上通过官方公报或期刊进行公布，其结构包含章节、表格和索引。大多数知识产权局仍以此形式公布，虽然</w:t>
      </w:r>
      <w:r w:rsidR="001200B2">
        <w:rPr>
          <w:rFonts w:ascii="SimSun" w:hAnsi="SimSun" w:hint="eastAsia"/>
          <w:sz w:val="21"/>
          <w:szCs w:val="22"/>
        </w:rPr>
        <w:t>它</w:t>
      </w:r>
      <w:r w:rsidRPr="0034139E">
        <w:rPr>
          <w:rFonts w:ascii="SimSun" w:hAnsi="SimSun" w:hint="eastAsia"/>
          <w:sz w:val="21"/>
          <w:szCs w:val="22"/>
        </w:rPr>
        <w:t>们已经转为以可下载文件方式在线公布。这通常是因为立法落后于技术，所以知识产权局必须以传统形式公布，并且通常是纸质形式。</w:t>
      </w:r>
    </w:p>
    <w:p w:rsidR="00E34DF5" w:rsidRPr="0034139E" w:rsidRDefault="00E34DF5" w:rsidP="009D0855">
      <w:pPr>
        <w:pStyle w:val="ONUME"/>
        <w:numPr>
          <w:ilvl w:val="0"/>
          <w:numId w:val="8"/>
        </w:numPr>
        <w:overflowPunct w:val="0"/>
        <w:spacing w:afterLines="50" w:after="120" w:line="340" w:lineRule="atLeast"/>
        <w:ind w:left="0" w:firstLine="0"/>
        <w:jc w:val="both"/>
        <w:rPr>
          <w:rFonts w:ascii="SimSun" w:hAnsi="SimSun"/>
          <w:sz w:val="21"/>
          <w:szCs w:val="22"/>
        </w:rPr>
      </w:pPr>
      <w:r w:rsidRPr="0034139E">
        <w:rPr>
          <w:rFonts w:ascii="SimSun" w:hAnsi="SimSun" w:hint="eastAsia"/>
          <w:sz w:val="21"/>
          <w:szCs w:val="22"/>
        </w:rPr>
        <w:t>传统的公布格式即使采用在线方式后也有局限性，因为很难</w:t>
      </w:r>
      <w:r w:rsidR="00C02144" w:rsidRPr="0034139E">
        <w:rPr>
          <w:rFonts w:ascii="SimSun" w:hAnsi="SimSun" w:hint="eastAsia"/>
          <w:sz w:val="21"/>
          <w:szCs w:val="22"/>
        </w:rPr>
        <w:t>检索</w:t>
      </w:r>
      <w:r w:rsidRPr="0034139E">
        <w:rPr>
          <w:rFonts w:ascii="SimSun" w:hAnsi="SimSun" w:hint="eastAsia"/>
          <w:sz w:val="21"/>
          <w:szCs w:val="22"/>
        </w:rPr>
        <w:t>，且信息可能被分散在多个公报上。传统的公布格式是导致在大多数司法辖区很难确定知识产权的确切法律地位的原因之一。</w:t>
      </w:r>
    </w:p>
    <w:p w:rsidR="00E34DF5" w:rsidRPr="0034139E" w:rsidRDefault="00E34DF5" w:rsidP="009D0855">
      <w:pPr>
        <w:pStyle w:val="ONUME"/>
        <w:numPr>
          <w:ilvl w:val="0"/>
          <w:numId w:val="8"/>
        </w:numPr>
        <w:overflowPunct w:val="0"/>
        <w:spacing w:afterLines="50" w:after="120" w:line="340" w:lineRule="atLeast"/>
        <w:ind w:left="0" w:firstLine="0"/>
        <w:jc w:val="both"/>
        <w:rPr>
          <w:rFonts w:ascii="SimSun" w:hAnsi="SimSun"/>
          <w:sz w:val="21"/>
          <w:szCs w:val="22"/>
        </w:rPr>
      </w:pPr>
      <w:r w:rsidRPr="0034139E">
        <w:rPr>
          <w:rFonts w:ascii="SimSun" w:hAnsi="SimSun" w:hint="eastAsia"/>
          <w:sz w:val="21"/>
          <w:szCs w:val="22"/>
        </w:rPr>
        <w:t>采用面向在线使用的设计应可大大改善信息的发布和传播。面向在线使用的设计包括可</w:t>
      </w:r>
      <w:r w:rsidR="00C02144" w:rsidRPr="0034139E">
        <w:rPr>
          <w:rFonts w:ascii="SimSun" w:hAnsi="SimSun" w:hint="eastAsia"/>
          <w:sz w:val="21"/>
          <w:szCs w:val="22"/>
        </w:rPr>
        <w:t>检索</w:t>
      </w:r>
      <w:r w:rsidRPr="0034139E">
        <w:rPr>
          <w:rFonts w:ascii="SimSun" w:hAnsi="SimSun" w:hint="eastAsia"/>
          <w:sz w:val="21"/>
          <w:szCs w:val="22"/>
        </w:rPr>
        <w:t>和相互链接的表格和索引，以及诸如“注册</w:t>
      </w:r>
      <w:r w:rsidR="001200B2">
        <w:rPr>
          <w:rFonts w:ascii="SimSun" w:hAnsi="SimSun" w:hint="eastAsia"/>
          <w:sz w:val="21"/>
          <w:szCs w:val="22"/>
        </w:rPr>
        <w:t>簿</w:t>
      </w:r>
      <w:r w:rsidRPr="0034139E">
        <w:rPr>
          <w:rFonts w:ascii="SimSun" w:hAnsi="SimSun" w:hint="eastAsia"/>
          <w:sz w:val="21"/>
          <w:szCs w:val="22"/>
        </w:rPr>
        <w:t>摘</w:t>
      </w:r>
      <w:r w:rsidR="001200B2">
        <w:rPr>
          <w:rFonts w:ascii="SimSun" w:hAnsi="SimSun" w:hint="eastAsia"/>
          <w:sz w:val="21"/>
          <w:szCs w:val="22"/>
        </w:rPr>
        <w:t>录</w:t>
      </w:r>
      <w:r w:rsidRPr="0034139E">
        <w:rPr>
          <w:rFonts w:ascii="SimSun" w:hAnsi="SimSun" w:hint="eastAsia"/>
          <w:sz w:val="21"/>
          <w:szCs w:val="22"/>
        </w:rPr>
        <w:t>”之类的功能，该功能可将同一个地区同一项知识产权的所有法律通知进行归组。</w:t>
      </w:r>
    </w:p>
    <w:p w:rsidR="00E34DF5" w:rsidRPr="0034139E" w:rsidRDefault="00E34DF5" w:rsidP="009D0855">
      <w:pPr>
        <w:pStyle w:val="ONUME"/>
        <w:numPr>
          <w:ilvl w:val="0"/>
          <w:numId w:val="8"/>
        </w:numPr>
        <w:overflowPunct w:val="0"/>
        <w:spacing w:afterLines="50" w:after="120" w:line="340" w:lineRule="atLeast"/>
        <w:ind w:left="0" w:firstLine="0"/>
        <w:jc w:val="both"/>
        <w:rPr>
          <w:rFonts w:ascii="SimSun" w:hAnsi="SimSun"/>
          <w:sz w:val="21"/>
          <w:szCs w:val="22"/>
        </w:rPr>
      </w:pPr>
      <w:r w:rsidRPr="0034139E">
        <w:rPr>
          <w:rFonts w:ascii="SimSun" w:hAnsi="SimSun" w:hint="eastAsia"/>
          <w:sz w:val="21"/>
          <w:szCs w:val="22"/>
        </w:rPr>
        <w:t>由知识产权申请人提交并由知识产权局制作的已公布知识产权申请和其他文件，例如申请修订和检索报告（如果是专利申请，专利卷宗是指提交的文件）对国际合作具有重要价值。这些问题将在第二部分讨论。</w:t>
      </w:r>
    </w:p>
    <w:p w:rsidR="00E34DF5" w:rsidRPr="0034139E" w:rsidRDefault="00D40A28" w:rsidP="00244155">
      <w:pPr>
        <w:overflowPunct w:val="0"/>
        <w:spacing w:afterLines="50" w:after="120" w:line="340" w:lineRule="atLeast"/>
        <w:ind w:left="567"/>
        <w:jc w:val="both"/>
        <w:rPr>
          <w:rFonts w:ascii="SimSun" w:hAnsi="SimSun"/>
          <w:bCs/>
          <w:sz w:val="21"/>
          <w:szCs w:val="26"/>
          <w:u w:val="single"/>
        </w:rPr>
      </w:pPr>
      <w:r>
        <w:rPr>
          <w:rFonts w:ascii="SimSun" w:hAnsi="SimSun" w:hint="eastAsia"/>
          <w:bCs/>
          <w:sz w:val="21"/>
          <w:szCs w:val="26"/>
          <w:u w:val="single"/>
        </w:rPr>
        <w:t>建　议</w:t>
      </w:r>
    </w:p>
    <w:p w:rsidR="00E34DF5" w:rsidRPr="0034139E" w:rsidRDefault="00E34DF5" w:rsidP="00244155">
      <w:pPr>
        <w:overflowPunct w:val="0"/>
        <w:spacing w:afterLines="50" w:after="120" w:line="340" w:lineRule="atLeast"/>
        <w:ind w:left="567"/>
        <w:jc w:val="both"/>
        <w:rPr>
          <w:rFonts w:ascii="SimSun" w:hAnsi="SimSun"/>
          <w:sz w:val="21"/>
          <w:szCs w:val="22"/>
        </w:rPr>
      </w:pPr>
      <w:r w:rsidRPr="00656C6A">
        <w:rPr>
          <w:rFonts w:ascii="SimSun" w:hAnsi="SimSun" w:hint="eastAsia"/>
          <w:sz w:val="21"/>
          <w:szCs w:val="22"/>
          <w:u w:val="single"/>
        </w:rPr>
        <w:t>建议10</w:t>
      </w:r>
      <w:r w:rsidR="00656C6A">
        <w:rPr>
          <w:rFonts w:ascii="SimSun" w:hAnsi="SimSun" w:hint="eastAsia"/>
          <w:sz w:val="21"/>
          <w:szCs w:val="22"/>
        </w:rPr>
        <w:t>：</w:t>
      </w:r>
      <w:r w:rsidRPr="0034139E">
        <w:rPr>
          <w:rFonts w:ascii="SimSun" w:hAnsi="SimSun" w:hint="eastAsia"/>
          <w:sz w:val="21"/>
          <w:szCs w:val="22"/>
        </w:rPr>
        <w:t>为在线公布和</w:t>
      </w:r>
      <w:r w:rsidR="00C02144" w:rsidRPr="0034139E">
        <w:rPr>
          <w:rFonts w:ascii="SimSun" w:hAnsi="SimSun" w:hint="eastAsia"/>
          <w:sz w:val="21"/>
          <w:szCs w:val="22"/>
        </w:rPr>
        <w:t>检索</w:t>
      </w:r>
      <w:r w:rsidRPr="0034139E">
        <w:rPr>
          <w:rFonts w:ascii="SimSun" w:hAnsi="SimSun" w:hint="eastAsia"/>
          <w:sz w:val="21"/>
          <w:szCs w:val="22"/>
        </w:rPr>
        <w:t>开发一个参考平台，同时为</w:t>
      </w:r>
      <w:r w:rsidR="00EA50FC">
        <w:rPr>
          <w:rFonts w:ascii="SimSun" w:hAnsi="SimSun" w:hint="eastAsia"/>
          <w:sz w:val="21"/>
          <w:szCs w:val="22"/>
        </w:rPr>
        <w:t>产权组织</w:t>
      </w:r>
      <w:r w:rsidRPr="0034139E">
        <w:rPr>
          <w:rFonts w:ascii="SimSun" w:hAnsi="SimSun" w:hint="eastAsia"/>
          <w:sz w:val="21"/>
          <w:szCs w:val="22"/>
        </w:rPr>
        <w:t>标准委员会下的国际合作提供支持，提供对参与</w:t>
      </w:r>
      <w:r w:rsidR="00EA50FC">
        <w:rPr>
          <w:rFonts w:ascii="SimSun" w:hAnsi="SimSun" w:hint="eastAsia"/>
          <w:sz w:val="21"/>
          <w:szCs w:val="22"/>
        </w:rPr>
        <w:t>产权组织</w:t>
      </w:r>
      <w:r w:rsidRPr="0034139E">
        <w:rPr>
          <w:rFonts w:ascii="SimSun" w:hAnsi="SimSun" w:hint="eastAsia"/>
          <w:sz w:val="21"/>
          <w:szCs w:val="22"/>
        </w:rPr>
        <w:t>标准委员会第52号</w:t>
      </w:r>
      <w:r w:rsidR="00656C6A" w:rsidRPr="0034139E">
        <w:rPr>
          <w:rFonts w:ascii="SimSun" w:hAnsi="SimSun" w:hint="eastAsia"/>
          <w:sz w:val="21"/>
          <w:szCs w:val="22"/>
        </w:rPr>
        <w:t>任务</w:t>
      </w:r>
      <w:r w:rsidRPr="0034139E">
        <w:rPr>
          <w:rFonts w:ascii="SimSun" w:hAnsi="SimSun" w:hint="eastAsia"/>
          <w:sz w:val="21"/>
          <w:szCs w:val="22"/>
        </w:rPr>
        <w:t>的知识产权局的公开可用专利信息的访问途径。该平台将链接到国际和/或区域数据库，以实现信息传播自动化。</w:t>
      </w:r>
    </w:p>
    <w:p w:rsidR="006D4BFD" w:rsidRPr="006575B1" w:rsidRDefault="006D4BFD" w:rsidP="006575B1">
      <w:pPr>
        <w:pStyle w:val="Heading1"/>
        <w:overflowPunct w:val="0"/>
        <w:spacing w:beforeLines="100" w:afterLines="50" w:after="120" w:line="340" w:lineRule="atLeast"/>
        <w:rPr>
          <w:rFonts w:ascii="SimSun" w:hAnsi="SimSun"/>
          <w:sz w:val="21"/>
        </w:rPr>
      </w:pPr>
      <w:r w:rsidRPr="006575B1">
        <w:rPr>
          <w:rFonts w:ascii="SimSun" w:hAnsi="SimSun" w:hint="eastAsia"/>
          <w:sz w:val="21"/>
        </w:rPr>
        <w:t>记录管理</w:t>
      </w:r>
    </w:p>
    <w:p w:rsidR="006D4BFD" w:rsidRPr="0034139E" w:rsidRDefault="006D4BFD" w:rsidP="00656C6A">
      <w:pPr>
        <w:pStyle w:val="ONUME"/>
        <w:keepNext/>
        <w:numPr>
          <w:ilvl w:val="0"/>
          <w:numId w:val="8"/>
        </w:numPr>
        <w:overflowPunct w:val="0"/>
        <w:spacing w:afterLines="50" w:after="120" w:line="340" w:lineRule="atLeast"/>
        <w:ind w:left="0" w:firstLine="0"/>
        <w:jc w:val="both"/>
        <w:rPr>
          <w:rFonts w:ascii="SimSun" w:hAnsi="SimSun"/>
          <w:sz w:val="21"/>
          <w:szCs w:val="22"/>
        </w:rPr>
      </w:pPr>
      <w:r w:rsidRPr="0034139E">
        <w:rPr>
          <w:rFonts w:ascii="SimSun" w:hAnsi="SimSun" w:hint="eastAsia"/>
          <w:sz w:val="21"/>
          <w:szCs w:val="22"/>
        </w:rPr>
        <w:t>记录管理是知识产权局的一项关键支持功能，涵盖内容如下：</w:t>
      </w:r>
    </w:p>
    <w:p w:rsidR="006D4BFD" w:rsidRPr="0034139E" w:rsidRDefault="006D4BFD" w:rsidP="00244155">
      <w:pPr>
        <w:overflowPunct w:val="0"/>
        <w:spacing w:afterLines="50" w:after="120" w:line="340" w:lineRule="atLeast"/>
        <w:ind w:left="567"/>
        <w:jc w:val="both"/>
        <w:rPr>
          <w:rFonts w:ascii="SimSun" w:hAnsi="SimSun"/>
          <w:sz w:val="21"/>
          <w:szCs w:val="22"/>
        </w:rPr>
      </w:pPr>
      <w:r w:rsidRPr="0034139E">
        <w:rPr>
          <w:rFonts w:ascii="SimSun" w:hAnsi="SimSun" w:hint="eastAsia"/>
          <w:sz w:val="21"/>
          <w:szCs w:val="22"/>
        </w:rPr>
        <w:t>a</w:t>
      </w:r>
      <w:r w:rsidR="002E3D16">
        <w:rPr>
          <w:rFonts w:ascii="SimSun" w:hAnsi="SimSun" w:hint="eastAsia"/>
          <w:sz w:val="21"/>
          <w:szCs w:val="22"/>
        </w:rPr>
        <w:t>)</w:t>
      </w:r>
      <w:r w:rsidR="00656C6A">
        <w:rPr>
          <w:rFonts w:ascii="SimSun" w:hAnsi="SimSun" w:hint="eastAsia"/>
          <w:sz w:val="21"/>
          <w:szCs w:val="22"/>
        </w:rPr>
        <w:tab/>
      </w:r>
      <w:r w:rsidRPr="0034139E">
        <w:rPr>
          <w:rFonts w:ascii="SimSun" w:hAnsi="SimSun" w:hint="eastAsia"/>
          <w:sz w:val="21"/>
          <w:szCs w:val="22"/>
        </w:rPr>
        <w:t>为知识产权申请的所有相关信息建立文件夹和检索系统</w:t>
      </w:r>
      <w:r w:rsidR="002E3D16">
        <w:rPr>
          <w:rFonts w:ascii="SimSun" w:hAnsi="SimSun" w:hint="eastAsia"/>
          <w:sz w:val="21"/>
          <w:szCs w:val="22"/>
        </w:rPr>
        <w:t>；</w:t>
      </w:r>
    </w:p>
    <w:p w:rsidR="006D4BFD" w:rsidRPr="0034139E" w:rsidRDefault="006D4BFD" w:rsidP="00244155">
      <w:pPr>
        <w:overflowPunct w:val="0"/>
        <w:spacing w:afterLines="50" w:after="120" w:line="340" w:lineRule="atLeast"/>
        <w:ind w:left="567"/>
        <w:jc w:val="both"/>
        <w:rPr>
          <w:rFonts w:ascii="SimSun" w:hAnsi="SimSun"/>
          <w:sz w:val="21"/>
          <w:szCs w:val="22"/>
        </w:rPr>
      </w:pPr>
      <w:r w:rsidRPr="0034139E">
        <w:rPr>
          <w:rFonts w:ascii="SimSun" w:hAnsi="SimSun" w:hint="eastAsia"/>
          <w:sz w:val="21"/>
          <w:szCs w:val="22"/>
        </w:rPr>
        <w:t>b</w:t>
      </w:r>
      <w:r w:rsidR="002E3D16">
        <w:rPr>
          <w:rFonts w:ascii="SimSun" w:hAnsi="SimSun" w:hint="eastAsia"/>
          <w:sz w:val="21"/>
          <w:szCs w:val="22"/>
        </w:rPr>
        <w:t>)</w:t>
      </w:r>
      <w:r w:rsidR="00656C6A">
        <w:rPr>
          <w:rFonts w:ascii="SimSun" w:hAnsi="SimSun" w:hint="eastAsia"/>
          <w:sz w:val="21"/>
          <w:szCs w:val="22"/>
        </w:rPr>
        <w:tab/>
      </w:r>
      <w:r w:rsidR="00C02144" w:rsidRPr="0034139E">
        <w:rPr>
          <w:rFonts w:ascii="SimSun" w:hAnsi="SimSun" w:hint="eastAsia"/>
          <w:sz w:val="21"/>
          <w:szCs w:val="22"/>
        </w:rPr>
        <w:t>检索</w:t>
      </w:r>
      <w:r w:rsidRPr="0034139E">
        <w:rPr>
          <w:rFonts w:ascii="SimSun" w:hAnsi="SimSun" w:hint="eastAsia"/>
          <w:sz w:val="21"/>
          <w:szCs w:val="22"/>
        </w:rPr>
        <w:t>索引的分类和维护</w:t>
      </w:r>
      <w:r w:rsidR="002E3D16">
        <w:rPr>
          <w:rFonts w:ascii="SimSun" w:hAnsi="SimSun" w:hint="eastAsia"/>
          <w:sz w:val="21"/>
          <w:szCs w:val="22"/>
        </w:rPr>
        <w:t>；</w:t>
      </w:r>
    </w:p>
    <w:p w:rsidR="006D4BFD" w:rsidRPr="0034139E" w:rsidRDefault="006D4BFD" w:rsidP="00244155">
      <w:pPr>
        <w:overflowPunct w:val="0"/>
        <w:spacing w:afterLines="50" w:after="120" w:line="340" w:lineRule="atLeast"/>
        <w:ind w:left="567"/>
        <w:jc w:val="both"/>
        <w:rPr>
          <w:rFonts w:ascii="SimSun" w:hAnsi="SimSun"/>
          <w:sz w:val="21"/>
          <w:szCs w:val="22"/>
        </w:rPr>
      </w:pPr>
      <w:r w:rsidRPr="0034139E">
        <w:rPr>
          <w:rFonts w:ascii="SimSun" w:hAnsi="SimSun" w:hint="eastAsia"/>
          <w:sz w:val="21"/>
          <w:szCs w:val="22"/>
        </w:rPr>
        <w:t>c</w:t>
      </w:r>
      <w:r w:rsidR="002E3D16">
        <w:rPr>
          <w:rFonts w:ascii="SimSun" w:hAnsi="SimSun" w:hint="eastAsia"/>
          <w:sz w:val="21"/>
          <w:szCs w:val="22"/>
        </w:rPr>
        <w:t>)</w:t>
      </w:r>
      <w:r w:rsidR="00656C6A">
        <w:rPr>
          <w:rFonts w:ascii="SimSun" w:hAnsi="SimSun" w:hint="eastAsia"/>
          <w:sz w:val="21"/>
          <w:szCs w:val="22"/>
        </w:rPr>
        <w:tab/>
      </w:r>
      <w:r w:rsidRPr="0034139E">
        <w:rPr>
          <w:rFonts w:ascii="SimSun" w:hAnsi="SimSun" w:hint="eastAsia"/>
          <w:sz w:val="21"/>
          <w:szCs w:val="22"/>
        </w:rPr>
        <w:t>维护知识产权申请诉讼的真实记录，包括知识产权申请和知识产权的合法地位</w:t>
      </w:r>
      <w:r w:rsidR="002E3D16">
        <w:rPr>
          <w:rFonts w:ascii="SimSun" w:hAnsi="SimSun" w:hint="eastAsia"/>
          <w:sz w:val="21"/>
          <w:szCs w:val="22"/>
        </w:rPr>
        <w:t>；</w:t>
      </w:r>
    </w:p>
    <w:p w:rsidR="006D4BFD" w:rsidRPr="0034139E" w:rsidRDefault="006D4BFD" w:rsidP="00244155">
      <w:pPr>
        <w:overflowPunct w:val="0"/>
        <w:spacing w:afterLines="50" w:after="120" w:line="340" w:lineRule="atLeast"/>
        <w:ind w:left="567"/>
        <w:jc w:val="both"/>
        <w:rPr>
          <w:rFonts w:ascii="SimSun" w:hAnsi="SimSun"/>
          <w:sz w:val="21"/>
          <w:szCs w:val="22"/>
        </w:rPr>
      </w:pPr>
      <w:r w:rsidRPr="0034139E">
        <w:rPr>
          <w:rFonts w:ascii="SimSun" w:hAnsi="SimSun" w:hint="eastAsia"/>
          <w:sz w:val="21"/>
          <w:szCs w:val="22"/>
        </w:rPr>
        <w:t>d</w:t>
      </w:r>
      <w:r w:rsidR="002E3D16">
        <w:rPr>
          <w:rFonts w:ascii="SimSun" w:hAnsi="SimSun" w:hint="eastAsia"/>
          <w:sz w:val="21"/>
          <w:szCs w:val="22"/>
        </w:rPr>
        <w:t>)</w:t>
      </w:r>
      <w:r w:rsidR="00656C6A">
        <w:rPr>
          <w:rFonts w:ascii="SimSun" w:hAnsi="SimSun" w:hint="eastAsia"/>
          <w:sz w:val="21"/>
          <w:szCs w:val="22"/>
        </w:rPr>
        <w:tab/>
      </w:r>
      <w:r w:rsidRPr="0034139E">
        <w:rPr>
          <w:rFonts w:ascii="SimSun" w:hAnsi="SimSun" w:hint="eastAsia"/>
          <w:sz w:val="21"/>
          <w:szCs w:val="22"/>
        </w:rPr>
        <w:t>数据和文件的数字化和格式化</w:t>
      </w:r>
      <w:r w:rsidR="002E3D16">
        <w:rPr>
          <w:rFonts w:ascii="SimSun" w:hAnsi="SimSun" w:hint="eastAsia"/>
          <w:sz w:val="21"/>
          <w:szCs w:val="22"/>
        </w:rPr>
        <w:t>；</w:t>
      </w:r>
    </w:p>
    <w:p w:rsidR="006D4BFD" w:rsidRPr="0034139E" w:rsidRDefault="006D4BFD" w:rsidP="00244155">
      <w:pPr>
        <w:overflowPunct w:val="0"/>
        <w:spacing w:afterLines="50" w:after="120" w:line="340" w:lineRule="atLeast"/>
        <w:ind w:left="567"/>
        <w:jc w:val="both"/>
        <w:rPr>
          <w:rFonts w:ascii="SimSun" w:hAnsi="SimSun"/>
          <w:sz w:val="21"/>
          <w:szCs w:val="22"/>
        </w:rPr>
      </w:pPr>
      <w:r w:rsidRPr="0034139E">
        <w:rPr>
          <w:rFonts w:ascii="SimSun" w:hAnsi="SimSun" w:hint="eastAsia"/>
          <w:sz w:val="21"/>
          <w:szCs w:val="22"/>
        </w:rPr>
        <w:t>e</w:t>
      </w:r>
      <w:r w:rsidR="002E3D16">
        <w:rPr>
          <w:rFonts w:ascii="SimSun" w:hAnsi="SimSun" w:hint="eastAsia"/>
          <w:sz w:val="21"/>
          <w:szCs w:val="22"/>
        </w:rPr>
        <w:t>)</w:t>
      </w:r>
      <w:r w:rsidR="00656C6A">
        <w:rPr>
          <w:rFonts w:ascii="SimSun" w:hAnsi="SimSun" w:hint="eastAsia"/>
          <w:sz w:val="21"/>
          <w:szCs w:val="22"/>
        </w:rPr>
        <w:tab/>
      </w:r>
      <w:r w:rsidRPr="0034139E">
        <w:rPr>
          <w:rFonts w:ascii="SimSun" w:hAnsi="SimSun" w:hint="eastAsia"/>
          <w:sz w:val="21"/>
          <w:szCs w:val="22"/>
        </w:rPr>
        <w:t>建立数据库，包括来自其他知识产权局的全球知识产权数据库。</w:t>
      </w:r>
    </w:p>
    <w:p w:rsidR="006D4BFD" w:rsidRPr="0034139E" w:rsidRDefault="006D4BFD" w:rsidP="009D0855">
      <w:pPr>
        <w:pStyle w:val="ONUME"/>
        <w:numPr>
          <w:ilvl w:val="0"/>
          <w:numId w:val="8"/>
        </w:numPr>
        <w:overflowPunct w:val="0"/>
        <w:spacing w:afterLines="50" w:after="120" w:line="340" w:lineRule="atLeast"/>
        <w:ind w:left="0" w:firstLine="0"/>
        <w:jc w:val="both"/>
        <w:rPr>
          <w:rFonts w:ascii="SimSun" w:hAnsi="SimSun"/>
          <w:sz w:val="21"/>
          <w:szCs w:val="22"/>
        </w:rPr>
      </w:pPr>
      <w:r w:rsidRPr="0034139E">
        <w:rPr>
          <w:rFonts w:ascii="SimSun" w:hAnsi="SimSun" w:hint="eastAsia"/>
          <w:sz w:val="21"/>
          <w:szCs w:val="22"/>
        </w:rPr>
        <w:t>即使部分信息已经数字化以支持分类和检索，许多知识产权局仍保持纸质记录。记录管理的标准</w:t>
      </w:r>
      <w:r w:rsidR="00B667AB">
        <w:rPr>
          <w:rFonts w:ascii="SimSun" w:hAnsi="SimSun" w:hint="eastAsia"/>
          <w:sz w:val="21"/>
          <w:szCs w:val="22"/>
        </w:rPr>
        <w:t>信通技术</w:t>
      </w:r>
      <w:r w:rsidRPr="0034139E">
        <w:rPr>
          <w:rFonts w:ascii="SimSun" w:hAnsi="SimSun" w:hint="eastAsia"/>
          <w:sz w:val="21"/>
          <w:szCs w:val="22"/>
        </w:rPr>
        <w:t>解决方案可用于满足大多数知识产权局的要求。一旦法律问题得到澄清（例如数字记录的</w:t>
      </w:r>
      <w:r w:rsidR="001200B2">
        <w:rPr>
          <w:rFonts w:ascii="SimSun" w:hAnsi="SimSun" w:hint="eastAsia"/>
          <w:sz w:val="21"/>
          <w:szCs w:val="22"/>
        </w:rPr>
        <w:t>作准</w:t>
      </w:r>
      <w:r w:rsidRPr="0034139E">
        <w:rPr>
          <w:rFonts w:ascii="SimSun" w:hAnsi="SimSun" w:hint="eastAsia"/>
          <w:sz w:val="21"/>
          <w:szCs w:val="22"/>
        </w:rPr>
        <w:t>性、数字签名的</w:t>
      </w:r>
      <w:r w:rsidR="00692F47" w:rsidRPr="0034139E">
        <w:rPr>
          <w:rFonts w:ascii="SimSun" w:hAnsi="SimSun" w:hint="eastAsia"/>
          <w:sz w:val="21"/>
          <w:szCs w:val="22"/>
        </w:rPr>
        <w:t>形式），通常有可用的解决方案使知识产权局转向无纸记录管理。下一部分</w:t>
      </w:r>
      <w:r w:rsidRPr="0034139E">
        <w:rPr>
          <w:rFonts w:ascii="SimSun" w:hAnsi="SimSun" w:hint="eastAsia"/>
          <w:sz w:val="21"/>
          <w:szCs w:val="22"/>
        </w:rPr>
        <w:t>将讨论知识产权法律地位和知识产权注册管理机构的全球门户网站。</w:t>
      </w:r>
    </w:p>
    <w:p w:rsidR="006D4BFD" w:rsidRPr="0034139E" w:rsidRDefault="006D4BFD" w:rsidP="009D0855">
      <w:pPr>
        <w:pStyle w:val="ONUME"/>
        <w:numPr>
          <w:ilvl w:val="0"/>
          <w:numId w:val="8"/>
        </w:numPr>
        <w:overflowPunct w:val="0"/>
        <w:spacing w:afterLines="50" w:after="120" w:line="340" w:lineRule="atLeast"/>
        <w:ind w:left="0" w:firstLine="0"/>
        <w:jc w:val="both"/>
        <w:rPr>
          <w:rFonts w:ascii="SimSun" w:hAnsi="SimSun"/>
          <w:sz w:val="21"/>
          <w:szCs w:val="22"/>
        </w:rPr>
      </w:pPr>
      <w:r w:rsidRPr="0034139E">
        <w:rPr>
          <w:rFonts w:ascii="SimSun" w:hAnsi="SimSun" w:hint="eastAsia"/>
          <w:sz w:val="21"/>
          <w:szCs w:val="22"/>
        </w:rPr>
        <w:t>较小的知识产权局通常无法维护大型数据库，因此依赖第三方，特别是对于专利检索所需的国际数据库。</w:t>
      </w:r>
    </w:p>
    <w:p w:rsidR="006D4BFD" w:rsidRPr="0034139E" w:rsidRDefault="00D40A28" w:rsidP="00244155">
      <w:pPr>
        <w:overflowPunct w:val="0"/>
        <w:spacing w:afterLines="50" w:after="120" w:line="340" w:lineRule="atLeast"/>
        <w:ind w:left="567"/>
        <w:jc w:val="both"/>
        <w:rPr>
          <w:rFonts w:ascii="SimSun" w:hAnsi="SimSun"/>
          <w:bCs/>
          <w:sz w:val="21"/>
          <w:szCs w:val="26"/>
          <w:u w:val="single"/>
        </w:rPr>
      </w:pPr>
      <w:r>
        <w:rPr>
          <w:rFonts w:ascii="SimSun" w:hAnsi="SimSun" w:hint="eastAsia"/>
          <w:bCs/>
          <w:sz w:val="21"/>
          <w:szCs w:val="26"/>
          <w:u w:val="single"/>
        </w:rPr>
        <w:t>建　议</w:t>
      </w:r>
    </w:p>
    <w:p w:rsidR="006D4BFD" w:rsidRPr="0034139E" w:rsidRDefault="006D4BFD" w:rsidP="00244155">
      <w:pPr>
        <w:overflowPunct w:val="0"/>
        <w:spacing w:afterLines="50" w:after="120" w:line="340" w:lineRule="atLeast"/>
        <w:ind w:left="567"/>
        <w:jc w:val="both"/>
        <w:rPr>
          <w:rFonts w:ascii="SimSun" w:hAnsi="SimSun"/>
          <w:sz w:val="21"/>
          <w:szCs w:val="22"/>
        </w:rPr>
      </w:pPr>
      <w:r w:rsidRPr="00656C6A">
        <w:rPr>
          <w:rFonts w:ascii="SimSun" w:hAnsi="SimSun" w:hint="eastAsia"/>
          <w:sz w:val="21"/>
          <w:szCs w:val="22"/>
          <w:u w:val="single"/>
        </w:rPr>
        <w:t>建议11</w:t>
      </w:r>
      <w:r w:rsidR="00656C6A">
        <w:rPr>
          <w:rFonts w:ascii="SimSun" w:hAnsi="SimSun" w:hint="eastAsia"/>
          <w:sz w:val="21"/>
          <w:szCs w:val="22"/>
        </w:rPr>
        <w:t>：</w:t>
      </w:r>
      <w:r w:rsidRPr="0034139E">
        <w:rPr>
          <w:rFonts w:ascii="SimSun" w:hAnsi="SimSun" w:hint="eastAsia"/>
          <w:sz w:val="21"/>
          <w:szCs w:val="22"/>
        </w:rPr>
        <w:t>知识产权局应共享关于</w:t>
      </w:r>
      <w:r w:rsidR="00B667AB">
        <w:rPr>
          <w:rFonts w:ascii="SimSun" w:hAnsi="SimSun" w:hint="eastAsia"/>
          <w:sz w:val="21"/>
          <w:szCs w:val="22"/>
        </w:rPr>
        <w:t>信通技术</w:t>
      </w:r>
      <w:r w:rsidRPr="0034139E">
        <w:rPr>
          <w:rFonts w:ascii="SimSun" w:hAnsi="SimSun" w:hint="eastAsia"/>
          <w:sz w:val="21"/>
          <w:szCs w:val="22"/>
        </w:rPr>
        <w:t>解决方案的信息，以便进行记录管理，特别是关于适当使用标准</w:t>
      </w:r>
      <w:r w:rsidR="00B667AB">
        <w:rPr>
          <w:rFonts w:ascii="SimSun" w:hAnsi="SimSun" w:hint="eastAsia"/>
          <w:sz w:val="21"/>
          <w:szCs w:val="22"/>
        </w:rPr>
        <w:t>信通技术</w:t>
      </w:r>
      <w:r w:rsidRPr="0034139E">
        <w:rPr>
          <w:rFonts w:ascii="SimSun" w:hAnsi="SimSun" w:hint="eastAsia"/>
          <w:sz w:val="21"/>
          <w:szCs w:val="22"/>
        </w:rPr>
        <w:t>包以及确保数字记录、签名等</w:t>
      </w:r>
      <w:r w:rsidR="001200B2">
        <w:rPr>
          <w:rFonts w:ascii="SimSun" w:hAnsi="SimSun" w:hint="eastAsia"/>
          <w:sz w:val="21"/>
          <w:szCs w:val="22"/>
        </w:rPr>
        <w:t>作准</w:t>
      </w:r>
      <w:r w:rsidRPr="0034139E">
        <w:rPr>
          <w:rFonts w:ascii="SimSun" w:hAnsi="SimSun" w:hint="eastAsia"/>
          <w:sz w:val="21"/>
          <w:szCs w:val="22"/>
        </w:rPr>
        <w:t>性的解决方案。</w:t>
      </w:r>
    </w:p>
    <w:p w:rsidR="006D4BFD" w:rsidRPr="006575B1" w:rsidRDefault="006D4BFD" w:rsidP="006575B1">
      <w:pPr>
        <w:pStyle w:val="Heading1"/>
        <w:overflowPunct w:val="0"/>
        <w:spacing w:beforeLines="100" w:afterLines="50" w:after="120" w:line="340" w:lineRule="atLeast"/>
        <w:rPr>
          <w:rFonts w:ascii="SimSun" w:hAnsi="SimSun"/>
          <w:sz w:val="21"/>
        </w:rPr>
      </w:pPr>
      <w:r w:rsidRPr="006575B1">
        <w:rPr>
          <w:rFonts w:ascii="SimSun" w:hAnsi="SimSun" w:hint="eastAsia"/>
          <w:sz w:val="21"/>
        </w:rPr>
        <w:lastRenderedPageBreak/>
        <w:t>与国际和区域知识产权体系的整合</w:t>
      </w:r>
    </w:p>
    <w:p w:rsidR="006D4BFD" w:rsidRPr="0034139E" w:rsidRDefault="006D4BFD" w:rsidP="009D0855">
      <w:pPr>
        <w:pStyle w:val="ONUME"/>
        <w:numPr>
          <w:ilvl w:val="0"/>
          <w:numId w:val="8"/>
        </w:numPr>
        <w:overflowPunct w:val="0"/>
        <w:spacing w:afterLines="50" w:after="120" w:line="340" w:lineRule="atLeast"/>
        <w:ind w:left="0" w:firstLine="0"/>
        <w:jc w:val="both"/>
        <w:rPr>
          <w:rFonts w:ascii="SimSun" w:hAnsi="SimSun"/>
          <w:sz w:val="21"/>
          <w:szCs w:val="22"/>
        </w:rPr>
      </w:pPr>
      <w:r w:rsidRPr="0034139E">
        <w:rPr>
          <w:rFonts w:ascii="SimSun" w:hAnsi="SimSun" w:hint="eastAsia"/>
          <w:sz w:val="21"/>
          <w:szCs w:val="22"/>
        </w:rPr>
        <w:t>大多数知识产权局需要与</w:t>
      </w:r>
      <w:r w:rsidR="00EA50FC">
        <w:rPr>
          <w:rFonts w:ascii="SimSun" w:hAnsi="SimSun" w:hint="eastAsia"/>
          <w:sz w:val="21"/>
          <w:szCs w:val="22"/>
        </w:rPr>
        <w:t>产权组织</w:t>
      </w:r>
      <w:r w:rsidRPr="0034139E">
        <w:rPr>
          <w:rFonts w:ascii="SimSun" w:hAnsi="SimSun" w:hint="eastAsia"/>
          <w:sz w:val="21"/>
          <w:szCs w:val="22"/>
        </w:rPr>
        <w:t>全球知识产权体系和/或区域知识产权体系（如ARIPO</w:t>
      </w:r>
      <w:r w:rsidR="002E3D16">
        <w:rPr>
          <w:rFonts w:ascii="SimSun" w:hAnsi="SimSun" w:hint="eastAsia"/>
          <w:sz w:val="21"/>
          <w:szCs w:val="22"/>
        </w:rPr>
        <w:t>、</w:t>
      </w:r>
      <w:r w:rsidRPr="0034139E">
        <w:rPr>
          <w:rFonts w:ascii="SimSun" w:hAnsi="SimSun" w:hint="eastAsia"/>
          <w:sz w:val="21"/>
          <w:szCs w:val="22"/>
        </w:rPr>
        <w:t>BOIP</w:t>
      </w:r>
      <w:r w:rsidR="002E3D16">
        <w:rPr>
          <w:rFonts w:ascii="SimSun" w:hAnsi="SimSun" w:hint="eastAsia"/>
          <w:sz w:val="21"/>
          <w:szCs w:val="22"/>
        </w:rPr>
        <w:t>、</w:t>
      </w:r>
      <w:r w:rsidRPr="0034139E">
        <w:rPr>
          <w:rFonts w:ascii="SimSun" w:hAnsi="SimSun" w:hint="eastAsia"/>
          <w:sz w:val="21"/>
          <w:szCs w:val="22"/>
        </w:rPr>
        <w:t>EAPO</w:t>
      </w:r>
      <w:r w:rsidR="002E3D16">
        <w:rPr>
          <w:rFonts w:ascii="SimSun" w:hAnsi="SimSun" w:hint="eastAsia"/>
          <w:sz w:val="21"/>
          <w:szCs w:val="22"/>
        </w:rPr>
        <w:t>、</w:t>
      </w:r>
      <w:r w:rsidRPr="0034139E">
        <w:rPr>
          <w:rFonts w:ascii="SimSun" w:hAnsi="SimSun" w:hint="eastAsia"/>
          <w:sz w:val="21"/>
          <w:szCs w:val="22"/>
        </w:rPr>
        <w:t>EPO</w:t>
      </w:r>
      <w:r w:rsidR="002E3D16">
        <w:rPr>
          <w:rFonts w:ascii="SimSun" w:hAnsi="SimSun" w:hint="eastAsia"/>
          <w:sz w:val="21"/>
          <w:szCs w:val="22"/>
        </w:rPr>
        <w:t>、</w:t>
      </w:r>
      <w:r w:rsidRPr="0034139E">
        <w:rPr>
          <w:rFonts w:ascii="SimSun" w:hAnsi="SimSun" w:hint="eastAsia"/>
          <w:sz w:val="21"/>
          <w:szCs w:val="22"/>
        </w:rPr>
        <w:t>EUIPO</w:t>
      </w:r>
      <w:r w:rsidR="002E3D16">
        <w:rPr>
          <w:rFonts w:ascii="SimSun" w:hAnsi="SimSun" w:hint="eastAsia"/>
          <w:sz w:val="21"/>
          <w:szCs w:val="22"/>
        </w:rPr>
        <w:t>、</w:t>
      </w:r>
      <w:r w:rsidRPr="0034139E">
        <w:rPr>
          <w:rFonts w:ascii="SimSun" w:hAnsi="SimSun" w:hint="eastAsia"/>
          <w:sz w:val="21"/>
          <w:szCs w:val="22"/>
        </w:rPr>
        <w:t>GCC和OAPI）进行互动。同样，所有知识产权局都依赖WIPO标准中定义的国际标准参考数据，诸如国家代码或分类</w:t>
      </w:r>
      <w:r w:rsidR="001200B2">
        <w:rPr>
          <w:rFonts w:ascii="SimSun" w:hAnsi="SimSun" w:hint="eastAsia"/>
          <w:sz w:val="21"/>
          <w:szCs w:val="22"/>
        </w:rPr>
        <w:t>架构</w:t>
      </w:r>
      <w:r w:rsidRPr="0034139E">
        <w:rPr>
          <w:rFonts w:ascii="SimSun" w:hAnsi="SimSun" w:hint="eastAsia"/>
          <w:sz w:val="21"/>
          <w:szCs w:val="22"/>
        </w:rPr>
        <w:t>等信息。</w:t>
      </w:r>
    </w:p>
    <w:p w:rsidR="006D4BFD" w:rsidRPr="0034139E" w:rsidRDefault="006D4BFD" w:rsidP="009D0855">
      <w:pPr>
        <w:pStyle w:val="ONUME"/>
        <w:numPr>
          <w:ilvl w:val="0"/>
          <w:numId w:val="8"/>
        </w:numPr>
        <w:overflowPunct w:val="0"/>
        <w:spacing w:afterLines="50" w:after="120" w:line="340" w:lineRule="atLeast"/>
        <w:ind w:left="0" w:firstLine="0"/>
        <w:jc w:val="both"/>
        <w:rPr>
          <w:rFonts w:ascii="SimSun" w:hAnsi="SimSun"/>
          <w:sz w:val="21"/>
          <w:szCs w:val="22"/>
        </w:rPr>
      </w:pPr>
      <w:r w:rsidRPr="0034139E">
        <w:rPr>
          <w:rFonts w:ascii="SimSun" w:hAnsi="SimSun"/>
          <w:sz w:val="21"/>
          <w:szCs w:val="22"/>
        </w:rPr>
        <w:t>所有这些系统都</w:t>
      </w:r>
      <w:r w:rsidRPr="0034139E">
        <w:rPr>
          <w:rFonts w:ascii="SimSun" w:hAnsi="SimSun" w:hint="eastAsia"/>
          <w:sz w:val="21"/>
          <w:szCs w:val="22"/>
        </w:rPr>
        <w:t>规定有</w:t>
      </w:r>
      <w:r w:rsidRPr="0034139E">
        <w:rPr>
          <w:rFonts w:ascii="SimSun" w:hAnsi="SimSun"/>
          <w:sz w:val="21"/>
          <w:szCs w:val="22"/>
        </w:rPr>
        <w:t>各方之间</w:t>
      </w:r>
      <w:r w:rsidRPr="0034139E">
        <w:rPr>
          <w:rFonts w:ascii="SimSun" w:hAnsi="SimSun" w:hint="eastAsia"/>
          <w:sz w:val="21"/>
          <w:szCs w:val="22"/>
        </w:rPr>
        <w:t>可对相关</w:t>
      </w:r>
      <w:r w:rsidRPr="0034139E">
        <w:rPr>
          <w:rFonts w:ascii="SimSun" w:hAnsi="SimSun"/>
          <w:sz w:val="21"/>
          <w:szCs w:val="22"/>
        </w:rPr>
        <w:t>决定和信息</w:t>
      </w:r>
      <w:r w:rsidRPr="0034139E">
        <w:rPr>
          <w:rFonts w:ascii="SimSun" w:hAnsi="SimSun" w:hint="eastAsia"/>
          <w:sz w:val="21"/>
          <w:szCs w:val="22"/>
        </w:rPr>
        <w:t>进行沟通</w:t>
      </w:r>
      <w:r w:rsidRPr="0034139E">
        <w:rPr>
          <w:rFonts w:ascii="SimSun" w:hAnsi="SimSun"/>
          <w:sz w:val="21"/>
          <w:szCs w:val="22"/>
        </w:rPr>
        <w:t>。</w:t>
      </w:r>
      <w:r w:rsidRPr="0034139E">
        <w:rPr>
          <w:rFonts w:ascii="SimSun" w:hAnsi="SimSun" w:hint="eastAsia"/>
          <w:sz w:val="21"/>
          <w:szCs w:val="22"/>
        </w:rPr>
        <w:t>但是，大多数仍在使用纸质模式，即在各方之间发送表格或文件的副本。即使通过在线方式完成交换，信息通常也是人工处理，并且可能需要重复录入。这些过程很可能出现错误，例如，对信息的解释可能不完整或不正确；没有进行核对以保证分发版本的信息正确性；信息的多个副本可能会有所不同。未来有很大可能利用现代技术改善这些信息流动。例如：</w:t>
      </w:r>
    </w:p>
    <w:p w:rsidR="006D4BFD" w:rsidRPr="0034139E" w:rsidRDefault="006D4BFD" w:rsidP="00244155">
      <w:pPr>
        <w:overflowPunct w:val="0"/>
        <w:spacing w:afterLines="50" w:after="120" w:line="340" w:lineRule="atLeast"/>
        <w:ind w:left="567"/>
        <w:jc w:val="both"/>
        <w:rPr>
          <w:rFonts w:ascii="SimSun" w:hAnsi="SimSun"/>
          <w:sz w:val="21"/>
          <w:szCs w:val="22"/>
        </w:rPr>
      </w:pPr>
      <w:r w:rsidRPr="0034139E">
        <w:rPr>
          <w:rFonts w:ascii="SimSun" w:hAnsi="SimSun" w:hint="eastAsia"/>
          <w:sz w:val="21"/>
          <w:szCs w:val="22"/>
        </w:rPr>
        <w:t>a</w:t>
      </w:r>
      <w:r w:rsidR="002E3D16">
        <w:rPr>
          <w:rFonts w:ascii="SimSun" w:hAnsi="SimSun" w:hint="eastAsia"/>
          <w:sz w:val="21"/>
          <w:szCs w:val="22"/>
        </w:rPr>
        <w:t>)</w:t>
      </w:r>
      <w:r w:rsidR="00656C6A">
        <w:rPr>
          <w:rFonts w:ascii="SimSun" w:hAnsi="SimSun" w:hint="eastAsia"/>
          <w:sz w:val="21"/>
          <w:szCs w:val="22"/>
        </w:rPr>
        <w:tab/>
      </w:r>
      <w:r w:rsidRPr="0034139E">
        <w:rPr>
          <w:rFonts w:ascii="SimSun" w:hAnsi="SimSun" w:hint="eastAsia"/>
          <w:sz w:val="21"/>
          <w:szCs w:val="22"/>
        </w:rPr>
        <w:t>允许机器对机器（M2M）通信的消息系统、Web服务和</w:t>
      </w:r>
      <w:r w:rsidR="00015B3A">
        <w:rPr>
          <w:rFonts w:ascii="SimSun" w:hAnsi="SimSun" w:hint="eastAsia"/>
          <w:sz w:val="21"/>
          <w:szCs w:val="22"/>
        </w:rPr>
        <w:t>应用程序接口（</w:t>
      </w:r>
      <w:r w:rsidRPr="0034139E">
        <w:rPr>
          <w:rFonts w:ascii="SimSun" w:hAnsi="SimSun" w:hint="eastAsia"/>
          <w:sz w:val="21"/>
          <w:szCs w:val="22"/>
        </w:rPr>
        <w:t>API</w:t>
      </w:r>
      <w:r w:rsidR="00015B3A">
        <w:rPr>
          <w:rFonts w:ascii="SimSun" w:hAnsi="SimSun" w:hint="eastAsia"/>
          <w:sz w:val="21"/>
          <w:szCs w:val="22"/>
        </w:rPr>
        <w:t>）</w:t>
      </w:r>
      <w:r w:rsidRPr="0034139E">
        <w:rPr>
          <w:rFonts w:ascii="SimSun" w:hAnsi="SimSun" w:hint="eastAsia"/>
          <w:sz w:val="21"/>
          <w:szCs w:val="22"/>
        </w:rPr>
        <w:t>，可保证信息的正确发送、</w:t>
      </w:r>
      <w:r w:rsidR="00172B80" w:rsidRPr="0034139E">
        <w:rPr>
          <w:rFonts w:ascii="SimSun" w:hAnsi="SimSun" w:hint="eastAsia"/>
          <w:sz w:val="21"/>
          <w:szCs w:val="22"/>
        </w:rPr>
        <w:t>受理</w:t>
      </w:r>
      <w:r w:rsidRPr="0034139E">
        <w:rPr>
          <w:rFonts w:ascii="SimSun" w:hAnsi="SimSun" w:hint="eastAsia"/>
          <w:sz w:val="21"/>
          <w:szCs w:val="22"/>
        </w:rPr>
        <w:t>和登记；</w:t>
      </w:r>
    </w:p>
    <w:p w:rsidR="006D4BFD" w:rsidRPr="0034139E" w:rsidRDefault="006D4BFD" w:rsidP="00244155">
      <w:pPr>
        <w:overflowPunct w:val="0"/>
        <w:spacing w:afterLines="50" w:after="120" w:line="340" w:lineRule="atLeast"/>
        <w:ind w:left="567"/>
        <w:jc w:val="both"/>
        <w:rPr>
          <w:rFonts w:ascii="SimSun" w:hAnsi="SimSun"/>
          <w:sz w:val="21"/>
          <w:szCs w:val="22"/>
        </w:rPr>
      </w:pPr>
      <w:r w:rsidRPr="0034139E">
        <w:rPr>
          <w:rFonts w:ascii="SimSun" w:hAnsi="SimSun" w:hint="eastAsia"/>
          <w:sz w:val="21"/>
          <w:szCs w:val="22"/>
        </w:rPr>
        <w:t>b</w:t>
      </w:r>
      <w:r w:rsidR="002E3D16">
        <w:rPr>
          <w:rFonts w:ascii="SimSun" w:hAnsi="SimSun" w:hint="eastAsia"/>
          <w:sz w:val="21"/>
          <w:szCs w:val="22"/>
        </w:rPr>
        <w:t>)</w:t>
      </w:r>
      <w:r w:rsidR="00656C6A">
        <w:rPr>
          <w:rFonts w:ascii="SimSun" w:hAnsi="SimSun" w:hint="eastAsia"/>
          <w:sz w:val="21"/>
          <w:szCs w:val="22"/>
        </w:rPr>
        <w:tab/>
      </w:r>
      <w:r w:rsidRPr="0034139E">
        <w:rPr>
          <w:rFonts w:ascii="SimSun" w:hAnsi="SimSun" w:hint="eastAsia"/>
          <w:sz w:val="21"/>
          <w:szCs w:val="22"/>
        </w:rPr>
        <w:t>分布式注册管理机构，可保证所有参与者都可以获得真实的信息视图。</w:t>
      </w:r>
    </w:p>
    <w:p w:rsidR="006D4BFD" w:rsidRPr="0034139E" w:rsidRDefault="006D4BFD" w:rsidP="009D0855">
      <w:pPr>
        <w:pStyle w:val="ONUME"/>
        <w:numPr>
          <w:ilvl w:val="0"/>
          <w:numId w:val="8"/>
        </w:numPr>
        <w:overflowPunct w:val="0"/>
        <w:spacing w:afterLines="50" w:after="120" w:line="340" w:lineRule="atLeast"/>
        <w:ind w:left="0" w:firstLine="0"/>
        <w:jc w:val="both"/>
        <w:rPr>
          <w:rFonts w:ascii="SimSun" w:hAnsi="SimSun"/>
          <w:sz w:val="21"/>
          <w:szCs w:val="22"/>
        </w:rPr>
      </w:pPr>
      <w:r w:rsidRPr="0034139E">
        <w:rPr>
          <w:rFonts w:ascii="SimSun" w:hAnsi="SimSun" w:hint="eastAsia"/>
          <w:sz w:val="21"/>
          <w:szCs w:val="22"/>
        </w:rPr>
        <w:t>对国家和国际层面所有知识产权登记进行简单和单一访问的需求在日益增长。支持大多数知识产权局国家注册管理机构的</w:t>
      </w:r>
      <w:r w:rsidR="00B667AB">
        <w:rPr>
          <w:rFonts w:ascii="SimSun" w:hAnsi="SimSun" w:hint="eastAsia"/>
          <w:sz w:val="21"/>
          <w:szCs w:val="22"/>
        </w:rPr>
        <w:t>信通技术</w:t>
      </w:r>
      <w:r w:rsidRPr="0034139E">
        <w:rPr>
          <w:rFonts w:ascii="SimSun" w:hAnsi="SimSun" w:hint="eastAsia"/>
          <w:sz w:val="21"/>
          <w:szCs w:val="22"/>
        </w:rPr>
        <w:t>系统</w:t>
      </w:r>
      <w:r w:rsidR="001200B2">
        <w:rPr>
          <w:rFonts w:ascii="SimSun" w:hAnsi="SimSun" w:hint="eastAsia"/>
          <w:sz w:val="21"/>
          <w:szCs w:val="22"/>
        </w:rPr>
        <w:t>，</w:t>
      </w:r>
      <w:r w:rsidRPr="0034139E">
        <w:rPr>
          <w:rFonts w:ascii="SimSun" w:hAnsi="SimSun" w:hint="eastAsia"/>
          <w:sz w:val="21"/>
          <w:szCs w:val="22"/>
        </w:rPr>
        <w:t>并不旨在与其他知识产权局或国际局共享数据。可能存在法律和业</w:t>
      </w:r>
      <w:r w:rsidR="001200B2">
        <w:rPr>
          <w:rFonts w:ascii="SimSun" w:hAnsi="SimSun" w:hint="eastAsia"/>
          <w:sz w:val="21"/>
          <w:szCs w:val="22"/>
        </w:rPr>
        <w:t>务</w:t>
      </w:r>
      <w:r w:rsidRPr="0034139E">
        <w:rPr>
          <w:rFonts w:ascii="SimSun" w:hAnsi="SimSun" w:hint="eastAsia"/>
          <w:sz w:val="21"/>
          <w:szCs w:val="22"/>
        </w:rPr>
        <w:t>上的原因，导致知识产权注册管理机构之间难以互连。</w:t>
      </w:r>
    </w:p>
    <w:p w:rsidR="006D4BFD" w:rsidRPr="0034139E" w:rsidRDefault="006D4BFD" w:rsidP="009D0855">
      <w:pPr>
        <w:pStyle w:val="ONUME"/>
        <w:numPr>
          <w:ilvl w:val="0"/>
          <w:numId w:val="8"/>
        </w:numPr>
        <w:overflowPunct w:val="0"/>
        <w:spacing w:afterLines="50" w:after="120" w:line="340" w:lineRule="atLeast"/>
        <w:ind w:left="0" w:firstLine="0"/>
        <w:jc w:val="both"/>
        <w:rPr>
          <w:rFonts w:ascii="SimSun" w:hAnsi="SimSun"/>
          <w:sz w:val="21"/>
          <w:szCs w:val="22"/>
        </w:rPr>
      </w:pPr>
      <w:r w:rsidRPr="0034139E">
        <w:rPr>
          <w:rFonts w:ascii="SimSun" w:hAnsi="SimSun" w:hint="eastAsia"/>
          <w:sz w:val="21"/>
          <w:szCs w:val="22"/>
        </w:rPr>
        <w:t>为更好地利用知识产权注册机构，有两个短期解决办法。一个是建立一个专题数据库，从国家和国际注册机构提取相关的知识产权注册数据以满足特定需求。最近的一个例子是在2017年10月的</w:t>
      </w:r>
      <w:r w:rsidR="00EA50FC">
        <w:rPr>
          <w:rFonts w:ascii="SimSun" w:hAnsi="SimSun" w:hint="eastAsia"/>
          <w:sz w:val="21"/>
          <w:szCs w:val="22"/>
        </w:rPr>
        <w:t>产权组织</w:t>
      </w:r>
      <w:r w:rsidRPr="0034139E">
        <w:rPr>
          <w:rFonts w:ascii="SimSun" w:hAnsi="SimSun" w:hint="eastAsia"/>
          <w:sz w:val="21"/>
          <w:szCs w:val="22"/>
        </w:rPr>
        <w:t>大会会议上宣布的Pat-INFORMED。该项目与IFPMA</w:t>
      </w:r>
      <w:r w:rsidRPr="0034139E">
        <w:rPr>
          <w:rFonts w:ascii="SimSun" w:hAnsi="SimSun"/>
          <w:sz w:val="21"/>
          <w:szCs w:val="22"/>
          <w:vertAlign w:val="superscript"/>
        </w:rPr>
        <w:footnoteReference w:id="7"/>
      </w:r>
      <w:r w:rsidRPr="0034139E">
        <w:rPr>
          <w:rFonts w:ascii="SimSun" w:hAnsi="SimSun" w:hint="eastAsia"/>
          <w:sz w:val="21"/>
          <w:szCs w:val="22"/>
        </w:rPr>
        <w:t>合作实施，提供了与注册药物有关的专利信息。</w:t>
      </w:r>
    </w:p>
    <w:p w:rsidR="006D4BFD" w:rsidRPr="0034139E" w:rsidRDefault="006D4BFD" w:rsidP="009D0855">
      <w:pPr>
        <w:pStyle w:val="ONUME"/>
        <w:numPr>
          <w:ilvl w:val="0"/>
          <w:numId w:val="8"/>
        </w:numPr>
        <w:overflowPunct w:val="0"/>
        <w:spacing w:afterLines="50" w:after="120" w:line="340" w:lineRule="atLeast"/>
        <w:ind w:left="0" w:firstLine="0"/>
        <w:jc w:val="both"/>
        <w:rPr>
          <w:rFonts w:ascii="SimSun" w:hAnsi="SimSun"/>
          <w:sz w:val="21"/>
          <w:szCs w:val="22"/>
        </w:rPr>
      </w:pPr>
      <w:r w:rsidRPr="0034139E">
        <w:rPr>
          <w:rFonts w:ascii="SimSun" w:hAnsi="SimSun" w:hint="eastAsia"/>
          <w:sz w:val="21"/>
          <w:szCs w:val="22"/>
        </w:rPr>
        <w:t>第二种选择是建立一个全球门户网站，通过</w:t>
      </w:r>
      <w:r w:rsidR="00EA50FC">
        <w:rPr>
          <w:rFonts w:ascii="SimSun" w:hAnsi="SimSun" w:hint="eastAsia"/>
          <w:sz w:val="21"/>
          <w:szCs w:val="22"/>
        </w:rPr>
        <w:t>产权组织</w:t>
      </w:r>
      <w:r w:rsidRPr="0034139E">
        <w:rPr>
          <w:rFonts w:ascii="SimSun" w:hAnsi="SimSun" w:hint="eastAsia"/>
          <w:sz w:val="21"/>
          <w:szCs w:val="22"/>
        </w:rPr>
        <w:t>网站的超链接与国家和国际注册管理机构相链接。2013年，发展与知识产权委员会（CDIP）提交了一份可行性研究报告，建议设立一个全球门户网站，为</w:t>
      </w:r>
      <w:r w:rsidR="00EA50FC">
        <w:rPr>
          <w:rFonts w:ascii="SimSun" w:hAnsi="SimSun" w:hint="eastAsia"/>
          <w:sz w:val="21"/>
          <w:szCs w:val="22"/>
        </w:rPr>
        <w:t>产权组织</w:t>
      </w:r>
      <w:r w:rsidRPr="0034139E">
        <w:rPr>
          <w:rFonts w:ascii="SimSun" w:hAnsi="SimSun" w:hint="eastAsia"/>
          <w:sz w:val="21"/>
          <w:szCs w:val="22"/>
        </w:rPr>
        <w:t>成员国的在线专利注册机构提供信息和链接</w:t>
      </w:r>
      <w:r w:rsidRPr="0034139E">
        <w:rPr>
          <w:rFonts w:ascii="SimSun" w:hAnsi="SimSun"/>
          <w:sz w:val="21"/>
          <w:szCs w:val="22"/>
          <w:vertAlign w:val="superscript"/>
        </w:rPr>
        <w:footnoteReference w:id="8"/>
      </w:r>
      <w:r w:rsidRPr="0034139E">
        <w:rPr>
          <w:rFonts w:ascii="SimSun" w:hAnsi="SimSun" w:hint="eastAsia"/>
          <w:sz w:val="21"/>
          <w:szCs w:val="22"/>
        </w:rPr>
        <w:t>。作为2016年4月CDIP第十七届会议上批准的公有领域信息使用发展议程项目的一部分</w:t>
      </w:r>
      <w:r w:rsidR="008D20C8" w:rsidRPr="0034139E">
        <w:rPr>
          <w:rStyle w:val="FootnoteReference"/>
          <w:rFonts w:ascii="SimSun" w:hAnsi="SimSun"/>
          <w:sz w:val="21"/>
          <w:szCs w:val="22"/>
        </w:rPr>
        <w:footnoteReference w:id="9"/>
      </w:r>
      <w:r w:rsidRPr="0034139E">
        <w:rPr>
          <w:rFonts w:ascii="SimSun" w:hAnsi="SimSun" w:hint="eastAsia"/>
          <w:sz w:val="21"/>
          <w:szCs w:val="22"/>
        </w:rPr>
        <w:t>，专利注册门户网站已于2016/17年重新设计，目的是为门户网站用户提供更方便用户使用的界面，并通过单一接入点访问170个司法辖区的在线专利注册机构以及相关法律状态信息。这个全球门户网站是与多个知识产权注册机构建立连接的初步尝</w:t>
      </w:r>
      <w:r w:rsidR="00CF143B">
        <w:rPr>
          <w:rFonts w:ascii="SimSun" w:hAnsi="SimSun"/>
          <w:sz w:val="21"/>
          <w:szCs w:val="22"/>
        </w:rPr>
        <w:t>‍</w:t>
      </w:r>
      <w:r w:rsidRPr="0034139E">
        <w:rPr>
          <w:rFonts w:ascii="SimSun" w:hAnsi="SimSun" w:hint="eastAsia"/>
          <w:sz w:val="21"/>
          <w:szCs w:val="22"/>
        </w:rPr>
        <w:t>试。</w:t>
      </w:r>
    </w:p>
    <w:p w:rsidR="003875C1" w:rsidRPr="0034139E" w:rsidRDefault="006D4BFD"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hint="eastAsia"/>
          <w:sz w:val="21"/>
          <w:szCs w:val="22"/>
        </w:rPr>
        <w:t>预计知识产权局将会实施有关专利法律地位数据交换（2017年通过）的WIPO标准ST.27，与其维持注册管理机构的惯例相融合，这将改善对国家知识产权注册机构信息的利用和解释。</w:t>
      </w:r>
    </w:p>
    <w:p w:rsidR="00C5369F" w:rsidRPr="0034139E" w:rsidRDefault="00C5369F" w:rsidP="009D0855">
      <w:pPr>
        <w:pStyle w:val="ONUME"/>
        <w:numPr>
          <w:ilvl w:val="0"/>
          <w:numId w:val="8"/>
        </w:numPr>
        <w:overflowPunct w:val="0"/>
        <w:spacing w:afterLines="50" w:after="120" w:line="340" w:lineRule="atLeast"/>
        <w:ind w:left="0" w:firstLine="0"/>
        <w:jc w:val="both"/>
        <w:rPr>
          <w:rFonts w:ascii="SimSun" w:hAnsi="SimSun"/>
          <w:sz w:val="21"/>
          <w:szCs w:val="22"/>
        </w:rPr>
      </w:pPr>
      <w:r w:rsidRPr="0034139E">
        <w:rPr>
          <w:rFonts w:ascii="SimSun" w:hAnsi="SimSun" w:hint="eastAsia"/>
          <w:sz w:val="21"/>
          <w:szCs w:val="22"/>
        </w:rPr>
        <w:t>从长远来看，可以使用现代网络技术（网络服务API或区块链）将国家知识产权局的知识产权注册机构相互链接，以建立一个共享的分布式模式，提供不同知识产权局的知识产权之间的法律地位和关系信息。</w:t>
      </w:r>
    </w:p>
    <w:p w:rsidR="00C5369F" w:rsidRPr="0034139E" w:rsidRDefault="00D40A28" w:rsidP="00244155">
      <w:pPr>
        <w:overflowPunct w:val="0"/>
        <w:spacing w:afterLines="50" w:after="120" w:line="340" w:lineRule="atLeast"/>
        <w:ind w:left="567"/>
        <w:jc w:val="both"/>
        <w:rPr>
          <w:rFonts w:ascii="SimSun" w:hAnsi="SimSun"/>
          <w:bCs/>
          <w:sz w:val="21"/>
          <w:szCs w:val="26"/>
          <w:u w:val="single"/>
        </w:rPr>
      </w:pPr>
      <w:r>
        <w:rPr>
          <w:rFonts w:ascii="SimSun" w:hAnsi="SimSun" w:hint="eastAsia"/>
          <w:bCs/>
          <w:sz w:val="21"/>
          <w:szCs w:val="26"/>
          <w:u w:val="single"/>
        </w:rPr>
        <w:t>建　议</w:t>
      </w:r>
    </w:p>
    <w:p w:rsidR="00C5369F" w:rsidRPr="0034139E" w:rsidRDefault="00656C6A" w:rsidP="00244155">
      <w:pPr>
        <w:overflowPunct w:val="0"/>
        <w:spacing w:afterLines="50" w:after="120" w:line="340" w:lineRule="atLeast"/>
        <w:ind w:left="567"/>
        <w:jc w:val="both"/>
        <w:rPr>
          <w:rFonts w:ascii="SimSun" w:hAnsi="SimSun"/>
          <w:sz w:val="21"/>
          <w:szCs w:val="22"/>
        </w:rPr>
      </w:pPr>
      <w:r w:rsidRPr="00656C6A">
        <w:rPr>
          <w:rFonts w:ascii="SimSun" w:hAnsi="SimSun" w:hint="eastAsia"/>
          <w:sz w:val="21"/>
          <w:szCs w:val="22"/>
          <w:u w:val="single"/>
        </w:rPr>
        <w:t>建议</w:t>
      </w:r>
      <w:r w:rsidR="00C5369F" w:rsidRPr="00656C6A">
        <w:rPr>
          <w:rFonts w:ascii="SimSun" w:hAnsi="SimSun" w:hint="eastAsia"/>
          <w:sz w:val="21"/>
          <w:szCs w:val="22"/>
          <w:u w:val="single"/>
        </w:rPr>
        <w:t>12</w:t>
      </w:r>
      <w:r>
        <w:rPr>
          <w:rFonts w:ascii="SimSun" w:hAnsi="SimSun" w:hint="eastAsia"/>
          <w:sz w:val="21"/>
          <w:szCs w:val="22"/>
        </w:rPr>
        <w:t>：</w:t>
      </w:r>
      <w:r w:rsidR="00C5369F" w:rsidRPr="0034139E">
        <w:rPr>
          <w:rFonts w:ascii="SimSun" w:hAnsi="SimSun" w:hint="eastAsia"/>
          <w:sz w:val="21"/>
          <w:szCs w:val="22"/>
        </w:rPr>
        <w:t>国际局可以与感兴趣的成员国合作，为分布式知识产权注册机构开发一个</w:t>
      </w:r>
      <w:r w:rsidR="00B52085" w:rsidRPr="0034139E">
        <w:rPr>
          <w:rFonts w:ascii="SimSun" w:hAnsi="SimSun" w:hint="eastAsia"/>
          <w:sz w:val="21"/>
          <w:szCs w:val="22"/>
        </w:rPr>
        <w:t>样板</w:t>
      </w:r>
      <w:r w:rsidR="00C5369F" w:rsidRPr="0034139E">
        <w:rPr>
          <w:rFonts w:ascii="SimSun" w:hAnsi="SimSun" w:hint="eastAsia"/>
          <w:sz w:val="21"/>
          <w:szCs w:val="22"/>
        </w:rPr>
        <w:t>。该原型可用于知识产权申请，以创建</w:t>
      </w:r>
      <w:r w:rsidR="007F17B2">
        <w:rPr>
          <w:rFonts w:ascii="SimSun" w:hAnsi="SimSun" w:hint="eastAsia"/>
          <w:sz w:val="21"/>
          <w:szCs w:val="22"/>
        </w:rPr>
        <w:t>作准</w:t>
      </w:r>
      <w:r w:rsidR="00C5369F" w:rsidRPr="0034139E">
        <w:rPr>
          <w:rFonts w:ascii="SimSun" w:hAnsi="SimSun" w:hint="eastAsia"/>
          <w:sz w:val="21"/>
          <w:szCs w:val="22"/>
        </w:rPr>
        <w:t>的知识产权申请编号注册，例如可用于验证优先权声明。</w:t>
      </w:r>
      <w:r w:rsidR="00C5369F" w:rsidRPr="0034139E">
        <w:rPr>
          <w:rFonts w:ascii="SimSun" w:hAnsi="SimSun" w:hint="eastAsia"/>
          <w:sz w:val="21"/>
          <w:szCs w:val="22"/>
        </w:rPr>
        <w:lastRenderedPageBreak/>
        <w:t>研究将分布式知识产权注册机构链接到WIPO CASE或国际注册</w:t>
      </w:r>
      <w:r>
        <w:rPr>
          <w:rFonts w:ascii="SimSun" w:hAnsi="SimSun" w:hint="eastAsia"/>
          <w:sz w:val="21"/>
          <w:szCs w:val="22"/>
        </w:rPr>
        <w:t>簿</w:t>
      </w:r>
      <w:r w:rsidR="00C5369F" w:rsidRPr="0034139E">
        <w:rPr>
          <w:rFonts w:ascii="SimSun" w:hAnsi="SimSun" w:hint="eastAsia"/>
          <w:sz w:val="21"/>
          <w:szCs w:val="22"/>
        </w:rPr>
        <w:t>的可能性。还应该探讨采用区块链技术链接这些分布式注册机构的可能性。</w:t>
      </w:r>
    </w:p>
    <w:p w:rsidR="00C5369F" w:rsidRPr="006575B1" w:rsidRDefault="00C5369F" w:rsidP="006575B1">
      <w:pPr>
        <w:pStyle w:val="Heading1"/>
        <w:overflowPunct w:val="0"/>
        <w:spacing w:beforeLines="100" w:afterLines="50" w:after="120" w:line="340" w:lineRule="atLeast"/>
        <w:rPr>
          <w:rFonts w:ascii="SimSun" w:hAnsi="SimSun"/>
          <w:sz w:val="21"/>
        </w:rPr>
      </w:pPr>
      <w:r w:rsidRPr="006575B1">
        <w:rPr>
          <w:rFonts w:ascii="SimSun" w:hAnsi="SimSun" w:hint="eastAsia"/>
          <w:sz w:val="21"/>
        </w:rPr>
        <w:t>产权组织知识产权办公套件（</w:t>
      </w:r>
      <w:r w:rsidRPr="006575B1">
        <w:rPr>
          <w:rFonts w:ascii="SimSun" w:hAnsi="SimSun"/>
          <w:sz w:val="21"/>
        </w:rPr>
        <w:t>WIPO IP Office Suite</w:t>
      </w:r>
      <w:r w:rsidRPr="006575B1">
        <w:rPr>
          <w:rFonts w:ascii="SimSun" w:hAnsi="SimSun" w:hint="eastAsia"/>
          <w:sz w:val="21"/>
        </w:rPr>
        <w:t>）</w:t>
      </w:r>
    </w:p>
    <w:p w:rsidR="00C5369F" w:rsidRPr="0034139E" w:rsidRDefault="00C5369F" w:rsidP="009D0855">
      <w:pPr>
        <w:pStyle w:val="ONUME"/>
        <w:numPr>
          <w:ilvl w:val="0"/>
          <w:numId w:val="8"/>
        </w:numPr>
        <w:overflowPunct w:val="0"/>
        <w:spacing w:afterLines="50" w:after="120" w:line="340" w:lineRule="atLeast"/>
        <w:ind w:left="0" w:firstLine="0"/>
        <w:jc w:val="both"/>
        <w:rPr>
          <w:rFonts w:ascii="SimSun" w:hAnsi="SimSun"/>
          <w:sz w:val="21"/>
          <w:szCs w:val="22"/>
        </w:rPr>
      </w:pPr>
      <w:r w:rsidRPr="0034139E">
        <w:rPr>
          <w:rFonts w:ascii="SimSun" w:hAnsi="SimSun" w:hint="eastAsia"/>
          <w:sz w:val="21"/>
          <w:szCs w:val="22"/>
        </w:rPr>
        <w:t>WIPO IP</w:t>
      </w:r>
      <w:r w:rsidR="00656C6A">
        <w:rPr>
          <w:rFonts w:ascii="SimSun" w:hAnsi="SimSun" w:hint="eastAsia"/>
          <w:sz w:val="21"/>
          <w:szCs w:val="22"/>
        </w:rPr>
        <w:t>套件</w:t>
      </w:r>
      <w:r w:rsidRPr="0034139E">
        <w:rPr>
          <w:rFonts w:ascii="SimSun" w:hAnsi="SimSun" w:hint="eastAsia"/>
          <w:sz w:val="21"/>
          <w:szCs w:val="22"/>
        </w:rPr>
        <w:t>是一组软件应用程序，知识产权局可利用该软件程序，通过建立电子注册表、控制工作流程和业务规则以及向本地和国际用户提供在线服务</w:t>
      </w:r>
      <w:r w:rsidR="007F17B2">
        <w:rPr>
          <w:rFonts w:ascii="SimSun" w:hAnsi="SimSun" w:hint="eastAsia"/>
          <w:sz w:val="21"/>
          <w:szCs w:val="22"/>
        </w:rPr>
        <w:t>，</w:t>
      </w:r>
      <w:r w:rsidRPr="0034139E">
        <w:rPr>
          <w:rFonts w:ascii="SimSun" w:hAnsi="SimSun" w:hint="eastAsia"/>
          <w:sz w:val="21"/>
          <w:szCs w:val="22"/>
        </w:rPr>
        <w:t>为处理知识产权申请提供支持。目前WIPO IP</w:t>
      </w:r>
      <w:r w:rsidR="00656C6A">
        <w:rPr>
          <w:rFonts w:ascii="SimSun" w:hAnsi="SimSun" w:hint="eastAsia"/>
          <w:sz w:val="21"/>
          <w:szCs w:val="22"/>
        </w:rPr>
        <w:t>套件</w:t>
      </w:r>
      <w:r w:rsidRPr="0034139E">
        <w:rPr>
          <w:rFonts w:ascii="SimSun" w:hAnsi="SimSun" w:hint="eastAsia"/>
          <w:sz w:val="21"/>
          <w:szCs w:val="22"/>
        </w:rPr>
        <w:t>或其中的一部分在全球所有地区的80多家知识产权局运</w:t>
      </w:r>
      <w:r w:rsidR="007F17B2">
        <w:rPr>
          <w:rFonts w:ascii="SimSun" w:hAnsi="SimSun" w:hint="eastAsia"/>
          <w:sz w:val="21"/>
          <w:szCs w:val="22"/>
        </w:rPr>
        <w:t>转</w:t>
      </w:r>
      <w:r w:rsidRPr="0034139E">
        <w:rPr>
          <w:rFonts w:ascii="SimSun" w:hAnsi="SimSun" w:hint="eastAsia"/>
          <w:sz w:val="21"/>
          <w:szCs w:val="22"/>
        </w:rPr>
        <w:t>。第一部分所讨论的大多数建议可以通过使用WIPO IPAS</w:t>
      </w:r>
      <w:r w:rsidR="00656C6A">
        <w:rPr>
          <w:rFonts w:ascii="SimSun" w:hAnsi="SimSun" w:hint="eastAsia"/>
          <w:sz w:val="21"/>
          <w:szCs w:val="22"/>
        </w:rPr>
        <w:t>套件</w:t>
      </w:r>
      <w:r w:rsidRPr="0034139E">
        <w:rPr>
          <w:rFonts w:ascii="SimSun" w:hAnsi="SimSun" w:hint="eastAsia"/>
          <w:sz w:val="21"/>
          <w:szCs w:val="22"/>
        </w:rPr>
        <w:t>来实现。详情请参阅文件WIPO/IP/ITAI/GE/18/4。</w:t>
      </w:r>
    </w:p>
    <w:p w:rsidR="00A97211" w:rsidRPr="006575B1" w:rsidRDefault="00A01759" w:rsidP="006575B1">
      <w:pPr>
        <w:pStyle w:val="Heading1"/>
        <w:overflowPunct w:val="0"/>
        <w:spacing w:beforeLines="100" w:afterLines="50" w:after="120" w:line="340" w:lineRule="atLeast"/>
        <w:rPr>
          <w:rFonts w:ascii="SimHei" w:eastAsia="SimHei" w:hAnsi="SimHei"/>
          <w:b w:val="0"/>
          <w:sz w:val="21"/>
        </w:rPr>
      </w:pPr>
      <w:r w:rsidRPr="006575B1">
        <w:rPr>
          <w:rFonts w:ascii="SimHei" w:eastAsia="SimHei" w:hAnsi="SimHei"/>
          <w:b w:val="0"/>
          <w:sz w:val="21"/>
        </w:rPr>
        <w:t>第二部分</w:t>
      </w:r>
      <w:r w:rsidRPr="006575B1">
        <w:rPr>
          <w:rFonts w:ascii="SimHei" w:eastAsia="SimHei" w:hAnsi="SimHei" w:hint="eastAsia"/>
          <w:b w:val="0"/>
          <w:sz w:val="21"/>
        </w:rPr>
        <w:t>：</w:t>
      </w:r>
      <w:r w:rsidRPr="006575B1">
        <w:rPr>
          <w:rFonts w:ascii="SimHei" w:eastAsia="SimHei" w:hAnsi="SimHei"/>
          <w:b w:val="0"/>
          <w:sz w:val="21"/>
        </w:rPr>
        <w:t>国际</w:t>
      </w:r>
      <w:r w:rsidR="00B667AB">
        <w:rPr>
          <w:rFonts w:ascii="SimHei" w:eastAsia="SimHei" w:hAnsi="SimHei"/>
          <w:b w:val="0"/>
          <w:sz w:val="21"/>
        </w:rPr>
        <w:t>信通技术</w:t>
      </w:r>
      <w:r w:rsidRPr="006575B1">
        <w:rPr>
          <w:rFonts w:ascii="SimHei" w:eastAsia="SimHei" w:hAnsi="SimHei"/>
          <w:b w:val="0"/>
          <w:sz w:val="21"/>
        </w:rPr>
        <w:t>战略</w:t>
      </w:r>
    </w:p>
    <w:p w:rsidR="00A97211" w:rsidRPr="0034139E" w:rsidRDefault="00A01759" w:rsidP="006575B1">
      <w:pPr>
        <w:pStyle w:val="Heading1"/>
        <w:overflowPunct w:val="0"/>
        <w:spacing w:beforeLines="100" w:afterLines="50" w:after="120" w:line="340" w:lineRule="atLeast"/>
        <w:rPr>
          <w:rFonts w:ascii="SimSun" w:hAnsi="SimSun"/>
          <w:sz w:val="21"/>
        </w:rPr>
      </w:pPr>
      <w:r w:rsidRPr="0034139E">
        <w:rPr>
          <w:rFonts w:ascii="SimSun" w:hAnsi="SimSun" w:hint="eastAsia"/>
          <w:sz w:val="21"/>
        </w:rPr>
        <w:t>概</w:t>
      </w:r>
      <w:r w:rsidR="007F17B2">
        <w:rPr>
          <w:rFonts w:ascii="SimSun" w:hAnsi="SimSun" w:hint="eastAsia"/>
          <w:sz w:val="21"/>
        </w:rPr>
        <w:t xml:space="preserve">　</w:t>
      </w:r>
      <w:r w:rsidRPr="0034139E">
        <w:rPr>
          <w:rFonts w:ascii="SimSun" w:hAnsi="SimSun" w:hint="eastAsia"/>
          <w:sz w:val="21"/>
        </w:rPr>
        <w:t>述</w:t>
      </w:r>
    </w:p>
    <w:p w:rsidR="00A01759" w:rsidRPr="0034139E" w:rsidRDefault="00A01759"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hint="eastAsia"/>
          <w:sz w:val="21"/>
        </w:rPr>
        <w:t>鉴于各国的知识产权局必须遵守本国的法律和规章制度提供服务，而国与国之间的法规不尽相同，因此，企业的解决方案以及用于支持这些解决方案的</w:t>
      </w:r>
      <w:r w:rsidR="00B667AB">
        <w:rPr>
          <w:rFonts w:ascii="SimSun" w:hAnsi="SimSun" w:hint="eastAsia"/>
          <w:sz w:val="21"/>
        </w:rPr>
        <w:t>信通技术</w:t>
      </w:r>
      <w:r w:rsidRPr="0034139E">
        <w:rPr>
          <w:rFonts w:ascii="SimSun" w:hAnsi="SimSun" w:hint="eastAsia"/>
          <w:sz w:val="21"/>
        </w:rPr>
        <w:t>策略也千差万别。工业产权的相关法律及其注册具有独立性，并且由</w:t>
      </w:r>
      <w:r w:rsidRPr="009D0855">
        <w:rPr>
          <w:rFonts w:ascii="SimSun" w:hAnsi="SimSun" w:hint="eastAsia"/>
          <w:sz w:val="21"/>
          <w:szCs w:val="22"/>
        </w:rPr>
        <w:t>《巴黎公约》</w:t>
      </w:r>
      <w:r w:rsidRPr="0034139E">
        <w:rPr>
          <w:rFonts w:ascii="SimSun" w:hAnsi="SimSun" w:hint="eastAsia"/>
          <w:sz w:val="21"/>
        </w:rPr>
        <w:t>的成员国自行监管。不过，关于在</w:t>
      </w:r>
      <w:r w:rsidR="00EA50FC">
        <w:rPr>
          <w:rFonts w:ascii="SimSun" w:hAnsi="SimSun" w:hint="eastAsia"/>
          <w:sz w:val="21"/>
        </w:rPr>
        <w:t>产权组织</w:t>
      </w:r>
      <w:r w:rsidRPr="0034139E">
        <w:rPr>
          <w:rFonts w:ascii="SimSun" w:hAnsi="SimSun" w:hint="eastAsia"/>
          <w:sz w:val="21"/>
        </w:rPr>
        <w:t>全球知识产权系统下的国际注册或申请程序，各国缔结了一系列国际条约，希望并且从某些程序方面要求知识产权局遵守事先制定的、在国际上具有一致性的知识产权申请或注册程序。与国际局打交道的知识产权局需要利用技术标准化的数据和</w:t>
      </w:r>
      <w:r w:rsidR="00B667AB">
        <w:rPr>
          <w:rFonts w:ascii="SimSun" w:hAnsi="SimSun" w:hint="eastAsia"/>
          <w:sz w:val="21"/>
        </w:rPr>
        <w:t>信通技术</w:t>
      </w:r>
      <w:r w:rsidRPr="0034139E">
        <w:rPr>
          <w:rFonts w:ascii="SimSun" w:hAnsi="SimSun" w:hint="eastAsia"/>
          <w:sz w:val="21"/>
        </w:rPr>
        <w:t>系统来提高知识产权注册和档案管理工作的质量、及时性和准确性。知识产权局不妨集中了解这些共同的特性和解决方案，以利用其他知识产权局的良好做法和方案。</w:t>
      </w:r>
    </w:p>
    <w:p w:rsidR="000A7BC0" w:rsidRPr="0034139E" w:rsidRDefault="00A01759"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hint="eastAsia"/>
          <w:sz w:val="21"/>
        </w:rPr>
        <w:t>主要的知识产权条约在某些章节中讨论了与国际知识产权系统整合的议题。除此之外，人们普遍认为，如果知识产权局在较早阶段就交换某些数据，或者向第三方信息服务提供商提供完全一致的信息，那么很多国家机制将发挥更大的效力。但是，交换数据需要进行很大程度的协调。WIPO标准和其他建议，例如《通用申请表》，在一定程度上满足了这方面的需求，但是，在具体落实上仍存在严重的差距和分歧，使得信息的有效输入和使用难以实现。</w:t>
      </w:r>
    </w:p>
    <w:p w:rsidR="007C4053" w:rsidRPr="0034139E" w:rsidRDefault="007C4053"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hint="eastAsia"/>
          <w:sz w:val="21"/>
        </w:rPr>
        <w:t>标准化知识产权数据的好处之一在于能够提高工作流程的效率和记录的准确性。第一部分已经就这个问题进行了讨论。从国际</w:t>
      </w:r>
      <w:r w:rsidR="00B667AB">
        <w:rPr>
          <w:rFonts w:ascii="SimSun" w:hAnsi="SimSun" w:hint="eastAsia"/>
          <w:sz w:val="21"/>
        </w:rPr>
        <w:t>信通技术</w:t>
      </w:r>
      <w:r w:rsidRPr="0034139E">
        <w:rPr>
          <w:rFonts w:ascii="SimSun" w:hAnsi="SimSun" w:hint="eastAsia"/>
          <w:sz w:val="21"/>
        </w:rPr>
        <w:t>策略的角度看，</w:t>
      </w:r>
      <w:r w:rsidRPr="009D0855">
        <w:rPr>
          <w:rFonts w:ascii="SimSun" w:hAnsi="SimSun" w:hint="eastAsia"/>
          <w:sz w:val="21"/>
          <w:szCs w:val="22"/>
        </w:rPr>
        <w:t>还有</w:t>
      </w:r>
      <w:r w:rsidRPr="0034139E">
        <w:rPr>
          <w:rFonts w:ascii="SimSun" w:hAnsi="SimSun" w:hint="eastAsia"/>
          <w:sz w:val="21"/>
        </w:rPr>
        <w:t>更强有力的理由：很多知识产权局的不同</w:t>
      </w:r>
      <w:r w:rsidR="00B667AB">
        <w:rPr>
          <w:rFonts w:ascii="SimSun" w:hAnsi="SimSun" w:hint="eastAsia"/>
          <w:sz w:val="21"/>
        </w:rPr>
        <w:t>信通技术</w:t>
      </w:r>
      <w:r w:rsidRPr="0034139E">
        <w:rPr>
          <w:rFonts w:ascii="SimSun" w:hAnsi="SimSun" w:hint="eastAsia"/>
          <w:sz w:val="21"/>
        </w:rPr>
        <w:t>系统进行知识产权数据交换时，数据格式和结构的安全性、完整性和兼容性能够得到保证。</w:t>
      </w:r>
    </w:p>
    <w:p w:rsidR="007C4053" w:rsidRPr="0034139E" w:rsidRDefault="007C4053"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hint="eastAsia"/>
          <w:sz w:val="21"/>
        </w:rPr>
        <w:t>此外要注意的是，从用户和申请人的角度，这些标准有助于将申请人寻求他国保护的成本和风险降至最低。对所有数据结构进行充分的标准化基本上是不可能的，因为这样做耗费的时间和成本将远远超过可能的收益。不过，如果能够保证姓名、地址、优先权相关细节和引文数据等关键信息通过一致的格式进行交换，那么从一个系统（例如某知识产权局系统或第三方知识产权管理系统）向另外一个系统输出此类数据，并确保这些数据能够被其他知识产权局直接使用的可能性也就大得多，同时还可以将数据录入和转换错误的风险降至最低，而发现和纠正此类错误非常困难，并且成本高昂。因此，我们需要确定哪些是关键信息，并确保这些信息的标准化得到了仔细的考虑和妥善的落实。</w:t>
      </w:r>
    </w:p>
    <w:p w:rsidR="00B0250A" w:rsidRPr="006575B1" w:rsidRDefault="00EA50FC" w:rsidP="006575B1">
      <w:pPr>
        <w:pStyle w:val="Heading1"/>
        <w:overflowPunct w:val="0"/>
        <w:spacing w:beforeLines="100" w:afterLines="50" w:after="120" w:line="340" w:lineRule="atLeast"/>
        <w:rPr>
          <w:rFonts w:ascii="SimSun" w:hAnsi="SimSun"/>
          <w:sz w:val="21"/>
        </w:rPr>
      </w:pPr>
      <w:r>
        <w:rPr>
          <w:rFonts w:ascii="SimSun" w:hAnsi="SimSun"/>
          <w:sz w:val="21"/>
        </w:rPr>
        <w:lastRenderedPageBreak/>
        <w:t>产权组织</w:t>
      </w:r>
      <w:r w:rsidR="00390647" w:rsidRPr="0034139E">
        <w:rPr>
          <w:rFonts w:ascii="SimSun" w:hAnsi="SimSun" w:hint="eastAsia"/>
          <w:sz w:val="21"/>
        </w:rPr>
        <w:t>全球知识产权体系</w:t>
      </w:r>
    </w:p>
    <w:p w:rsidR="00B5168B" w:rsidRPr="0034139E" w:rsidRDefault="00B5168B" w:rsidP="008B0F67">
      <w:pPr>
        <w:pStyle w:val="Heading3"/>
        <w:keepLines/>
        <w:spacing w:after="240"/>
        <w:rPr>
          <w:rFonts w:ascii="SimSun" w:hAnsi="SimSun"/>
          <w:sz w:val="21"/>
        </w:rPr>
      </w:pPr>
      <w:r w:rsidRPr="0034139E">
        <w:rPr>
          <w:rFonts w:ascii="SimSun" w:hAnsi="SimSun"/>
          <w:sz w:val="21"/>
        </w:rPr>
        <w:t>PCT</w:t>
      </w:r>
    </w:p>
    <w:p w:rsidR="000A7BC0" w:rsidRPr="0034139E" w:rsidRDefault="00AD4674" w:rsidP="008B0F67">
      <w:pPr>
        <w:pStyle w:val="ONUME"/>
        <w:keepNext/>
        <w:keepLines/>
        <w:numPr>
          <w:ilvl w:val="0"/>
          <w:numId w:val="0"/>
        </w:numPr>
        <w:rPr>
          <w:rFonts w:ascii="SimSun" w:hAnsi="SimSun"/>
          <w:sz w:val="21"/>
        </w:rPr>
      </w:pPr>
      <w:r w:rsidRPr="0034139E">
        <w:rPr>
          <w:rFonts w:ascii="SimSun" w:hAnsi="SimSun"/>
          <w:sz w:val="21"/>
        </w:rPr>
        <w:t>图</w:t>
      </w:r>
      <w:r w:rsidR="004466B9" w:rsidRPr="0034139E">
        <w:rPr>
          <w:rFonts w:ascii="SimSun" w:hAnsi="SimSun"/>
          <w:sz w:val="21"/>
        </w:rPr>
        <w:t>2</w:t>
      </w:r>
      <w:r w:rsidR="00656C6A">
        <w:rPr>
          <w:rFonts w:ascii="SimSun" w:hAnsi="SimSun" w:hint="eastAsia"/>
          <w:sz w:val="21"/>
        </w:rPr>
        <w:t>：</w:t>
      </w:r>
      <w:r w:rsidRPr="0034139E">
        <w:rPr>
          <w:rFonts w:ascii="SimSun" w:hAnsi="SimSun"/>
          <w:sz w:val="21"/>
        </w:rPr>
        <w:t>某个可能的</w:t>
      </w:r>
      <w:r w:rsidR="00C13753">
        <w:rPr>
          <w:rFonts w:ascii="SimSun" w:hAnsi="SimSun"/>
          <w:sz w:val="21"/>
        </w:rPr>
        <w:t>专利族</w:t>
      </w:r>
      <w:r w:rsidRPr="0034139E">
        <w:rPr>
          <w:rFonts w:ascii="SimSun" w:hAnsi="SimSun"/>
          <w:sz w:val="21"/>
        </w:rPr>
        <w:t>和若干潜在互动的简化示意图</w:t>
      </w:r>
      <w:r w:rsidR="00656C6A" w:rsidRPr="0034139E">
        <w:rPr>
          <w:rFonts w:ascii="SimSun" w:hAnsi="SimSun"/>
          <w:noProof/>
          <w:sz w:val="21"/>
          <w:lang w:eastAsia="en-US"/>
        </w:rPr>
        <mc:AlternateContent>
          <mc:Choice Requires="wpc">
            <w:drawing>
              <wp:inline distT="0" distB="0" distL="0" distR="0" wp14:anchorId="58AD25FC" wp14:editId="05972984">
                <wp:extent cx="8531860" cy="2806700"/>
                <wp:effectExtent l="0" t="0" r="0" b="0"/>
                <wp:docPr id="3" name="Canvas 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62" name="Freeform 62"/>
                        <wps:cNvSpPr/>
                        <wps:spPr>
                          <a:xfrm>
                            <a:off x="1019347" y="266723"/>
                            <a:ext cx="2926914" cy="1817611"/>
                          </a:xfrm>
                          <a:custGeom>
                            <a:avLst/>
                            <a:gdLst>
                              <a:gd name="connsiteX0" fmla="*/ 0 w 656348"/>
                              <a:gd name="connsiteY0" fmla="*/ 0 h 521712"/>
                              <a:gd name="connsiteX1" fmla="*/ 252441 w 656348"/>
                              <a:gd name="connsiteY1" fmla="*/ 297320 h 521712"/>
                              <a:gd name="connsiteX2" fmla="*/ 656348 w 656348"/>
                              <a:gd name="connsiteY2" fmla="*/ 521712 h 521712"/>
                              <a:gd name="connsiteX3" fmla="*/ 656348 w 656348"/>
                              <a:gd name="connsiteY3" fmla="*/ 521712 h 521712"/>
                            </a:gdLst>
                            <a:ahLst/>
                            <a:cxnLst>
                              <a:cxn ang="0">
                                <a:pos x="connsiteX0" y="connsiteY0"/>
                              </a:cxn>
                              <a:cxn ang="0">
                                <a:pos x="connsiteX1" y="connsiteY1"/>
                              </a:cxn>
                              <a:cxn ang="0">
                                <a:pos x="connsiteX2" y="connsiteY2"/>
                              </a:cxn>
                              <a:cxn ang="0">
                                <a:pos x="connsiteX3" y="connsiteY3"/>
                              </a:cxn>
                            </a:cxnLst>
                            <a:rect l="l" t="t" r="r" b="b"/>
                            <a:pathLst>
                              <a:path w="656348" h="521712">
                                <a:moveTo>
                                  <a:pt x="0" y="0"/>
                                </a:moveTo>
                                <a:cubicBezTo>
                                  <a:pt x="71525" y="105184"/>
                                  <a:pt x="143050" y="210368"/>
                                  <a:pt x="252441" y="297320"/>
                                </a:cubicBezTo>
                                <a:cubicBezTo>
                                  <a:pt x="361832" y="384272"/>
                                  <a:pt x="656348" y="521712"/>
                                  <a:pt x="656348" y="521712"/>
                                </a:cubicBezTo>
                                <a:lnTo>
                                  <a:pt x="656348" y="521712"/>
                                </a:lnTo>
                              </a:path>
                            </a:pathLst>
                          </a:custGeom>
                          <a:noFill/>
                          <a:ln w="12700" cap="flat" cmpd="sng" algn="ctr">
                            <a:solidFill>
                              <a:srgbClr val="92D050"/>
                            </a:solidFill>
                            <a:prstDash val="dash"/>
                            <a:tailEnd type="triangle"/>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6" name="Freeform 46"/>
                        <wps:cNvSpPr/>
                        <wps:spPr>
                          <a:xfrm>
                            <a:off x="2187829" y="588330"/>
                            <a:ext cx="1222939" cy="235612"/>
                          </a:xfrm>
                          <a:custGeom>
                            <a:avLst/>
                            <a:gdLst>
                              <a:gd name="connsiteX0" fmla="*/ 0 w 1222939"/>
                              <a:gd name="connsiteY0" fmla="*/ 235612 h 235612"/>
                              <a:gd name="connsiteX1" fmla="*/ 622689 w 1222939"/>
                              <a:gd name="connsiteY1" fmla="*/ 0 h 235612"/>
                              <a:gd name="connsiteX2" fmla="*/ 1222939 w 1222939"/>
                              <a:gd name="connsiteY2" fmla="*/ 235612 h 235612"/>
                            </a:gdLst>
                            <a:ahLst/>
                            <a:cxnLst>
                              <a:cxn ang="0">
                                <a:pos x="connsiteX0" y="connsiteY0"/>
                              </a:cxn>
                              <a:cxn ang="0">
                                <a:pos x="connsiteX1" y="connsiteY1"/>
                              </a:cxn>
                              <a:cxn ang="0">
                                <a:pos x="connsiteX2" y="connsiteY2"/>
                              </a:cxn>
                            </a:cxnLst>
                            <a:rect l="l" t="t" r="r" b="b"/>
                            <a:pathLst>
                              <a:path w="1222939" h="235612">
                                <a:moveTo>
                                  <a:pt x="0" y="235612"/>
                                </a:moveTo>
                                <a:cubicBezTo>
                                  <a:pt x="209433" y="117806"/>
                                  <a:pt x="418866" y="0"/>
                                  <a:pt x="622689" y="0"/>
                                </a:cubicBezTo>
                                <a:cubicBezTo>
                                  <a:pt x="826512" y="0"/>
                                  <a:pt x="1024725" y="117806"/>
                                  <a:pt x="1222939" y="235612"/>
                                </a:cubicBezTo>
                              </a:path>
                            </a:pathLst>
                          </a:custGeom>
                          <a:noFill/>
                          <a:ln w="25400" cap="flat" cmpd="sng" algn="ctr">
                            <a:solidFill>
                              <a:srgbClr val="F79646"/>
                            </a:solidFill>
                            <a:prstDash val="solid"/>
                            <a:tailEnd type="triangle"/>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Text Box 19"/>
                        <wps:cNvSpPr txBox="1"/>
                        <wps:spPr>
                          <a:xfrm>
                            <a:off x="2583288" y="1363357"/>
                            <a:ext cx="822960" cy="270510"/>
                          </a:xfrm>
                          <a:prstGeom prst="rect">
                            <a:avLst/>
                          </a:prstGeom>
                          <a:noFill/>
                          <a:ln w="6350">
                            <a:noFill/>
                          </a:ln>
                          <a:effectLst/>
                        </wps:spPr>
                        <wps:txbx>
                          <w:txbxContent>
                            <w:p w:rsidR="00656C6A" w:rsidRPr="00656C6A" w:rsidRDefault="00656C6A" w:rsidP="00656C6A">
                              <w:pPr>
                                <w:pStyle w:val="NormalWeb"/>
                                <w:rPr>
                                  <w:rFonts w:ascii="KaiTi" w:eastAsia="KaiTi" w:hAnsi="KaiTi"/>
                                  <w:sz w:val="21"/>
                                </w:rPr>
                              </w:pPr>
                              <w:r w:rsidRPr="00656C6A">
                                <w:rPr>
                                  <w:rFonts w:ascii="KaiTi" w:eastAsia="KaiTi" w:hAnsi="KaiTi" w:cs="Arial" w:hint="eastAsia"/>
                                  <w:sz w:val="21"/>
                                  <w:szCs w:val="22"/>
                                </w:rPr>
                                <w:t>国家阶段</w:t>
                              </w:r>
                              <w:r w:rsidRPr="00656C6A">
                                <w:rPr>
                                  <w:rFonts w:ascii="KaiTi" w:eastAsia="KaiTi" w:hAnsi="KaiTi" w:cs="Arial"/>
                                  <w:sz w:val="21"/>
                                  <w:szCs w:val="22"/>
                                </w:rPr>
                                <w:t>1</w:t>
                              </w:r>
                            </w:p>
                          </w:txbxContent>
                        </wps:txbx>
                        <wps:bodyPr rot="0" spcFirstLastPara="0" vert="horz" wrap="none" lIns="91440" tIns="45720" rIns="91440" bIns="45720" numCol="1" spcCol="0" rtlCol="0" fromWordArt="0" anchor="t" anchorCtr="0" forceAA="0" compatLnSpc="1">
                          <a:prstTxWarp prst="textNoShape">
                            <a:avLst/>
                          </a:prstTxWarp>
                          <a:spAutoFit/>
                        </wps:bodyPr>
                      </wps:wsp>
                      <wps:wsp>
                        <wps:cNvPr id="37" name="Freeform 37"/>
                        <wps:cNvSpPr/>
                        <wps:spPr>
                          <a:xfrm>
                            <a:off x="3106156" y="854782"/>
                            <a:ext cx="790222" cy="633658"/>
                          </a:xfrm>
                          <a:custGeom>
                            <a:avLst/>
                            <a:gdLst>
                              <a:gd name="connsiteX0" fmla="*/ 0 w 759125"/>
                              <a:gd name="connsiteY0" fmla="*/ 0 h 595222"/>
                              <a:gd name="connsiteX1" fmla="*/ 560717 w 759125"/>
                              <a:gd name="connsiteY1" fmla="*/ 207034 h 595222"/>
                              <a:gd name="connsiteX2" fmla="*/ 759125 w 759125"/>
                              <a:gd name="connsiteY2" fmla="*/ 595222 h 595222"/>
                              <a:gd name="connsiteX0" fmla="*/ 0 w 759125"/>
                              <a:gd name="connsiteY0" fmla="*/ 0 h 595222"/>
                              <a:gd name="connsiteX1" fmla="*/ 485926 w 759125"/>
                              <a:gd name="connsiteY1" fmla="*/ 262992 h 595222"/>
                              <a:gd name="connsiteX2" fmla="*/ 759125 w 759125"/>
                              <a:gd name="connsiteY2" fmla="*/ 595222 h 595222"/>
                            </a:gdLst>
                            <a:ahLst/>
                            <a:cxnLst>
                              <a:cxn ang="0">
                                <a:pos x="connsiteX0" y="connsiteY0"/>
                              </a:cxn>
                              <a:cxn ang="0">
                                <a:pos x="connsiteX1" y="connsiteY1"/>
                              </a:cxn>
                              <a:cxn ang="0">
                                <a:pos x="connsiteX2" y="connsiteY2"/>
                              </a:cxn>
                            </a:cxnLst>
                            <a:rect l="l" t="t" r="r" b="b"/>
                            <a:pathLst>
                              <a:path w="759125" h="595222">
                                <a:moveTo>
                                  <a:pt x="0" y="0"/>
                                </a:moveTo>
                                <a:cubicBezTo>
                                  <a:pt x="217098" y="53915"/>
                                  <a:pt x="359405" y="163788"/>
                                  <a:pt x="485926" y="262992"/>
                                </a:cubicBezTo>
                                <a:cubicBezTo>
                                  <a:pt x="612447" y="362196"/>
                                  <a:pt x="759125" y="595222"/>
                                  <a:pt x="759125" y="595222"/>
                                </a:cubicBezTo>
                              </a:path>
                            </a:pathLst>
                          </a:custGeom>
                          <a:noFill/>
                          <a:ln w="25400" cap="flat" cmpd="sng" algn="ctr">
                            <a:solidFill>
                              <a:srgbClr val="4F81BD">
                                <a:shade val="50000"/>
                              </a:srgbClr>
                            </a:solidFill>
                            <a:prstDash val="solid"/>
                            <a:tailEnd type="triangle"/>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0" name="Text Box 19"/>
                        <wps:cNvSpPr txBox="1"/>
                        <wps:spPr>
                          <a:xfrm>
                            <a:off x="68687" y="712413"/>
                            <a:ext cx="723265" cy="270510"/>
                          </a:xfrm>
                          <a:prstGeom prst="rect">
                            <a:avLst/>
                          </a:prstGeom>
                          <a:noFill/>
                          <a:ln w="6350">
                            <a:noFill/>
                          </a:ln>
                          <a:effectLst/>
                        </wps:spPr>
                        <wps:txbx>
                          <w:txbxContent>
                            <w:p w:rsidR="00656C6A" w:rsidRPr="00656C6A" w:rsidRDefault="00656C6A" w:rsidP="00656C6A">
                              <w:pPr>
                                <w:pStyle w:val="NormalWeb"/>
                                <w:rPr>
                                  <w:rFonts w:ascii="KaiTi" w:eastAsia="KaiTi" w:hAnsi="KaiTi"/>
                                  <w:sz w:val="21"/>
                                </w:rPr>
                              </w:pPr>
                              <w:r w:rsidRPr="00656C6A">
                                <w:rPr>
                                  <w:rFonts w:ascii="KaiTi" w:eastAsia="KaiTi" w:hAnsi="KaiTi" w:cs="Arial" w:hint="eastAsia"/>
                                  <w:sz w:val="21"/>
                                  <w:szCs w:val="22"/>
                                </w:rPr>
                                <w:t>国际申请</w:t>
                              </w:r>
                            </w:p>
                          </w:txbxContent>
                        </wps:txbx>
                        <wps:bodyPr rot="0" spcFirstLastPara="0" vert="horz" wrap="none" lIns="91440" tIns="45720" rIns="91440" bIns="45720" numCol="1" spcCol="0" rtlCol="0" fromWordArt="0" anchor="t" anchorCtr="0" forceAA="0" compatLnSpc="1">
                          <a:prstTxWarp prst="textNoShape">
                            <a:avLst/>
                          </a:prstTxWarp>
                          <a:spAutoFit/>
                        </wps:bodyPr>
                      </wps:wsp>
                      <wps:wsp>
                        <wps:cNvPr id="36" name="Freeform 36"/>
                        <wps:cNvSpPr/>
                        <wps:spPr>
                          <a:xfrm>
                            <a:off x="1000664" y="235070"/>
                            <a:ext cx="759125" cy="595222"/>
                          </a:xfrm>
                          <a:custGeom>
                            <a:avLst/>
                            <a:gdLst>
                              <a:gd name="connsiteX0" fmla="*/ 0 w 759125"/>
                              <a:gd name="connsiteY0" fmla="*/ 0 h 595222"/>
                              <a:gd name="connsiteX1" fmla="*/ 560717 w 759125"/>
                              <a:gd name="connsiteY1" fmla="*/ 207034 h 595222"/>
                              <a:gd name="connsiteX2" fmla="*/ 759125 w 759125"/>
                              <a:gd name="connsiteY2" fmla="*/ 595222 h 595222"/>
                              <a:gd name="connsiteX0" fmla="*/ 0 w 759125"/>
                              <a:gd name="connsiteY0" fmla="*/ 0 h 595222"/>
                              <a:gd name="connsiteX1" fmla="*/ 553924 w 759125"/>
                              <a:gd name="connsiteY1" fmla="*/ 328187 h 595222"/>
                              <a:gd name="connsiteX2" fmla="*/ 759125 w 759125"/>
                              <a:gd name="connsiteY2" fmla="*/ 595222 h 595222"/>
                            </a:gdLst>
                            <a:ahLst/>
                            <a:cxnLst>
                              <a:cxn ang="0">
                                <a:pos x="connsiteX0" y="connsiteY0"/>
                              </a:cxn>
                              <a:cxn ang="0">
                                <a:pos x="connsiteX1" y="connsiteY1"/>
                              </a:cxn>
                              <a:cxn ang="0">
                                <a:pos x="connsiteX2" y="connsiteY2"/>
                              </a:cxn>
                            </a:cxnLst>
                            <a:rect l="l" t="t" r="r" b="b"/>
                            <a:pathLst>
                              <a:path w="759125" h="595222">
                                <a:moveTo>
                                  <a:pt x="0" y="0"/>
                                </a:moveTo>
                                <a:cubicBezTo>
                                  <a:pt x="217098" y="53915"/>
                                  <a:pt x="427403" y="228983"/>
                                  <a:pt x="553924" y="328187"/>
                                </a:cubicBezTo>
                                <a:cubicBezTo>
                                  <a:pt x="680445" y="427391"/>
                                  <a:pt x="759125" y="595222"/>
                                  <a:pt x="759125" y="595222"/>
                                </a:cubicBezTo>
                              </a:path>
                            </a:pathLst>
                          </a:custGeom>
                          <a:noFill/>
                          <a:ln w="25400" cap="flat" cmpd="sng" algn="ctr">
                            <a:solidFill>
                              <a:srgbClr val="4F81BD">
                                <a:shade val="50000"/>
                              </a:srgbClr>
                            </a:solidFill>
                            <a:prstDash val="solid"/>
                            <a:tailEnd type="triangle"/>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 name="Straight Arrow Connector 5"/>
                        <wps:cNvCnPr/>
                        <wps:spPr>
                          <a:xfrm>
                            <a:off x="1006508" y="231140"/>
                            <a:ext cx="681487" cy="0"/>
                          </a:xfrm>
                          <a:prstGeom prst="straightConnector1">
                            <a:avLst/>
                          </a:prstGeom>
                          <a:noFill/>
                          <a:ln w="9525" cap="flat" cmpd="sng" algn="ctr">
                            <a:solidFill>
                              <a:srgbClr val="4F81BD">
                                <a:shade val="95000"/>
                                <a:satMod val="105000"/>
                              </a:srgbClr>
                            </a:solidFill>
                            <a:prstDash val="solid"/>
                            <a:tailEnd type="arrow"/>
                          </a:ln>
                          <a:effectLst/>
                        </wps:spPr>
                        <wps:bodyPr/>
                      </wps:wsp>
                      <wps:wsp>
                        <wps:cNvPr id="6" name="Straight Arrow Connector 6"/>
                        <wps:cNvCnPr/>
                        <wps:spPr>
                          <a:xfrm>
                            <a:off x="1739774" y="834989"/>
                            <a:ext cx="2156604" cy="0"/>
                          </a:xfrm>
                          <a:prstGeom prst="straightConnector1">
                            <a:avLst/>
                          </a:prstGeom>
                          <a:noFill/>
                          <a:ln w="9525" cap="flat" cmpd="sng" algn="ctr">
                            <a:solidFill>
                              <a:srgbClr val="4F81BD">
                                <a:shade val="95000"/>
                                <a:satMod val="105000"/>
                              </a:srgbClr>
                            </a:solidFill>
                            <a:prstDash val="solid"/>
                            <a:tailEnd type="arrow"/>
                          </a:ln>
                          <a:effectLst/>
                        </wps:spPr>
                        <wps:bodyPr/>
                      </wps:wsp>
                      <wps:wsp>
                        <wps:cNvPr id="7" name="Straight Arrow Connector 7"/>
                        <wps:cNvCnPr/>
                        <wps:spPr>
                          <a:xfrm>
                            <a:off x="3896378" y="1488440"/>
                            <a:ext cx="1095555" cy="0"/>
                          </a:xfrm>
                          <a:prstGeom prst="straightConnector1">
                            <a:avLst/>
                          </a:prstGeom>
                          <a:noFill/>
                          <a:ln w="9525" cap="flat" cmpd="sng" algn="ctr">
                            <a:solidFill>
                              <a:srgbClr val="4F81BD">
                                <a:shade val="95000"/>
                                <a:satMod val="105000"/>
                              </a:srgbClr>
                            </a:solidFill>
                            <a:prstDash val="solid"/>
                            <a:tailEnd type="arrow"/>
                          </a:ln>
                          <a:effectLst/>
                        </wps:spPr>
                        <wps:bodyPr/>
                      </wps:wsp>
                      <wps:wsp>
                        <wps:cNvPr id="8" name="Straight Arrow Connector 8"/>
                        <wps:cNvCnPr/>
                        <wps:spPr>
                          <a:xfrm>
                            <a:off x="4048778" y="2126048"/>
                            <a:ext cx="943155" cy="0"/>
                          </a:xfrm>
                          <a:prstGeom prst="straightConnector1">
                            <a:avLst/>
                          </a:prstGeom>
                          <a:noFill/>
                          <a:ln w="9525" cap="flat" cmpd="sng" algn="ctr">
                            <a:solidFill>
                              <a:srgbClr val="4F81BD">
                                <a:shade val="95000"/>
                                <a:satMod val="105000"/>
                              </a:srgbClr>
                            </a:solidFill>
                            <a:prstDash val="solid"/>
                            <a:tailEnd type="arrow"/>
                          </a:ln>
                          <a:effectLst/>
                        </wps:spPr>
                        <wps:bodyPr/>
                      </wps:wsp>
                      <wps:wsp>
                        <wps:cNvPr id="9" name="Oval 9"/>
                        <wps:cNvSpPr/>
                        <wps:spPr>
                          <a:xfrm>
                            <a:off x="965835" y="190467"/>
                            <a:ext cx="81346" cy="81346"/>
                          </a:xfrm>
                          <a:prstGeom prst="ellipse">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Oval 16"/>
                        <wps:cNvSpPr/>
                        <wps:spPr>
                          <a:xfrm>
                            <a:off x="1715728" y="802640"/>
                            <a:ext cx="81280" cy="81280"/>
                          </a:xfrm>
                          <a:prstGeom prst="ellipse">
                            <a:avLst/>
                          </a:prstGeom>
                          <a:solidFill>
                            <a:srgbClr val="4F81BD"/>
                          </a:solidFill>
                          <a:ln w="25400" cap="flat" cmpd="sng" algn="ctr">
                            <a:solidFill>
                              <a:srgbClr val="4F81BD">
                                <a:shade val="50000"/>
                              </a:srgbClr>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9" name="Text Box 19"/>
                        <wps:cNvSpPr txBox="1"/>
                        <wps:spPr>
                          <a:xfrm>
                            <a:off x="64135" y="116840"/>
                            <a:ext cx="723265" cy="270510"/>
                          </a:xfrm>
                          <a:prstGeom prst="rect">
                            <a:avLst/>
                          </a:prstGeom>
                          <a:noFill/>
                          <a:ln w="6350">
                            <a:noFill/>
                          </a:ln>
                          <a:effectLst/>
                        </wps:spPr>
                        <wps:txbx>
                          <w:txbxContent>
                            <w:p w:rsidR="00656C6A" w:rsidRPr="00656C6A" w:rsidRDefault="00656C6A" w:rsidP="00656C6A">
                              <w:pPr>
                                <w:rPr>
                                  <w:rFonts w:ascii="KaiTi" w:eastAsia="KaiTi" w:hAnsi="KaiTi"/>
                                  <w:sz w:val="21"/>
                                </w:rPr>
                              </w:pPr>
                              <w:r w:rsidRPr="00656C6A">
                                <w:rPr>
                                  <w:rFonts w:ascii="KaiTi" w:eastAsia="KaiTi" w:hAnsi="KaiTi" w:hint="eastAsia"/>
                                  <w:sz w:val="21"/>
                                </w:rPr>
                                <w:t>首次申请</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s:wsp>
                        <wps:cNvPr id="21" name="Oval 21"/>
                        <wps:cNvSpPr/>
                        <wps:spPr>
                          <a:xfrm>
                            <a:off x="3864981" y="1443148"/>
                            <a:ext cx="81280" cy="81280"/>
                          </a:xfrm>
                          <a:prstGeom prst="ellipse">
                            <a:avLst/>
                          </a:prstGeom>
                          <a:solidFill>
                            <a:srgbClr val="4F81BD"/>
                          </a:solidFill>
                          <a:ln w="25400" cap="flat" cmpd="sng" algn="ctr">
                            <a:solidFill>
                              <a:srgbClr val="4F81BD">
                                <a:shade val="50000"/>
                              </a:srgbClr>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4" name="Text Box 19"/>
                        <wps:cNvSpPr txBox="1"/>
                        <wps:spPr>
                          <a:xfrm>
                            <a:off x="2585085" y="1995558"/>
                            <a:ext cx="822960" cy="443865"/>
                          </a:xfrm>
                          <a:prstGeom prst="rect">
                            <a:avLst/>
                          </a:prstGeom>
                          <a:noFill/>
                          <a:ln w="6350">
                            <a:noFill/>
                          </a:ln>
                          <a:effectLst/>
                        </wps:spPr>
                        <wps:txbx>
                          <w:txbxContent>
                            <w:p w:rsidR="00656C6A" w:rsidRPr="00656C6A" w:rsidRDefault="00656C6A" w:rsidP="00656C6A">
                              <w:pPr>
                                <w:pStyle w:val="NormalWeb"/>
                                <w:rPr>
                                  <w:rFonts w:ascii="KaiTi" w:eastAsia="KaiTi" w:hAnsi="KaiTi" w:cs="Arial"/>
                                  <w:sz w:val="21"/>
                                  <w:szCs w:val="22"/>
                                </w:rPr>
                              </w:pPr>
                              <w:r w:rsidRPr="00656C6A">
                                <w:rPr>
                                  <w:rFonts w:ascii="KaiTi" w:eastAsia="KaiTi" w:hAnsi="KaiTi" w:cs="Arial" w:hint="eastAsia"/>
                                  <w:sz w:val="21"/>
                                  <w:szCs w:val="22"/>
                                </w:rPr>
                                <w:t>国家阶段</w:t>
                              </w:r>
                              <w:r w:rsidRPr="00656C6A">
                                <w:rPr>
                                  <w:rFonts w:ascii="KaiTi" w:eastAsia="KaiTi" w:hAnsi="KaiTi" w:cs="Arial"/>
                                  <w:sz w:val="21"/>
                                  <w:szCs w:val="22"/>
                                </w:rPr>
                                <w:t>2</w:t>
                              </w:r>
                            </w:p>
                            <w:p w:rsidR="00656C6A" w:rsidRPr="00656C6A" w:rsidRDefault="00656C6A" w:rsidP="00656C6A">
                              <w:pPr>
                                <w:pStyle w:val="NormalWeb"/>
                                <w:rPr>
                                  <w:rFonts w:ascii="KaiTi" w:eastAsia="KaiTi" w:hAnsi="KaiTi"/>
                                  <w:sz w:val="21"/>
                                </w:rPr>
                              </w:pPr>
                              <w:r w:rsidRPr="00656C6A">
                                <w:rPr>
                                  <w:rFonts w:ascii="KaiTi" w:eastAsia="KaiTi" w:hAnsi="KaiTi" w:cs="Arial"/>
                                  <w:sz w:val="21"/>
                                  <w:szCs w:val="22"/>
                                </w:rPr>
                                <w:t>(</w:t>
                              </w:r>
                              <w:r w:rsidRPr="00656C6A">
                                <w:rPr>
                                  <w:rFonts w:ascii="KaiTi" w:eastAsia="KaiTi" w:hAnsi="KaiTi" w:cs="Arial" w:hint="eastAsia"/>
                                  <w:sz w:val="21"/>
                                  <w:szCs w:val="22"/>
                                </w:rPr>
                                <w:t>语言</w:t>
                              </w:r>
                              <w:r w:rsidRPr="00656C6A">
                                <w:rPr>
                                  <w:rFonts w:ascii="KaiTi" w:eastAsia="KaiTi" w:hAnsi="KaiTi" w:cs="Arial"/>
                                  <w:sz w:val="21"/>
                                  <w:szCs w:val="22"/>
                                </w:rPr>
                                <w:t>2)</w:t>
                              </w:r>
                            </w:p>
                          </w:txbxContent>
                        </wps:txbx>
                        <wps:bodyPr rot="0" spcFirstLastPara="0" vert="horz" wrap="none" lIns="91440" tIns="45720" rIns="91440" bIns="45720" numCol="1" spcCol="0" rtlCol="0" fromWordArt="0" anchor="t" anchorCtr="0" forceAA="0" compatLnSpc="1">
                          <a:prstTxWarp prst="textNoShape">
                            <a:avLst/>
                          </a:prstTxWarp>
                          <a:spAutoFit/>
                        </wps:bodyPr>
                      </wps:wsp>
                      <wps:wsp>
                        <wps:cNvPr id="25" name="Oval 25"/>
                        <wps:cNvSpPr/>
                        <wps:spPr>
                          <a:xfrm>
                            <a:off x="1305111" y="194474"/>
                            <a:ext cx="81280" cy="81280"/>
                          </a:xfrm>
                          <a:prstGeom prst="ellipse">
                            <a:avLst/>
                          </a:prstGeom>
                          <a:solidFill>
                            <a:srgbClr val="FF0000"/>
                          </a:solidFill>
                          <a:ln w="25400" cap="flat" cmpd="sng" algn="ctr">
                            <a:solidFill>
                              <a:srgbClr val="F79646">
                                <a:lumMod val="60000"/>
                                <a:lumOff val="40000"/>
                              </a:srgbClr>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6" name="Oval 26"/>
                        <wps:cNvSpPr/>
                        <wps:spPr>
                          <a:xfrm>
                            <a:off x="2141855" y="794014"/>
                            <a:ext cx="81280" cy="81280"/>
                          </a:xfrm>
                          <a:prstGeom prst="ellipse">
                            <a:avLst/>
                          </a:prstGeom>
                          <a:solidFill>
                            <a:srgbClr val="FF0000"/>
                          </a:solidFill>
                          <a:ln w="25400" cap="flat" cmpd="sng" algn="ctr">
                            <a:solidFill>
                              <a:srgbClr val="F79646">
                                <a:lumMod val="60000"/>
                                <a:lumOff val="40000"/>
                              </a:srgbClr>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 name="Oval 27"/>
                        <wps:cNvSpPr/>
                        <wps:spPr>
                          <a:xfrm>
                            <a:off x="3399155" y="792530"/>
                            <a:ext cx="81280" cy="81280"/>
                          </a:xfrm>
                          <a:prstGeom prst="ellipse">
                            <a:avLst/>
                          </a:prstGeom>
                          <a:solidFill>
                            <a:srgbClr val="FF0000"/>
                          </a:solidFill>
                          <a:ln w="25400" cap="flat" cmpd="sng" algn="ctr">
                            <a:solidFill>
                              <a:srgbClr val="F79646">
                                <a:lumMod val="60000"/>
                                <a:lumOff val="40000"/>
                              </a:srgbClr>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8" name="Oval 28"/>
                        <wps:cNvSpPr/>
                        <wps:spPr>
                          <a:xfrm>
                            <a:off x="4542155" y="1441664"/>
                            <a:ext cx="81280" cy="81280"/>
                          </a:xfrm>
                          <a:prstGeom prst="ellipse">
                            <a:avLst/>
                          </a:prstGeom>
                          <a:solidFill>
                            <a:srgbClr val="FF0000"/>
                          </a:solidFill>
                          <a:ln w="25400" cap="flat" cmpd="sng" algn="ctr">
                            <a:solidFill>
                              <a:srgbClr val="F79646">
                                <a:lumMod val="60000"/>
                                <a:lumOff val="40000"/>
                              </a:srgbClr>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 name="Oval 29"/>
                        <wps:cNvSpPr/>
                        <wps:spPr>
                          <a:xfrm>
                            <a:off x="4656455" y="2077192"/>
                            <a:ext cx="81280" cy="81280"/>
                          </a:xfrm>
                          <a:prstGeom prst="ellipse">
                            <a:avLst/>
                          </a:prstGeom>
                          <a:solidFill>
                            <a:srgbClr val="FF0000"/>
                          </a:solidFill>
                          <a:ln w="25400" cap="flat" cmpd="sng" algn="ctr">
                            <a:solidFill>
                              <a:srgbClr val="F79646">
                                <a:lumMod val="60000"/>
                                <a:lumOff val="40000"/>
                              </a:srgbClr>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3" name="Oval 33"/>
                        <wps:cNvSpPr/>
                        <wps:spPr>
                          <a:xfrm>
                            <a:off x="4007321" y="1441664"/>
                            <a:ext cx="81280" cy="81280"/>
                          </a:xfrm>
                          <a:prstGeom prst="ellipse">
                            <a:avLst/>
                          </a:prstGeom>
                          <a:solidFill>
                            <a:srgbClr val="92D050"/>
                          </a:solidFill>
                          <a:ln w="25400" cap="flat" cmpd="sng" algn="ctr">
                            <a:solidFill>
                              <a:srgbClr val="00B05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8" name="Freeform 38"/>
                        <wps:cNvSpPr/>
                        <wps:spPr>
                          <a:xfrm>
                            <a:off x="3106156" y="854782"/>
                            <a:ext cx="942622" cy="1271266"/>
                          </a:xfrm>
                          <a:custGeom>
                            <a:avLst/>
                            <a:gdLst>
                              <a:gd name="connsiteX0" fmla="*/ 0 w 759125"/>
                              <a:gd name="connsiteY0" fmla="*/ 0 h 595222"/>
                              <a:gd name="connsiteX1" fmla="*/ 560717 w 759125"/>
                              <a:gd name="connsiteY1" fmla="*/ 207034 h 595222"/>
                              <a:gd name="connsiteX2" fmla="*/ 759125 w 759125"/>
                              <a:gd name="connsiteY2" fmla="*/ 595222 h 595222"/>
                              <a:gd name="connsiteX0" fmla="*/ 0 w 759125"/>
                              <a:gd name="connsiteY0" fmla="*/ 0 h 595222"/>
                              <a:gd name="connsiteX1" fmla="*/ 577568 w 759125"/>
                              <a:gd name="connsiteY1" fmla="*/ 296686 h 595222"/>
                              <a:gd name="connsiteX2" fmla="*/ 759125 w 759125"/>
                              <a:gd name="connsiteY2" fmla="*/ 595222 h 595222"/>
                              <a:gd name="connsiteX0" fmla="*/ 0 w 759125"/>
                              <a:gd name="connsiteY0" fmla="*/ 0 h 595222"/>
                              <a:gd name="connsiteX1" fmla="*/ 576121 w 759125"/>
                              <a:gd name="connsiteY1" fmla="*/ 275480 h 595222"/>
                              <a:gd name="connsiteX2" fmla="*/ 759125 w 759125"/>
                              <a:gd name="connsiteY2" fmla="*/ 595222 h 595222"/>
                              <a:gd name="connsiteX0" fmla="*/ 0 w 759125"/>
                              <a:gd name="connsiteY0" fmla="*/ 0 h 595222"/>
                              <a:gd name="connsiteX1" fmla="*/ 499413 w 759125"/>
                              <a:gd name="connsiteY1" fmla="*/ 184604 h 595222"/>
                              <a:gd name="connsiteX2" fmla="*/ 759125 w 759125"/>
                              <a:gd name="connsiteY2" fmla="*/ 595222 h 595222"/>
                              <a:gd name="connsiteX0" fmla="*/ 0 w 759125"/>
                              <a:gd name="connsiteY0" fmla="*/ 0 h 595222"/>
                              <a:gd name="connsiteX1" fmla="*/ 499413 w 759125"/>
                              <a:gd name="connsiteY1" fmla="*/ 238121 h 595222"/>
                              <a:gd name="connsiteX2" fmla="*/ 759125 w 759125"/>
                              <a:gd name="connsiteY2" fmla="*/ 595222 h 595222"/>
                            </a:gdLst>
                            <a:ahLst/>
                            <a:cxnLst>
                              <a:cxn ang="0">
                                <a:pos x="connsiteX0" y="connsiteY0"/>
                              </a:cxn>
                              <a:cxn ang="0">
                                <a:pos x="connsiteX1" y="connsiteY1"/>
                              </a:cxn>
                              <a:cxn ang="0">
                                <a:pos x="connsiteX2" y="connsiteY2"/>
                              </a:cxn>
                            </a:cxnLst>
                            <a:rect l="l" t="t" r="r" b="b"/>
                            <a:pathLst>
                              <a:path w="759125" h="595222">
                                <a:moveTo>
                                  <a:pt x="0" y="0"/>
                                </a:moveTo>
                                <a:cubicBezTo>
                                  <a:pt x="217098" y="53915"/>
                                  <a:pt x="372892" y="138917"/>
                                  <a:pt x="499413" y="238121"/>
                                </a:cubicBezTo>
                                <a:cubicBezTo>
                                  <a:pt x="625934" y="337325"/>
                                  <a:pt x="759125" y="595222"/>
                                  <a:pt x="759125" y="595222"/>
                                </a:cubicBezTo>
                              </a:path>
                            </a:pathLst>
                          </a:custGeom>
                          <a:noFill/>
                          <a:ln w="25400" cap="flat" cmpd="sng" algn="ctr">
                            <a:solidFill>
                              <a:srgbClr val="4F81BD">
                                <a:shade val="50000"/>
                              </a:srgbClr>
                            </a:solidFill>
                            <a:prstDash val="solid"/>
                            <a:tailEnd type="triangle"/>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9" name="Freeform 39"/>
                        <wps:cNvSpPr/>
                        <wps:spPr>
                          <a:xfrm>
                            <a:off x="1356546" y="259787"/>
                            <a:ext cx="785309" cy="542853"/>
                          </a:xfrm>
                          <a:custGeom>
                            <a:avLst/>
                            <a:gdLst>
                              <a:gd name="connsiteX0" fmla="*/ 0 w 759125"/>
                              <a:gd name="connsiteY0" fmla="*/ 0 h 595222"/>
                              <a:gd name="connsiteX1" fmla="*/ 560717 w 759125"/>
                              <a:gd name="connsiteY1" fmla="*/ 207034 h 595222"/>
                              <a:gd name="connsiteX2" fmla="*/ 759125 w 759125"/>
                              <a:gd name="connsiteY2" fmla="*/ 595222 h 595222"/>
                              <a:gd name="connsiteX0" fmla="*/ 0 w 759125"/>
                              <a:gd name="connsiteY0" fmla="*/ 0 h 595222"/>
                              <a:gd name="connsiteX1" fmla="*/ 553924 w 759125"/>
                              <a:gd name="connsiteY1" fmla="*/ 328187 h 595222"/>
                              <a:gd name="connsiteX2" fmla="*/ 759125 w 759125"/>
                              <a:gd name="connsiteY2" fmla="*/ 595222 h 595222"/>
                            </a:gdLst>
                            <a:ahLst/>
                            <a:cxnLst>
                              <a:cxn ang="0">
                                <a:pos x="connsiteX0" y="connsiteY0"/>
                              </a:cxn>
                              <a:cxn ang="0">
                                <a:pos x="connsiteX1" y="connsiteY1"/>
                              </a:cxn>
                              <a:cxn ang="0">
                                <a:pos x="connsiteX2" y="connsiteY2"/>
                              </a:cxn>
                            </a:cxnLst>
                            <a:rect l="l" t="t" r="r" b="b"/>
                            <a:pathLst>
                              <a:path w="759125" h="595222">
                                <a:moveTo>
                                  <a:pt x="0" y="0"/>
                                </a:moveTo>
                                <a:cubicBezTo>
                                  <a:pt x="217098" y="53915"/>
                                  <a:pt x="427403" y="228983"/>
                                  <a:pt x="553924" y="328187"/>
                                </a:cubicBezTo>
                                <a:cubicBezTo>
                                  <a:pt x="680445" y="427391"/>
                                  <a:pt x="759125" y="595222"/>
                                  <a:pt x="759125" y="595222"/>
                                </a:cubicBezTo>
                              </a:path>
                            </a:pathLst>
                          </a:custGeom>
                          <a:noFill/>
                          <a:ln w="25400" cap="flat" cmpd="sng" algn="ctr">
                            <a:solidFill>
                              <a:srgbClr val="F79646"/>
                            </a:solidFill>
                            <a:prstDash val="solid"/>
                            <a:tailEnd type="triangle"/>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0" name="Freeform 40"/>
                        <wps:cNvSpPr/>
                        <wps:spPr>
                          <a:xfrm>
                            <a:off x="3477673" y="854782"/>
                            <a:ext cx="1064482" cy="633658"/>
                          </a:xfrm>
                          <a:custGeom>
                            <a:avLst/>
                            <a:gdLst>
                              <a:gd name="connsiteX0" fmla="*/ 0 w 759125"/>
                              <a:gd name="connsiteY0" fmla="*/ 0 h 595222"/>
                              <a:gd name="connsiteX1" fmla="*/ 560717 w 759125"/>
                              <a:gd name="connsiteY1" fmla="*/ 207034 h 595222"/>
                              <a:gd name="connsiteX2" fmla="*/ 759125 w 759125"/>
                              <a:gd name="connsiteY2" fmla="*/ 595222 h 595222"/>
                              <a:gd name="connsiteX0" fmla="*/ 0 w 759125"/>
                              <a:gd name="connsiteY0" fmla="*/ 0 h 595222"/>
                              <a:gd name="connsiteX1" fmla="*/ 553924 w 759125"/>
                              <a:gd name="connsiteY1" fmla="*/ 328187 h 595222"/>
                              <a:gd name="connsiteX2" fmla="*/ 759125 w 759125"/>
                              <a:gd name="connsiteY2" fmla="*/ 595222 h 595222"/>
                            </a:gdLst>
                            <a:ahLst/>
                            <a:cxnLst>
                              <a:cxn ang="0">
                                <a:pos x="connsiteX0" y="connsiteY0"/>
                              </a:cxn>
                              <a:cxn ang="0">
                                <a:pos x="connsiteX1" y="connsiteY1"/>
                              </a:cxn>
                              <a:cxn ang="0">
                                <a:pos x="connsiteX2" y="connsiteY2"/>
                              </a:cxn>
                            </a:cxnLst>
                            <a:rect l="l" t="t" r="r" b="b"/>
                            <a:pathLst>
                              <a:path w="759125" h="595222">
                                <a:moveTo>
                                  <a:pt x="0" y="0"/>
                                </a:moveTo>
                                <a:cubicBezTo>
                                  <a:pt x="217098" y="53915"/>
                                  <a:pt x="427403" y="228983"/>
                                  <a:pt x="553924" y="328187"/>
                                </a:cubicBezTo>
                                <a:cubicBezTo>
                                  <a:pt x="680445" y="427391"/>
                                  <a:pt x="759125" y="595222"/>
                                  <a:pt x="759125" y="595222"/>
                                </a:cubicBezTo>
                              </a:path>
                            </a:pathLst>
                          </a:custGeom>
                          <a:noFill/>
                          <a:ln w="25400" cap="flat" cmpd="sng" algn="ctr">
                            <a:solidFill>
                              <a:srgbClr val="F79646"/>
                            </a:solidFill>
                            <a:prstDash val="solid"/>
                            <a:tailEnd type="triangle"/>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3" name="Freeform 43"/>
                        <wps:cNvSpPr/>
                        <wps:spPr>
                          <a:xfrm>
                            <a:off x="4589253" y="1503153"/>
                            <a:ext cx="112143" cy="581181"/>
                          </a:xfrm>
                          <a:custGeom>
                            <a:avLst/>
                            <a:gdLst>
                              <a:gd name="connsiteX0" fmla="*/ 0 w 112143"/>
                              <a:gd name="connsiteY0" fmla="*/ 0 h 621102"/>
                              <a:gd name="connsiteX1" fmla="*/ 86264 w 112143"/>
                              <a:gd name="connsiteY1" fmla="*/ 301924 h 621102"/>
                              <a:gd name="connsiteX2" fmla="*/ 112143 w 112143"/>
                              <a:gd name="connsiteY2" fmla="*/ 621102 h 621102"/>
                            </a:gdLst>
                            <a:ahLst/>
                            <a:cxnLst>
                              <a:cxn ang="0">
                                <a:pos x="connsiteX0" y="connsiteY0"/>
                              </a:cxn>
                              <a:cxn ang="0">
                                <a:pos x="connsiteX1" y="connsiteY1"/>
                              </a:cxn>
                              <a:cxn ang="0">
                                <a:pos x="connsiteX2" y="connsiteY2"/>
                              </a:cxn>
                            </a:cxnLst>
                            <a:rect l="l" t="t" r="r" b="b"/>
                            <a:pathLst>
                              <a:path w="112143" h="621102">
                                <a:moveTo>
                                  <a:pt x="0" y="0"/>
                                </a:moveTo>
                                <a:cubicBezTo>
                                  <a:pt x="33787" y="99203"/>
                                  <a:pt x="67574" y="198407"/>
                                  <a:pt x="86264" y="301924"/>
                                </a:cubicBezTo>
                                <a:cubicBezTo>
                                  <a:pt x="104954" y="405441"/>
                                  <a:pt x="108548" y="513271"/>
                                  <a:pt x="112143" y="621102"/>
                                </a:cubicBezTo>
                              </a:path>
                            </a:pathLst>
                          </a:custGeom>
                          <a:noFill/>
                          <a:ln w="25400" cap="flat" cmpd="sng" algn="ctr">
                            <a:solidFill>
                              <a:srgbClr val="F79646"/>
                            </a:solidFill>
                            <a:prstDash val="solid"/>
                            <a:tailEnd type="triangle"/>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 name="Freeform 44"/>
                        <wps:cNvSpPr/>
                        <wps:spPr>
                          <a:xfrm>
                            <a:off x="3477349" y="870825"/>
                            <a:ext cx="1179105" cy="1206367"/>
                          </a:xfrm>
                          <a:custGeom>
                            <a:avLst/>
                            <a:gdLst>
                              <a:gd name="connsiteX0" fmla="*/ 0 w 759125"/>
                              <a:gd name="connsiteY0" fmla="*/ 0 h 595222"/>
                              <a:gd name="connsiteX1" fmla="*/ 560717 w 759125"/>
                              <a:gd name="connsiteY1" fmla="*/ 207034 h 595222"/>
                              <a:gd name="connsiteX2" fmla="*/ 759125 w 759125"/>
                              <a:gd name="connsiteY2" fmla="*/ 595222 h 595222"/>
                              <a:gd name="connsiteX0" fmla="*/ 0 w 759125"/>
                              <a:gd name="connsiteY0" fmla="*/ 0 h 595222"/>
                              <a:gd name="connsiteX1" fmla="*/ 553924 w 759125"/>
                              <a:gd name="connsiteY1" fmla="*/ 328187 h 595222"/>
                              <a:gd name="connsiteX2" fmla="*/ 759125 w 759125"/>
                              <a:gd name="connsiteY2" fmla="*/ 595222 h 595222"/>
                            </a:gdLst>
                            <a:ahLst/>
                            <a:cxnLst>
                              <a:cxn ang="0">
                                <a:pos x="connsiteX0" y="connsiteY0"/>
                              </a:cxn>
                              <a:cxn ang="0">
                                <a:pos x="connsiteX1" y="connsiteY1"/>
                              </a:cxn>
                              <a:cxn ang="0">
                                <a:pos x="connsiteX2" y="connsiteY2"/>
                              </a:cxn>
                            </a:cxnLst>
                            <a:rect l="l" t="t" r="r" b="b"/>
                            <a:pathLst>
                              <a:path w="759125" h="595222">
                                <a:moveTo>
                                  <a:pt x="0" y="0"/>
                                </a:moveTo>
                                <a:cubicBezTo>
                                  <a:pt x="217098" y="53915"/>
                                  <a:pt x="427403" y="228983"/>
                                  <a:pt x="553924" y="328187"/>
                                </a:cubicBezTo>
                                <a:cubicBezTo>
                                  <a:pt x="680445" y="427391"/>
                                  <a:pt x="759125" y="595222"/>
                                  <a:pt x="759125" y="595222"/>
                                </a:cubicBezTo>
                              </a:path>
                            </a:pathLst>
                          </a:custGeom>
                          <a:noFill/>
                          <a:ln w="25400" cap="flat" cmpd="sng" algn="ctr">
                            <a:solidFill>
                              <a:srgbClr val="F79646"/>
                            </a:solidFill>
                            <a:prstDash val="solid"/>
                            <a:tailEnd type="triangle"/>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5" name="Freeform 45"/>
                        <wps:cNvSpPr/>
                        <wps:spPr>
                          <a:xfrm>
                            <a:off x="1356546" y="235069"/>
                            <a:ext cx="3629089" cy="1842123"/>
                          </a:xfrm>
                          <a:custGeom>
                            <a:avLst/>
                            <a:gdLst>
                              <a:gd name="connsiteX0" fmla="*/ 0 w 759125"/>
                              <a:gd name="connsiteY0" fmla="*/ 0 h 595222"/>
                              <a:gd name="connsiteX1" fmla="*/ 560717 w 759125"/>
                              <a:gd name="connsiteY1" fmla="*/ 207034 h 595222"/>
                              <a:gd name="connsiteX2" fmla="*/ 759125 w 759125"/>
                              <a:gd name="connsiteY2" fmla="*/ 595222 h 595222"/>
                              <a:gd name="connsiteX0" fmla="*/ 0 w 759125"/>
                              <a:gd name="connsiteY0" fmla="*/ 0 h 595222"/>
                              <a:gd name="connsiteX1" fmla="*/ 553924 w 759125"/>
                              <a:gd name="connsiteY1" fmla="*/ 328187 h 595222"/>
                              <a:gd name="connsiteX2" fmla="*/ 759125 w 759125"/>
                              <a:gd name="connsiteY2" fmla="*/ 595222 h 595222"/>
                              <a:gd name="connsiteX0" fmla="*/ 0 w 766952"/>
                              <a:gd name="connsiteY0" fmla="*/ 0 h 595222"/>
                              <a:gd name="connsiteX1" fmla="*/ 677744 w 766952"/>
                              <a:gd name="connsiteY1" fmla="*/ 195900 h 595222"/>
                              <a:gd name="connsiteX2" fmla="*/ 759125 w 766952"/>
                              <a:gd name="connsiteY2" fmla="*/ 595222 h 595222"/>
                              <a:gd name="connsiteX0" fmla="*/ 0 w 759125"/>
                              <a:gd name="connsiteY0" fmla="*/ 0 h 595222"/>
                              <a:gd name="connsiteX1" fmla="*/ 610677 w 759125"/>
                              <a:gd name="connsiteY1" fmla="*/ 100004 h 595222"/>
                              <a:gd name="connsiteX2" fmla="*/ 759125 w 759125"/>
                              <a:gd name="connsiteY2" fmla="*/ 595222 h 595222"/>
                              <a:gd name="connsiteX0" fmla="*/ 0 w 759125"/>
                              <a:gd name="connsiteY0" fmla="*/ 0 h 595222"/>
                              <a:gd name="connsiteX1" fmla="*/ 610677 w 759125"/>
                              <a:gd name="connsiteY1" fmla="*/ 100004 h 595222"/>
                              <a:gd name="connsiteX2" fmla="*/ 759125 w 759125"/>
                              <a:gd name="connsiteY2" fmla="*/ 595222 h 595222"/>
                              <a:gd name="connsiteX0" fmla="*/ 0 w 759125"/>
                              <a:gd name="connsiteY0" fmla="*/ 0 h 603360"/>
                              <a:gd name="connsiteX1" fmla="*/ 610677 w 759125"/>
                              <a:gd name="connsiteY1" fmla="*/ 108142 h 603360"/>
                              <a:gd name="connsiteX2" fmla="*/ 759125 w 759125"/>
                              <a:gd name="connsiteY2" fmla="*/ 603360 h 603360"/>
                              <a:gd name="connsiteX0" fmla="*/ 0 w 772918"/>
                              <a:gd name="connsiteY0" fmla="*/ 0 h 603360"/>
                              <a:gd name="connsiteX1" fmla="*/ 691717 w 772918"/>
                              <a:gd name="connsiteY1" fmla="*/ 108142 h 603360"/>
                              <a:gd name="connsiteX2" fmla="*/ 759125 w 772918"/>
                              <a:gd name="connsiteY2" fmla="*/ 603360 h 603360"/>
                              <a:gd name="connsiteX0" fmla="*/ 0 w 780813"/>
                              <a:gd name="connsiteY0" fmla="*/ 0 h 603360"/>
                              <a:gd name="connsiteX1" fmla="*/ 691717 w 780813"/>
                              <a:gd name="connsiteY1" fmla="*/ 108142 h 603360"/>
                              <a:gd name="connsiteX2" fmla="*/ 772918 w 780813"/>
                              <a:gd name="connsiteY2" fmla="*/ 603360 h 603360"/>
                              <a:gd name="connsiteX0" fmla="*/ 0 w 824773"/>
                              <a:gd name="connsiteY0" fmla="*/ 0 h 603360"/>
                              <a:gd name="connsiteX1" fmla="*/ 766952 w 824773"/>
                              <a:gd name="connsiteY1" fmla="*/ 145775 h 603360"/>
                              <a:gd name="connsiteX2" fmla="*/ 772918 w 824773"/>
                              <a:gd name="connsiteY2" fmla="*/ 603360 h 603360"/>
                              <a:gd name="connsiteX0" fmla="*/ 0 w 823183"/>
                              <a:gd name="connsiteY0" fmla="*/ 0 h 606513"/>
                              <a:gd name="connsiteX1" fmla="*/ 766952 w 823183"/>
                              <a:gd name="connsiteY1" fmla="*/ 145775 h 606513"/>
                              <a:gd name="connsiteX2" fmla="*/ 766952 w 823183"/>
                              <a:gd name="connsiteY2" fmla="*/ 606513 h 606513"/>
                            </a:gdLst>
                            <a:ahLst/>
                            <a:cxnLst>
                              <a:cxn ang="0">
                                <a:pos x="connsiteX0" y="connsiteY0"/>
                              </a:cxn>
                              <a:cxn ang="0">
                                <a:pos x="connsiteX1" y="connsiteY1"/>
                              </a:cxn>
                              <a:cxn ang="0">
                                <a:pos x="connsiteX2" y="connsiteY2"/>
                              </a:cxn>
                            </a:cxnLst>
                            <a:rect l="l" t="t" r="r" b="b"/>
                            <a:pathLst>
                              <a:path w="823183" h="606513">
                                <a:moveTo>
                                  <a:pt x="0" y="0"/>
                                </a:moveTo>
                                <a:cubicBezTo>
                                  <a:pt x="224733" y="15128"/>
                                  <a:pt x="640431" y="46571"/>
                                  <a:pt x="766952" y="145775"/>
                                </a:cubicBezTo>
                                <a:cubicBezTo>
                                  <a:pt x="893473" y="244979"/>
                                  <a:pt x="766952" y="606513"/>
                                  <a:pt x="766952" y="606513"/>
                                </a:cubicBezTo>
                              </a:path>
                            </a:pathLst>
                          </a:custGeom>
                          <a:noFill/>
                          <a:ln w="25400" cap="flat" cmpd="sng" algn="ctr">
                            <a:solidFill>
                              <a:srgbClr val="F79646"/>
                            </a:solidFill>
                            <a:prstDash val="solid"/>
                            <a:tailEnd type="triangle"/>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7" name="Oval 47"/>
                        <wps:cNvSpPr/>
                        <wps:spPr>
                          <a:xfrm>
                            <a:off x="180000" y="1635760"/>
                            <a:ext cx="81280" cy="81280"/>
                          </a:xfrm>
                          <a:prstGeom prst="ellipse">
                            <a:avLst/>
                          </a:prstGeom>
                          <a:solidFill>
                            <a:srgbClr val="4F81BD"/>
                          </a:solidFill>
                          <a:ln w="25400" cap="flat" cmpd="sng" algn="ctr">
                            <a:solidFill>
                              <a:srgbClr val="4F81BD">
                                <a:shade val="50000"/>
                              </a:srgbClr>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8" name="Oval 48"/>
                        <wps:cNvSpPr/>
                        <wps:spPr>
                          <a:xfrm>
                            <a:off x="180000" y="1978660"/>
                            <a:ext cx="81280" cy="81280"/>
                          </a:xfrm>
                          <a:prstGeom prst="ellipse">
                            <a:avLst/>
                          </a:prstGeom>
                          <a:solidFill>
                            <a:srgbClr val="FF0000"/>
                          </a:solidFill>
                          <a:ln w="25400" cap="flat" cmpd="sng" algn="ctr">
                            <a:solidFill>
                              <a:srgbClr val="F79646">
                                <a:lumMod val="60000"/>
                                <a:lumOff val="40000"/>
                              </a:srgbClr>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9" name="Oval 49"/>
                        <wps:cNvSpPr/>
                        <wps:spPr>
                          <a:xfrm>
                            <a:off x="180000" y="2288540"/>
                            <a:ext cx="81280" cy="81280"/>
                          </a:xfrm>
                          <a:prstGeom prst="ellipse">
                            <a:avLst/>
                          </a:prstGeom>
                          <a:solidFill>
                            <a:srgbClr val="92D050"/>
                          </a:solidFill>
                          <a:ln w="25400" cap="flat" cmpd="sng" algn="ctr">
                            <a:solidFill>
                              <a:srgbClr val="00B05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0" name="Text Box 50"/>
                        <wps:cNvSpPr txBox="1"/>
                        <wps:spPr>
                          <a:xfrm>
                            <a:off x="280035" y="1568445"/>
                            <a:ext cx="1161415" cy="245745"/>
                          </a:xfrm>
                          <a:prstGeom prst="rect">
                            <a:avLst/>
                          </a:prstGeom>
                          <a:noFill/>
                          <a:ln w="6350">
                            <a:noFill/>
                          </a:ln>
                          <a:effectLst/>
                        </wps:spPr>
                        <wps:txbx>
                          <w:txbxContent>
                            <w:p w:rsidR="00656C6A" w:rsidRPr="0034139E" w:rsidRDefault="00656C6A" w:rsidP="00656C6A">
                              <w:pPr>
                                <w:rPr>
                                  <w:rFonts w:ascii="SimSun" w:hAnsi="SimSun"/>
                                  <w:sz w:val="18"/>
                                  <w:szCs w:val="18"/>
                                </w:rPr>
                              </w:pPr>
                              <w:r w:rsidRPr="0034139E">
                                <w:rPr>
                                  <w:rFonts w:ascii="SimSun" w:hAnsi="SimSun" w:hint="eastAsia"/>
                                  <w:sz w:val="18"/>
                                  <w:szCs w:val="18"/>
                                </w:rPr>
                                <w:t>申请</w:t>
                              </w:r>
                              <w:r w:rsidRPr="0034139E">
                                <w:rPr>
                                  <w:rFonts w:ascii="SimSun" w:hAnsi="SimSun"/>
                                  <w:sz w:val="18"/>
                                  <w:szCs w:val="18"/>
                                </w:rPr>
                                <w:t>/</w:t>
                              </w:r>
                              <w:r w:rsidRPr="0034139E">
                                <w:rPr>
                                  <w:rFonts w:ascii="SimSun" w:hAnsi="SimSun" w:hint="eastAsia"/>
                                  <w:sz w:val="18"/>
                                  <w:szCs w:val="18"/>
                                </w:rPr>
                                <w:t>进入国家阶段</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s:wsp>
                        <wps:cNvPr id="51" name="Text Box 50"/>
                        <wps:cNvSpPr txBox="1"/>
                        <wps:spPr>
                          <a:xfrm>
                            <a:off x="280035" y="1915490"/>
                            <a:ext cx="761365" cy="245745"/>
                          </a:xfrm>
                          <a:prstGeom prst="rect">
                            <a:avLst/>
                          </a:prstGeom>
                          <a:noFill/>
                          <a:ln w="6350">
                            <a:noFill/>
                          </a:ln>
                          <a:effectLst/>
                        </wps:spPr>
                        <wps:txbx>
                          <w:txbxContent>
                            <w:p w:rsidR="00656C6A" w:rsidRPr="00825570" w:rsidRDefault="00656C6A" w:rsidP="00656C6A">
                              <w:pPr>
                                <w:pStyle w:val="NormalWeb"/>
                                <w:rPr>
                                  <w:sz w:val="18"/>
                                  <w:szCs w:val="18"/>
                                </w:rPr>
                              </w:pPr>
                              <w:r w:rsidRPr="0034139E">
                                <w:rPr>
                                  <w:rFonts w:ascii="SimSun" w:hAnsi="SimSun" w:cs="Arial" w:hint="eastAsia"/>
                                  <w:sz w:val="18"/>
                                  <w:szCs w:val="18"/>
                                </w:rPr>
                                <w:t>检索或审查</w:t>
                              </w:r>
                            </w:p>
                          </w:txbxContent>
                        </wps:txbx>
                        <wps:bodyPr rot="0" spcFirstLastPara="0" vert="horz" wrap="none" lIns="91440" tIns="45720" rIns="91440" bIns="45720" numCol="1" spcCol="0" rtlCol="0" fromWordArt="0" anchor="t" anchorCtr="0" forceAA="0" compatLnSpc="1">
                          <a:prstTxWarp prst="textNoShape">
                            <a:avLst/>
                          </a:prstTxWarp>
                          <a:spAutoFit/>
                        </wps:bodyPr>
                      </wps:wsp>
                      <wps:wsp>
                        <wps:cNvPr id="52" name="Text Box 50"/>
                        <wps:cNvSpPr txBox="1"/>
                        <wps:spPr>
                          <a:xfrm>
                            <a:off x="280035" y="2231596"/>
                            <a:ext cx="418465" cy="245745"/>
                          </a:xfrm>
                          <a:prstGeom prst="rect">
                            <a:avLst/>
                          </a:prstGeom>
                          <a:noFill/>
                          <a:ln w="6350">
                            <a:noFill/>
                          </a:ln>
                          <a:effectLst/>
                        </wps:spPr>
                        <wps:txbx>
                          <w:txbxContent>
                            <w:p w:rsidR="00656C6A" w:rsidRPr="00825570" w:rsidRDefault="00656C6A" w:rsidP="00656C6A">
                              <w:pPr>
                                <w:pStyle w:val="NormalWeb"/>
                                <w:rPr>
                                  <w:sz w:val="18"/>
                                  <w:szCs w:val="18"/>
                                </w:rPr>
                              </w:pPr>
                              <w:r w:rsidRPr="0034139E">
                                <w:rPr>
                                  <w:rFonts w:ascii="SimSun" w:hAnsi="SimSun" w:cs="Arial" w:hint="eastAsia"/>
                                  <w:sz w:val="18"/>
                                  <w:szCs w:val="18"/>
                                </w:rPr>
                                <w:t>修正</w:t>
                              </w:r>
                            </w:p>
                          </w:txbxContent>
                        </wps:txbx>
                        <wps:bodyPr rot="0" spcFirstLastPara="0" vert="horz" wrap="none" lIns="91440" tIns="45720" rIns="91440" bIns="45720" numCol="1" spcCol="0" rtlCol="0" fromWordArt="0" anchor="t" anchorCtr="0" forceAA="0" compatLnSpc="1">
                          <a:prstTxWarp prst="textNoShape">
                            <a:avLst/>
                          </a:prstTxWarp>
                          <a:spAutoFit/>
                        </wps:bodyPr>
                      </wps:wsp>
                      <wps:wsp>
                        <wps:cNvPr id="54" name="Freeform 54"/>
                        <wps:cNvSpPr/>
                        <wps:spPr>
                          <a:xfrm>
                            <a:off x="139789" y="1844929"/>
                            <a:ext cx="140246" cy="0"/>
                          </a:xfrm>
                          <a:custGeom>
                            <a:avLst/>
                            <a:gdLst>
                              <a:gd name="connsiteX0" fmla="*/ 0 w 140246"/>
                              <a:gd name="connsiteY0" fmla="*/ 0 h 0"/>
                              <a:gd name="connsiteX1" fmla="*/ 140246 w 140246"/>
                              <a:gd name="connsiteY1" fmla="*/ 0 h 0"/>
                              <a:gd name="connsiteX2" fmla="*/ 140246 w 140246"/>
                              <a:gd name="connsiteY2" fmla="*/ 0 h 0"/>
                            </a:gdLst>
                            <a:ahLst/>
                            <a:cxnLst>
                              <a:cxn ang="0">
                                <a:pos x="connsiteX0" y="connsiteY0"/>
                              </a:cxn>
                              <a:cxn ang="0">
                                <a:pos x="connsiteX1" y="connsiteY1"/>
                              </a:cxn>
                              <a:cxn ang="0">
                                <a:pos x="connsiteX2" y="connsiteY2"/>
                              </a:cxn>
                            </a:cxnLst>
                            <a:rect l="l" t="t" r="r" b="b"/>
                            <a:pathLst>
                              <a:path w="140246">
                                <a:moveTo>
                                  <a:pt x="0" y="0"/>
                                </a:moveTo>
                                <a:lnTo>
                                  <a:pt x="140246" y="0"/>
                                </a:lnTo>
                                <a:lnTo>
                                  <a:pt x="140246" y="0"/>
                                </a:lnTo>
                              </a:path>
                            </a:pathLst>
                          </a:custGeom>
                          <a:noFill/>
                          <a:ln w="25400" cap="flat" cmpd="sng" algn="ctr">
                            <a:solidFill>
                              <a:srgbClr val="4F81BD">
                                <a:shade val="50000"/>
                              </a:srgbClr>
                            </a:solidFill>
                            <a:prstDash val="solid"/>
                            <a:tailEnd type="triangle"/>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Text Box 50"/>
                        <wps:cNvSpPr txBox="1"/>
                        <wps:spPr>
                          <a:xfrm>
                            <a:off x="280035" y="1737530"/>
                            <a:ext cx="2190115" cy="245745"/>
                          </a:xfrm>
                          <a:prstGeom prst="rect">
                            <a:avLst/>
                          </a:prstGeom>
                          <a:noFill/>
                          <a:ln w="6350">
                            <a:noFill/>
                          </a:ln>
                          <a:effectLst/>
                        </wps:spPr>
                        <wps:txbx>
                          <w:txbxContent>
                            <w:p w:rsidR="00656C6A" w:rsidRPr="00825570" w:rsidRDefault="00656C6A" w:rsidP="00656C6A">
                              <w:pPr>
                                <w:pStyle w:val="NormalWeb"/>
                                <w:rPr>
                                  <w:sz w:val="18"/>
                                  <w:szCs w:val="18"/>
                                </w:rPr>
                              </w:pPr>
                              <w:r w:rsidRPr="0034139E">
                                <w:rPr>
                                  <w:rFonts w:ascii="SimSun" w:hAnsi="SimSun" w:cs="Arial" w:hint="eastAsia"/>
                                  <w:sz w:val="18"/>
                                  <w:szCs w:val="18"/>
                                </w:rPr>
                                <w:t>优先权文件</w:t>
                              </w:r>
                              <w:r w:rsidRPr="0034139E">
                                <w:rPr>
                                  <w:rFonts w:ascii="SimSun" w:hAnsi="SimSun" w:cs="Arial"/>
                                  <w:sz w:val="18"/>
                                  <w:szCs w:val="18"/>
                                </w:rPr>
                                <w:t xml:space="preserve">? </w:t>
                              </w:r>
                              <w:r w:rsidRPr="0034139E">
                                <w:rPr>
                                  <w:rFonts w:ascii="SimSun" w:hAnsi="SimSun" w:cs="Arial" w:hint="eastAsia"/>
                                  <w:sz w:val="18"/>
                                  <w:szCs w:val="18"/>
                                </w:rPr>
                                <w:t>通用申请内容</w:t>
                              </w:r>
                              <w:r w:rsidRPr="0034139E">
                                <w:rPr>
                                  <w:rFonts w:ascii="SimSun" w:hAnsi="SimSun" w:cs="Arial"/>
                                  <w:sz w:val="18"/>
                                  <w:szCs w:val="18"/>
                                </w:rPr>
                                <w:t xml:space="preserve">? </w:t>
                              </w:r>
                              <w:r w:rsidRPr="0034139E">
                                <w:rPr>
                                  <w:rFonts w:ascii="SimSun" w:hAnsi="SimSun" w:cs="Arial" w:hint="eastAsia"/>
                                  <w:sz w:val="18"/>
                                  <w:szCs w:val="18"/>
                                </w:rPr>
                                <w:t>文献数据</w:t>
                              </w:r>
                              <w:r w:rsidRPr="0034139E">
                                <w:rPr>
                                  <w:rFonts w:ascii="SimSun" w:hAnsi="SimSun" w:cs="Arial"/>
                                  <w:sz w:val="18"/>
                                  <w:szCs w:val="18"/>
                                </w:rPr>
                                <w:t>?</w:t>
                              </w:r>
                            </w:p>
                          </w:txbxContent>
                        </wps:txbx>
                        <wps:bodyPr rot="0" spcFirstLastPara="0" vert="horz" wrap="none" lIns="91440" tIns="45720" rIns="91440" bIns="45720" numCol="1" spcCol="0" rtlCol="0" fromWordArt="0" anchor="t" anchorCtr="0" forceAA="0" compatLnSpc="1">
                          <a:prstTxWarp prst="textNoShape">
                            <a:avLst/>
                          </a:prstTxWarp>
                          <a:spAutoFit/>
                        </wps:bodyPr>
                      </wps:wsp>
                      <wps:wsp>
                        <wps:cNvPr id="56" name="Freeform 56"/>
                        <wps:cNvSpPr/>
                        <wps:spPr>
                          <a:xfrm>
                            <a:off x="140335" y="2174240"/>
                            <a:ext cx="139700" cy="0"/>
                          </a:xfrm>
                          <a:custGeom>
                            <a:avLst/>
                            <a:gdLst>
                              <a:gd name="connsiteX0" fmla="*/ 0 w 140246"/>
                              <a:gd name="connsiteY0" fmla="*/ 0 h 0"/>
                              <a:gd name="connsiteX1" fmla="*/ 140246 w 140246"/>
                              <a:gd name="connsiteY1" fmla="*/ 0 h 0"/>
                              <a:gd name="connsiteX2" fmla="*/ 140246 w 140246"/>
                              <a:gd name="connsiteY2" fmla="*/ 0 h 0"/>
                            </a:gdLst>
                            <a:ahLst/>
                            <a:cxnLst>
                              <a:cxn ang="0">
                                <a:pos x="connsiteX0" y="connsiteY0"/>
                              </a:cxn>
                              <a:cxn ang="0">
                                <a:pos x="connsiteX1" y="connsiteY1"/>
                              </a:cxn>
                              <a:cxn ang="0">
                                <a:pos x="connsiteX2" y="connsiteY2"/>
                              </a:cxn>
                            </a:cxnLst>
                            <a:rect l="l" t="t" r="r" b="b"/>
                            <a:pathLst>
                              <a:path w="140246">
                                <a:moveTo>
                                  <a:pt x="0" y="0"/>
                                </a:moveTo>
                                <a:lnTo>
                                  <a:pt x="140246" y="0"/>
                                </a:lnTo>
                                <a:lnTo>
                                  <a:pt x="140246" y="0"/>
                                </a:lnTo>
                              </a:path>
                            </a:pathLst>
                          </a:custGeom>
                          <a:noFill/>
                          <a:ln w="25400" cap="flat" cmpd="sng" algn="ctr">
                            <a:solidFill>
                              <a:srgbClr val="F79646"/>
                            </a:solidFill>
                            <a:prstDash val="solid"/>
                            <a:tailEnd type="triangle"/>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7" name="Text Box 50"/>
                        <wps:cNvSpPr txBox="1"/>
                        <wps:spPr>
                          <a:xfrm>
                            <a:off x="280035" y="2070525"/>
                            <a:ext cx="1847215" cy="245745"/>
                          </a:xfrm>
                          <a:prstGeom prst="rect">
                            <a:avLst/>
                          </a:prstGeom>
                          <a:noFill/>
                          <a:ln w="6350">
                            <a:noFill/>
                          </a:ln>
                          <a:effectLst/>
                        </wps:spPr>
                        <wps:txbx>
                          <w:txbxContent>
                            <w:p w:rsidR="00656C6A" w:rsidRPr="00825570" w:rsidRDefault="00656C6A" w:rsidP="00656C6A">
                              <w:pPr>
                                <w:pStyle w:val="NormalWeb"/>
                                <w:rPr>
                                  <w:sz w:val="18"/>
                                  <w:szCs w:val="18"/>
                                </w:rPr>
                              </w:pPr>
                              <w:r w:rsidRPr="0034139E">
                                <w:rPr>
                                  <w:rFonts w:ascii="SimSun" w:hAnsi="SimSun" w:cs="Arial" w:hint="eastAsia"/>
                                  <w:sz w:val="18"/>
                                  <w:szCs w:val="18"/>
                                </w:rPr>
                                <w:t>可能重复使用此前检索</w:t>
                              </w:r>
                              <w:r w:rsidRPr="0034139E">
                                <w:rPr>
                                  <w:rFonts w:ascii="SimSun" w:hAnsi="SimSun" w:cs="Arial"/>
                                  <w:sz w:val="18"/>
                                  <w:szCs w:val="18"/>
                                </w:rPr>
                                <w:t>/</w:t>
                              </w:r>
                              <w:r w:rsidRPr="0034139E">
                                <w:rPr>
                                  <w:rFonts w:ascii="SimSun" w:hAnsi="SimSun" w:cs="Arial" w:hint="eastAsia"/>
                                  <w:sz w:val="18"/>
                                  <w:szCs w:val="18"/>
                                </w:rPr>
                                <w:t>审查信息</w:t>
                              </w:r>
                            </w:p>
                          </w:txbxContent>
                        </wps:txbx>
                        <wps:bodyPr rot="0" spcFirstLastPara="0" vert="horz" wrap="none" lIns="91440" tIns="45720" rIns="91440" bIns="45720" numCol="1" spcCol="0" rtlCol="0" fromWordArt="0" anchor="t" anchorCtr="0" forceAA="0" compatLnSpc="1">
                          <a:prstTxWarp prst="textNoShape">
                            <a:avLst/>
                          </a:prstTxWarp>
                          <a:spAutoFit/>
                        </wps:bodyPr>
                      </wps:wsp>
                      <wps:wsp>
                        <wps:cNvPr id="31" name="Oval 31"/>
                        <wps:cNvSpPr/>
                        <wps:spPr>
                          <a:xfrm>
                            <a:off x="3056255" y="802640"/>
                            <a:ext cx="81280" cy="81280"/>
                          </a:xfrm>
                          <a:prstGeom prst="ellipse">
                            <a:avLst/>
                          </a:prstGeom>
                          <a:solidFill>
                            <a:srgbClr val="92D050"/>
                          </a:solidFill>
                          <a:ln w="25400" cap="flat" cmpd="sng" algn="ctr">
                            <a:solidFill>
                              <a:srgbClr val="00B05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8" name="Oval 18"/>
                        <wps:cNvSpPr/>
                        <wps:spPr>
                          <a:xfrm>
                            <a:off x="4001728" y="2084334"/>
                            <a:ext cx="81280" cy="81280"/>
                          </a:xfrm>
                          <a:prstGeom prst="ellipse">
                            <a:avLst/>
                          </a:prstGeom>
                          <a:solidFill>
                            <a:srgbClr val="4F81BD"/>
                          </a:solidFill>
                          <a:ln w="25400" cap="flat" cmpd="sng" algn="ctr">
                            <a:solidFill>
                              <a:srgbClr val="4F81BD">
                                <a:shade val="50000"/>
                              </a:srgbClr>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8" name="Freeform 58"/>
                        <wps:cNvSpPr/>
                        <wps:spPr>
                          <a:xfrm>
                            <a:off x="1026597" y="291010"/>
                            <a:ext cx="656348" cy="521712"/>
                          </a:xfrm>
                          <a:custGeom>
                            <a:avLst/>
                            <a:gdLst>
                              <a:gd name="connsiteX0" fmla="*/ 0 w 656348"/>
                              <a:gd name="connsiteY0" fmla="*/ 0 h 521712"/>
                              <a:gd name="connsiteX1" fmla="*/ 252441 w 656348"/>
                              <a:gd name="connsiteY1" fmla="*/ 297320 h 521712"/>
                              <a:gd name="connsiteX2" fmla="*/ 656348 w 656348"/>
                              <a:gd name="connsiteY2" fmla="*/ 521712 h 521712"/>
                              <a:gd name="connsiteX3" fmla="*/ 656348 w 656348"/>
                              <a:gd name="connsiteY3" fmla="*/ 521712 h 521712"/>
                            </a:gdLst>
                            <a:ahLst/>
                            <a:cxnLst>
                              <a:cxn ang="0">
                                <a:pos x="connsiteX0" y="connsiteY0"/>
                              </a:cxn>
                              <a:cxn ang="0">
                                <a:pos x="connsiteX1" y="connsiteY1"/>
                              </a:cxn>
                              <a:cxn ang="0">
                                <a:pos x="connsiteX2" y="connsiteY2"/>
                              </a:cxn>
                              <a:cxn ang="0">
                                <a:pos x="connsiteX3" y="connsiteY3"/>
                              </a:cxn>
                            </a:cxnLst>
                            <a:rect l="l" t="t" r="r" b="b"/>
                            <a:pathLst>
                              <a:path w="656348" h="521712">
                                <a:moveTo>
                                  <a:pt x="0" y="0"/>
                                </a:moveTo>
                                <a:cubicBezTo>
                                  <a:pt x="71525" y="105184"/>
                                  <a:pt x="143050" y="210368"/>
                                  <a:pt x="252441" y="297320"/>
                                </a:cubicBezTo>
                                <a:cubicBezTo>
                                  <a:pt x="361832" y="384272"/>
                                  <a:pt x="656348" y="521712"/>
                                  <a:pt x="656348" y="521712"/>
                                </a:cubicBezTo>
                                <a:lnTo>
                                  <a:pt x="656348" y="521712"/>
                                </a:lnTo>
                              </a:path>
                            </a:pathLst>
                          </a:custGeom>
                          <a:noFill/>
                          <a:ln w="12700" cap="flat" cmpd="sng" algn="ctr">
                            <a:solidFill>
                              <a:srgbClr val="92D050"/>
                            </a:solidFill>
                            <a:prstDash val="dash"/>
                            <a:tailEnd type="triangle"/>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Freeform 59"/>
                        <wps:cNvSpPr/>
                        <wps:spPr>
                          <a:xfrm>
                            <a:off x="140335" y="2505920"/>
                            <a:ext cx="139700" cy="0"/>
                          </a:xfrm>
                          <a:custGeom>
                            <a:avLst/>
                            <a:gdLst>
                              <a:gd name="connsiteX0" fmla="*/ 0 w 140246"/>
                              <a:gd name="connsiteY0" fmla="*/ 0 h 0"/>
                              <a:gd name="connsiteX1" fmla="*/ 140246 w 140246"/>
                              <a:gd name="connsiteY1" fmla="*/ 0 h 0"/>
                              <a:gd name="connsiteX2" fmla="*/ 140246 w 140246"/>
                              <a:gd name="connsiteY2" fmla="*/ 0 h 0"/>
                            </a:gdLst>
                            <a:ahLst/>
                            <a:cxnLst>
                              <a:cxn ang="0">
                                <a:pos x="connsiteX0" y="connsiteY0"/>
                              </a:cxn>
                              <a:cxn ang="0">
                                <a:pos x="connsiteX1" y="connsiteY1"/>
                              </a:cxn>
                              <a:cxn ang="0">
                                <a:pos x="connsiteX2" y="connsiteY2"/>
                              </a:cxn>
                            </a:cxnLst>
                            <a:rect l="l" t="t" r="r" b="b"/>
                            <a:pathLst>
                              <a:path w="140246">
                                <a:moveTo>
                                  <a:pt x="0" y="0"/>
                                </a:moveTo>
                                <a:lnTo>
                                  <a:pt x="140246" y="0"/>
                                </a:lnTo>
                                <a:lnTo>
                                  <a:pt x="140246" y="0"/>
                                </a:lnTo>
                              </a:path>
                            </a:pathLst>
                          </a:custGeom>
                          <a:noFill/>
                          <a:ln w="12700" cap="flat" cmpd="sng" algn="ctr">
                            <a:solidFill>
                              <a:srgbClr val="92D050"/>
                            </a:solidFill>
                            <a:prstDash val="dash"/>
                            <a:tailEnd type="triangle"/>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60" name="Text Box 50"/>
                        <wps:cNvSpPr txBox="1"/>
                        <wps:spPr>
                          <a:xfrm>
                            <a:off x="280035" y="2385375"/>
                            <a:ext cx="1332865" cy="245745"/>
                          </a:xfrm>
                          <a:prstGeom prst="rect">
                            <a:avLst/>
                          </a:prstGeom>
                          <a:noFill/>
                          <a:ln w="6350">
                            <a:noFill/>
                          </a:ln>
                          <a:effectLst/>
                        </wps:spPr>
                        <wps:txbx>
                          <w:txbxContent>
                            <w:p w:rsidR="00656C6A" w:rsidRPr="00244155" w:rsidRDefault="00656C6A" w:rsidP="00656C6A">
                              <w:pPr>
                                <w:pStyle w:val="NormalWeb"/>
                                <w:rPr>
                                  <w:sz w:val="21"/>
                                </w:rPr>
                              </w:pPr>
                              <w:r w:rsidRPr="0034139E">
                                <w:rPr>
                                  <w:rFonts w:ascii="SimSun" w:hAnsi="SimSun" w:cs="Arial" w:hint="eastAsia"/>
                                  <w:sz w:val="18"/>
                                  <w:szCs w:val="18"/>
                                </w:rPr>
                                <w:t>可能需要对比不同版本</w:t>
                              </w:r>
                            </w:p>
                          </w:txbxContent>
                        </wps:txbx>
                        <wps:bodyPr rot="0" spcFirstLastPara="0" vert="horz" wrap="none" lIns="91440" tIns="45720" rIns="91440" bIns="45720" numCol="1" spcCol="0" rtlCol="0" fromWordArt="0" anchor="t" anchorCtr="0" forceAA="0" compatLnSpc="1">
                          <a:prstTxWarp prst="textNoShape">
                            <a:avLst/>
                          </a:prstTxWarp>
                          <a:spAutoFit/>
                        </wps:bodyPr>
                      </wps:wsp>
                      <wps:wsp>
                        <wps:cNvPr id="61" name="Freeform 61"/>
                        <wps:cNvSpPr/>
                        <wps:spPr>
                          <a:xfrm>
                            <a:off x="1041581" y="314312"/>
                            <a:ext cx="2781754" cy="1174128"/>
                          </a:xfrm>
                          <a:custGeom>
                            <a:avLst/>
                            <a:gdLst>
                              <a:gd name="connsiteX0" fmla="*/ 0 w 656348"/>
                              <a:gd name="connsiteY0" fmla="*/ 0 h 521712"/>
                              <a:gd name="connsiteX1" fmla="*/ 252441 w 656348"/>
                              <a:gd name="connsiteY1" fmla="*/ 297320 h 521712"/>
                              <a:gd name="connsiteX2" fmla="*/ 656348 w 656348"/>
                              <a:gd name="connsiteY2" fmla="*/ 521712 h 521712"/>
                              <a:gd name="connsiteX3" fmla="*/ 656348 w 656348"/>
                              <a:gd name="connsiteY3" fmla="*/ 521712 h 521712"/>
                            </a:gdLst>
                            <a:ahLst/>
                            <a:cxnLst>
                              <a:cxn ang="0">
                                <a:pos x="connsiteX0" y="connsiteY0"/>
                              </a:cxn>
                              <a:cxn ang="0">
                                <a:pos x="connsiteX1" y="connsiteY1"/>
                              </a:cxn>
                              <a:cxn ang="0">
                                <a:pos x="connsiteX2" y="connsiteY2"/>
                              </a:cxn>
                              <a:cxn ang="0">
                                <a:pos x="connsiteX3" y="connsiteY3"/>
                              </a:cxn>
                            </a:cxnLst>
                            <a:rect l="l" t="t" r="r" b="b"/>
                            <a:pathLst>
                              <a:path w="656348" h="521712">
                                <a:moveTo>
                                  <a:pt x="0" y="0"/>
                                </a:moveTo>
                                <a:cubicBezTo>
                                  <a:pt x="71525" y="105184"/>
                                  <a:pt x="143050" y="210368"/>
                                  <a:pt x="252441" y="297320"/>
                                </a:cubicBezTo>
                                <a:cubicBezTo>
                                  <a:pt x="361832" y="384272"/>
                                  <a:pt x="656348" y="521712"/>
                                  <a:pt x="656348" y="521712"/>
                                </a:cubicBezTo>
                                <a:lnTo>
                                  <a:pt x="656348" y="521712"/>
                                </a:lnTo>
                              </a:path>
                            </a:pathLst>
                          </a:custGeom>
                          <a:noFill/>
                          <a:ln w="12700" cap="flat" cmpd="sng" algn="ctr">
                            <a:solidFill>
                              <a:srgbClr val="92D050"/>
                            </a:solidFill>
                            <a:prstDash val="dash"/>
                            <a:tailEnd type="triangle"/>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63" name="Freeform 63"/>
                        <wps:cNvSpPr/>
                        <wps:spPr>
                          <a:xfrm>
                            <a:off x="1783922" y="902480"/>
                            <a:ext cx="1273428" cy="232572"/>
                          </a:xfrm>
                          <a:custGeom>
                            <a:avLst/>
                            <a:gdLst>
                              <a:gd name="connsiteX0" fmla="*/ 0 w 1273428"/>
                              <a:gd name="connsiteY0" fmla="*/ 0 h 286118"/>
                              <a:gd name="connsiteX1" fmla="*/ 813423 w 1273428"/>
                              <a:gd name="connsiteY1" fmla="*/ 286100 h 286118"/>
                              <a:gd name="connsiteX2" fmla="*/ 1273428 w 1273428"/>
                              <a:gd name="connsiteY2" fmla="*/ 11219 h 286118"/>
                              <a:gd name="connsiteX0" fmla="*/ 0 w 1273428"/>
                              <a:gd name="connsiteY0" fmla="*/ 0 h 232572"/>
                              <a:gd name="connsiteX1" fmla="*/ 564733 w 1273428"/>
                              <a:gd name="connsiteY1" fmla="*/ 232542 h 232572"/>
                              <a:gd name="connsiteX2" fmla="*/ 1273428 w 1273428"/>
                              <a:gd name="connsiteY2" fmla="*/ 11219 h 232572"/>
                              <a:gd name="connsiteX0" fmla="*/ 0 w 1273428"/>
                              <a:gd name="connsiteY0" fmla="*/ 0 h 232572"/>
                              <a:gd name="connsiteX1" fmla="*/ 564733 w 1273428"/>
                              <a:gd name="connsiteY1" fmla="*/ 232542 h 232572"/>
                              <a:gd name="connsiteX2" fmla="*/ 1273428 w 1273428"/>
                              <a:gd name="connsiteY2" fmla="*/ 11219 h 232572"/>
                            </a:gdLst>
                            <a:ahLst/>
                            <a:cxnLst>
                              <a:cxn ang="0">
                                <a:pos x="connsiteX0" y="connsiteY0"/>
                              </a:cxn>
                              <a:cxn ang="0">
                                <a:pos x="connsiteX1" y="connsiteY1"/>
                              </a:cxn>
                              <a:cxn ang="0">
                                <a:pos x="connsiteX2" y="connsiteY2"/>
                              </a:cxn>
                            </a:cxnLst>
                            <a:rect l="l" t="t" r="r" b="b"/>
                            <a:pathLst>
                              <a:path w="1273428" h="232572">
                                <a:moveTo>
                                  <a:pt x="0" y="0"/>
                                </a:moveTo>
                                <a:cubicBezTo>
                                  <a:pt x="222054" y="125286"/>
                                  <a:pt x="352495" y="230672"/>
                                  <a:pt x="564733" y="232542"/>
                                </a:cubicBezTo>
                                <a:cubicBezTo>
                                  <a:pt x="776971" y="234412"/>
                                  <a:pt x="1149544" y="149594"/>
                                  <a:pt x="1273428" y="11219"/>
                                </a:cubicBezTo>
                              </a:path>
                            </a:pathLst>
                          </a:custGeom>
                          <a:noFill/>
                          <a:ln w="12700" cap="flat" cmpd="sng" algn="ctr">
                            <a:solidFill>
                              <a:srgbClr val="92D050"/>
                            </a:solidFill>
                            <a:prstDash val="dash"/>
                            <a:tailEnd type="triangle"/>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 name="Freeform 64"/>
                        <wps:cNvSpPr/>
                        <wps:spPr>
                          <a:xfrm>
                            <a:off x="1348818" y="235692"/>
                            <a:ext cx="3370186" cy="1207456"/>
                          </a:xfrm>
                          <a:custGeom>
                            <a:avLst/>
                            <a:gdLst>
                              <a:gd name="connsiteX0" fmla="*/ 0 w 759125"/>
                              <a:gd name="connsiteY0" fmla="*/ 0 h 595222"/>
                              <a:gd name="connsiteX1" fmla="*/ 560717 w 759125"/>
                              <a:gd name="connsiteY1" fmla="*/ 207034 h 595222"/>
                              <a:gd name="connsiteX2" fmla="*/ 759125 w 759125"/>
                              <a:gd name="connsiteY2" fmla="*/ 595222 h 595222"/>
                              <a:gd name="connsiteX0" fmla="*/ 0 w 759125"/>
                              <a:gd name="connsiteY0" fmla="*/ 0 h 595222"/>
                              <a:gd name="connsiteX1" fmla="*/ 553924 w 759125"/>
                              <a:gd name="connsiteY1" fmla="*/ 328187 h 595222"/>
                              <a:gd name="connsiteX2" fmla="*/ 759125 w 759125"/>
                              <a:gd name="connsiteY2" fmla="*/ 595222 h 595222"/>
                              <a:gd name="connsiteX0" fmla="*/ 0 w 766952"/>
                              <a:gd name="connsiteY0" fmla="*/ 0 h 595222"/>
                              <a:gd name="connsiteX1" fmla="*/ 677744 w 766952"/>
                              <a:gd name="connsiteY1" fmla="*/ 195900 h 595222"/>
                              <a:gd name="connsiteX2" fmla="*/ 759125 w 766952"/>
                              <a:gd name="connsiteY2" fmla="*/ 595222 h 595222"/>
                              <a:gd name="connsiteX0" fmla="*/ 0 w 759125"/>
                              <a:gd name="connsiteY0" fmla="*/ 0 h 595222"/>
                              <a:gd name="connsiteX1" fmla="*/ 610677 w 759125"/>
                              <a:gd name="connsiteY1" fmla="*/ 100004 h 595222"/>
                              <a:gd name="connsiteX2" fmla="*/ 759125 w 759125"/>
                              <a:gd name="connsiteY2" fmla="*/ 595222 h 595222"/>
                              <a:gd name="connsiteX0" fmla="*/ 0 w 759125"/>
                              <a:gd name="connsiteY0" fmla="*/ 0 h 595222"/>
                              <a:gd name="connsiteX1" fmla="*/ 610677 w 759125"/>
                              <a:gd name="connsiteY1" fmla="*/ 100004 h 595222"/>
                              <a:gd name="connsiteX2" fmla="*/ 759125 w 759125"/>
                              <a:gd name="connsiteY2" fmla="*/ 595222 h 595222"/>
                              <a:gd name="connsiteX0" fmla="*/ 0 w 759125"/>
                              <a:gd name="connsiteY0" fmla="*/ 0 h 603360"/>
                              <a:gd name="connsiteX1" fmla="*/ 610677 w 759125"/>
                              <a:gd name="connsiteY1" fmla="*/ 108142 h 603360"/>
                              <a:gd name="connsiteX2" fmla="*/ 759125 w 759125"/>
                              <a:gd name="connsiteY2" fmla="*/ 603360 h 603360"/>
                              <a:gd name="connsiteX0" fmla="*/ 0 w 772918"/>
                              <a:gd name="connsiteY0" fmla="*/ 0 h 603360"/>
                              <a:gd name="connsiteX1" fmla="*/ 691717 w 772918"/>
                              <a:gd name="connsiteY1" fmla="*/ 108142 h 603360"/>
                              <a:gd name="connsiteX2" fmla="*/ 759125 w 772918"/>
                              <a:gd name="connsiteY2" fmla="*/ 603360 h 603360"/>
                              <a:gd name="connsiteX0" fmla="*/ 0 w 780813"/>
                              <a:gd name="connsiteY0" fmla="*/ 0 h 603360"/>
                              <a:gd name="connsiteX1" fmla="*/ 691717 w 780813"/>
                              <a:gd name="connsiteY1" fmla="*/ 108142 h 603360"/>
                              <a:gd name="connsiteX2" fmla="*/ 772918 w 780813"/>
                              <a:gd name="connsiteY2" fmla="*/ 603360 h 603360"/>
                              <a:gd name="connsiteX0" fmla="*/ 0 w 824773"/>
                              <a:gd name="connsiteY0" fmla="*/ 0 h 603360"/>
                              <a:gd name="connsiteX1" fmla="*/ 766952 w 824773"/>
                              <a:gd name="connsiteY1" fmla="*/ 145775 h 603360"/>
                              <a:gd name="connsiteX2" fmla="*/ 772918 w 824773"/>
                              <a:gd name="connsiteY2" fmla="*/ 603360 h 603360"/>
                              <a:gd name="connsiteX0" fmla="*/ 0 w 823183"/>
                              <a:gd name="connsiteY0" fmla="*/ 0 h 606513"/>
                              <a:gd name="connsiteX1" fmla="*/ 766952 w 823183"/>
                              <a:gd name="connsiteY1" fmla="*/ 145775 h 606513"/>
                              <a:gd name="connsiteX2" fmla="*/ 766952 w 823183"/>
                              <a:gd name="connsiteY2" fmla="*/ 606513 h 606513"/>
                              <a:gd name="connsiteX0" fmla="*/ 0 w 789395"/>
                              <a:gd name="connsiteY0" fmla="*/ 0 h 606513"/>
                              <a:gd name="connsiteX1" fmla="*/ 716093 w 789395"/>
                              <a:gd name="connsiteY1" fmla="*/ 222085 h 606513"/>
                              <a:gd name="connsiteX2" fmla="*/ 766952 w 789395"/>
                              <a:gd name="connsiteY2" fmla="*/ 606513 h 606513"/>
                            </a:gdLst>
                            <a:ahLst/>
                            <a:cxnLst>
                              <a:cxn ang="0">
                                <a:pos x="connsiteX0" y="connsiteY0"/>
                              </a:cxn>
                              <a:cxn ang="0">
                                <a:pos x="connsiteX1" y="connsiteY1"/>
                              </a:cxn>
                              <a:cxn ang="0">
                                <a:pos x="connsiteX2" y="connsiteY2"/>
                              </a:cxn>
                            </a:cxnLst>
                            <a:rect l="l" t="t" r="r" b="b"/>
                            <a:pathLst>
                              <a:path w="789395" h="606513">
                                <a:moveTo>
                                  <a:pt x="0" y="0"/>
                                </a:moveTo>
                                <a:cubicBezTo>
                                  <a:pt x="224733" y="15128"/>
                                  <a:pt x="589572" y="122881"/>
                                  <a:pt x="716093" y="222085"/>
                                </a:cubicBezTo>
                                <a:cubicBezTo>
                                  <a:pt x="842614" y="321289"/>
                                  <a:pt x="766952" y="606513"/>
                                  <a:pt x="766952" y="606513"/>
                                </a:cubicBezTo>
                              </a:path>
                            </a:pathLst>
                          </a:custGeom>
                          <a:noFill/>
                          <a:ln w="25400" cap="flat" cmpd="sng" algn="ctr">
                            <a:solidFill>
                              <a:srgbClr val="F79646"/>
                            </a:solidFill>
                            <a:prstDash val="solid"/>
                            <a:tailEnd type="triangle"/>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65" name="Text Box 50"/>
                        <wps:cNvSpPr txBox="1"/>
                        <wps:spPr>
                          <a:xfrm>
                            <a:off x="51435" y="1373505"/>
                            <a:ext cx="419100" cy="245745"/>
                          </a:xfrm>
                          <a:prstGeom prst="rect">
                            <a:avLst/>
                          </a:prstGeom>
                          <a:noFill/>
                          <a:ln w="6350">
                            <a:noFill/>
                          </a:ln>
                          <a:effectLst/>
                        </wps:spPr>
                        <wps:txbx>
                          <w:txbxContent>
                            <w:p w:rsidR="00656C6A" w:rsidRPr="00244155" w:rsidRDefault="00656C6A" w:rsidP="00656C6A">
                              <w:pPr>
                                <w:pStyle w:val="NormalWeb"/>
                                <w:rPr>
                                  <w:b/>
                                  <w:sz w:val="21"/>
                                </w:rPr>
                              </w:pPr>
                              <w:r w:rsidRPr="0034139E">
                                <w:rPr>
                                  <w:rFonts w:ascii="SimSun" w:hAnsi="SimSun" w:cs="Arial" w:hint="eastAsia"/>
                                  <w:b/>
                                  <w:sz w:val="18"/>
                                  <w:szCs w:val="18"/>
                                </w:rPr>
                                <w:t>图例</w:t>
                              </w:r>
                            </w:p>
                          </w:txbxContent>
                        </wps:txbx>
                        <wps:bodyPr rot="0" spcFirstLastPara="0" vert="horz" wrap="none" lIns="91440" tIns="45720" rIns="91440" bIns="45720" numCol="1" spcCol="0" rtlCol="0" fromWordArt="0" anchor="t" anchorCtr="0" forceAA="0" compatLnSpc="1">
                          <a:prstTxWarp prst="textNoShape">
                            <a:avLst/>
                          </a:prstTxWarp>
                          <a:spAutoFit/>
                        </wps:bodyPr>
                      </wps:wsp>
                    </wpc:wpc>
                  </a:graphicData>
                </a:graphic>
              </wp:inline>
            </w:drawing>
          </mc:Choice>
          <mc:Fallback>
            <w:pict>
              <v:group id="Canvas 3" o:spid="_x0000_s1026" editas="canvas" style="width:671.8pt;height:221pt;mso-position-horizontal-relative:char;mso-position-vertical-relative:line" coordsize="85318,280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85318;height:28067;visibility:visible;mso-wrap-style:square">
                  <v:fill o:detectmouseclick="t"/>
                  <v:path o:connecttype="none"/>
                </v:shape>
                <v:shape id="Freeform 62" o:spid="_x0000_s1028" style="position:absolute;left:10193;top:2667;width:29269;height:18176;visibility:visible;mso-wrap-style:square;v-text-anchor:middle" coordsize="656348,5217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LTWcIA&#10;AADbAAAADwAAAGRycy9kb3ducmV2LnhtbESPzYoCMRCE78K+Q+iFvWnGOYiMRhFZWXcP/j9AM2kn&#10;g5POkESdfXsjCB6LqvqKms4724gb+VA7VjAcZCCIS6drrhScjqv+GESIyBobx6TgnwLMZx+9KRba&#10;3XlPt0OsRIJwKFCBibEtpAylIYth4Fri5J2dtxiT9JXUHu8JbhuZZ9lIWqw5LRhsaWmovByuVsGx&#10;8u3Pd5mv/N9uYX7DptlttkOlvj67xQREpC6+w6/2WisY5fD8kn6An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AtNZwgAAANsAAAAPAAAAAAAAAAAAAAAAAJgCAABkcnMvZG93&#10;bnJldi54bWxQSwUGAAAAAAQABAD1AAAAhwMAAAAA&#10;" path="m,c71525,105184,143050,210368,252441,297320v109391,86952,403907,224392,403907,224392l656348,521712e" filled="f" strokecolor="#92d050" strokeweight="1pt">
                  <v:stroke dashstyle="dash" endarrow="block"/>
                  <v:path arrowok="t" o:connecttype="custom" o:connectlocs="0,0;1125734,1035844;2926914,1817611;2926914,1817611" o:connectangles="0,0,0,0"/>
                </v:shape>
                <v:shape id="Freeform 46" o:spid="_x0000_s1029" style="position:absolute;left:21878;top:5883;width:12229;height:2356;visibility:visible;mso-wrap-style:square;v-text-anchor:middle" coordsize="1222939,235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S2SMMA&#10;AADbAAAADwAAAGRycy9kb3ducmV2LnhtbESPQYvCMBSE78L+h/AWvNl0RVSqUWRRUIQF7V729mye&#10;bbV5qU3U+u/NguBxmJlvmOm8NZW4UeNKywq+ohgEcWZ1ybmC33TVG4NwHlljZZkUPMjBfPbRmWKi&#10;7Z13dNv7XAQIuwQVFN7XiZQuK8igi2xNHLyjbQz6IJtc6gbvAW4q2Y/joTRYclgosKbvgrLz/moU&#10;4Kg6LNORzU5bT5fjz+IvTs1Gqe5nu5iA8NT6d/jVXmsFgyH8fwk/QM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xS2SMMAAADbAAAADwAAAAAAAAAAAAAAAACYAgAAZHJzL2Rv&#10;d25yZXYueG1sUEsFBgAAAAAEAAQA9QAAAIgDAAAAAA==&#10;" path="m,235612c209433,117806,418866,,622689,v203823,,402036,117806,600250,235612e" filled="f" strokecolor="#f79646" strokeweight="2pt">
                  <v:stroke endarrow="block"/>
                  <v:path arrowok="t" o:connecttype="custom" o:connectlocs="0,235612;622689,0;1222939,235612" o:connectangles="0,0,0"/>
                </v:shape>
                <v:shapetype id="_x0000_t202" coordsize="21600,21600" o:spt="202" path="m,l,21600r21600,l21600,xe">
                  <v:stroke joinstyle="miter"/>
                  <v:path gradientshapeok="t" o:connecttype="rect"/>
                </v:shapetype>
                <v:shape id="Text Box 19" o:spid="_x0000_s1030" type="#_x0000_t202" style="position:absolute;left:25832;top:13633;width:8230;height:270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pkBMQA&#10;AADbAAAADwAAAGRycy9kb3ducmV2LnhtbESPQWvCQBSE7wX/w/KE3upGA6WkrkECiiAeaqW9vmaf&#10;SUj27ZJdk9Rf3y0Uehxm5htmnU+mEwP1vrGsYLlIQBCXVjdcKbi8755eQPiArLGzTAq+yUO+mT2s&#10;MdN25DcazqESEcI+QwV1CC6T0pc1GfQL64ijd7W9wRBlX0nd4xjhppOrJHmWBhuOCzU6Kmoq2/PN&#10;KDjhxz4MU1vuW3fVn8Z9Fen9qNTjfNq+ggg0hf/wX/ugFaxS+P0Sf4Dc/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aZATEAAAA2wAAAA8AAAAAAAAAAAAAAAAAmAIAAGRycy9k&#10;b3ducmV2LnhtbFBLBQYAAAAABAAEAPUAAACJAwAAAAA=&#10;" filled="f" stroked="f" strokeweight=".5pt">
                  <v:textbox style="mso-fit-shape-to-text:t">
                    <w:txbxContent>
                      <w:p w:rsidR="00656C6A" w:rsidRPr="00656C6A" w:rsidRDefault="00656C6A" w:rsidP="00656C6A">
                        <w:pPr>
                          <w:pStyle w:val="af7"/>
                          <w:rPr>
                            <w:rFonts w:ascii="KaiTi" w:eastAsia="KaiTi" w:hAnsi="KaiTi"/>
                            <w:sz w:val="21"/>
                          </w:rPr>
                        </w:pPr>
                        <w:r w:rsidRPr="00656C6A">
                          <w:rPr>
                            <w:rFonts w:ascii="KaiTi" w:eastAsia="KaiTi" w:hAnsi="KaiTi" w:cs="Arial" w:hint="eastAsia"/>
                            <w:sz w:val="21"/>
                            <w:szCs w:val="22"/>
                          </w:rPr>
                          <w:t>国家阶段</w:t>
                        </w:r>
                        <w:r w:rsidRPr="00656C6A">
                          <w:rPr>
                            <w:rFonts w:ascii="KaiTi" w:eastAsia="KaiTi" w:hAnsi="KaiTi" w:cs="Arial"/>
                            <w:sz w:val="21"/>
                            <w:szCs w:val="22"/>
                          </w:rPr>
                          <w:t>1</w:t>
                        </w:r>
                      </w:p>
                    </w:txbxContent>
                  </v:textbox>
                </v:shape>
                <v:shape id="Freeform 37" o:spid="_x0000_s1031" style="position:absolute;left:31061;top:8547;width:7902;height:6337;visibility:visible;mso-wrap-style:square;v-text-anchor:middle" coordsize="759125,595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0678QA&#10;AADbAAAADwAAAGRycy9kb3ducmV2LnhtbESPQWvCQBSE7wX/w/KEXkrdqNDa6BqkEBBvtVHo7bH7&#10;mg1m34bs1qT/3hUKPQ4z8w2zKUbXiiv1ofGsYD7LQBBrbxquFVSf5fMKRIjIBlvPpOCXAhTbycMG&#10;c+MH/qDrMdYiQTjkqMDG2OVSBm3JYZj5jjh53753GJPsa2l6HBLctXKRZS/SYcNpwWJH75b05fjj&#10;FOiuXDx9nd6QK21XZ+2z/WGolHqcjrs1iEhj/A//tfdGwfIV7l/SD5Db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dOu/EAAAA2wAAAA8AAAAAAAAAAAAAAAAAmAIAAGRycy9k&#10;b3ducmV2LnhtbFBLBQYAAAAABAAEAPUAAACJAwAAAAA=&#10;" path="m,c217098,53915,359405,163788,485926,262992v126521,99204,273199,332230,273199,332230e" filled="f" strokecolor="#385d8a" strokeweight="2pt">
                  <v:stroke endarrow="block"/>
                  <v:path arrowok="t" o:connecttype="custom" o:connectlocs="0,0;505832,279975;790222,633658" o:connectangles="0,0,0"/>
                </v:shape>
                <v:shape id="Text Box 19" o:spid="_x0000_s1032" type="#_x0000_t202" style="position:absolute;left:686;top:7124;width:7233;height:270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j6c78A&#10;AADbAAAADwAAAGRycy9kb3ducmV2LnhtbERPy4rCMBTdD/gP4QruxlQFkWoUERRBXPhAt9fm2pY2&#10;N6GJtc7XTxYDszyc92LVmVq01PjSsoLRMAFBnFldcq7getl+z0D4gKyxtkwKPuRhtex9LTDV9s0n&#10;as8hFzGEfYoKihBcKqXPCjLoh9YRR+5pG4MhwiaXusF3DDe1HCfJVBosOTYU6GhTUFadX0bBEW+7&#10;0HZVtqvcU9+Ne2wmPwelBv1uPQcRqAv/4j/3XisYx/XxS/wBcvk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xCPpzvwAAANsAAAAPAAAAAAAAAAAAAAAAAJgCAABkcnMvZG93bnJl&#10;di54bWxQSwUGAAAAAAQABAD1AAAAhAMAAAAA&#10;" filled="f" stroked="f" strokeweight=".5pt">
                  <v:textbox style="mso-fit-shape-to-text:t">
                    <w:txbxContent>
                      <w:p w:rsidR="00656C6A" w:rsidRPr="00656C6A" w:rsidRDefault="00656C6A" w:rsidP="00656C6A">
                        <w:pPr>
                          <w:pStyle w:val="af7"/>
                          <w:rPr>
                            <w:rFonts w:ascii="KaiTi" w:eastAsia="KaiTi" w:hAnsi="KaiTi"/>
                            <w:sz w:val="21"/>
                          </w:rPr>
                        </w:pPr>
                        <w:r w:rsidRPr="00656C6A">
                          <w:rPr>
                            <w:rFonts w:ascii="KaiTi" w:eastAsia="KaiTi" w:hAnsi="KaiTi" w:cs="Arial" w:hint="eastAsia"/>
                            <w:sz w:val="21"/>
                            <w:szCs w:val="22"/>
                          </w:rPr>
                          <w:t>国际申请</w:t>
                        </w:r>
                      </w:p>
                    </w:txbxContent>
                  </v:textbox>
                </v:shape>
                <v:shape id="Freeform 36" o:spid="_x0000_s1033" style="position:absolute;left:10006;top:2350;width:7591;height:5952;visibility:visible;mso-wrap-style:square;v-text-anchor:middle" coordsize="759125,595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GfdMMA&#10;AADbAAAADwAAAGRycy9kb3ducmV2LnhtbESPwWrDMBBE74H+g9hCLyGRm0BwHcuhFAKht6ROoLdF&#10;2lgm1spYauz+fVUo9DjMzBum3E2uE3caQutZwfMyA0GsvWm5UVB/7Bc5iBCRDXaeScE3BdhVD7MS&#10;C+NHPtL9FBuRIBwKVGBj7Aspg7bkMCx9T5y8qx8cxiSHRpoBxwR3nVxl2UY6bDktWOzpzZK+nb6c&#10;At3vV/PP8wtyrW1+0T47vI+1Uk+P0+sWRKQp/of/2gejYL2B3y/pB8j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1GfdMMAAADbAAAADwAAAAAAAAAAAAAAAACYAgAAZHJzL2Rv&#10;d25yZXYueG1sUEsFBgAAAAAEAAQA9QAAAIgDAAAAAA==&#10;" path="m,c217098,53915,427403,228983,553924,328187v126521,99204,205201,267035,205201,267035e" filled="f" strokecolor="#385d8a" strokeweight="2pt">
                  <v:stroke endarrow="block"/>
                  <v:path arrowok="t" o:connecttype="custom" o:connectlocs="0,0;553924,328187;759125,595222" o:connectangles="0,0,0"/>
                </v:shape>
                <v:shapetype id="_x0000_t32" coordsize="21600,21600" o:spt="32" o:oned="t" path="m,l21600,21600e" filled="f">
                  <v:path arrowok="t" fillok="f" o:connecttype="none"/>
                  <o:lock v:ext="edit" shapetype="t"/>
                </v:shapetype>
                <v:shape id="Straight Arrow Connector 5" o:spid="_x0000_s1034" type="#_x0000_t32" style="position:absolute;left:10065;top:2311;width:681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86i9MYAAADaAAAADwAAAGRycy9kb3ducmV2LnhtbESPT2vCQBTE7wW/w/KE3uqmYoukbkKV&#10;CrlU8E+gx2f2mYRk36bZrab99F1B8DjMzG+YRTqYVpypd7VlBc+TCARxYXXNpYLDfv00B+E8ssbW&#10;Min4JQdpMnpYYKzthbd03vlSBAi7GBVU3nexlK6oyKCb2I44eCfbG/RB9qXUPV4C3LRyGkWv0mDN&#10;YaHCjlYVFc3uxyhYZZ9ZtlzPm80x/2o+zN/sO9/OlHocD+9vIDwN/h6+tTOt4AWuV8INkMk/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POovTGAAAA2gAAAA8AAAAAAAAA&#10;AAAAAAAAoQIAAGRycy9kb3ducmV2LnhtbFBLBQYAAAAABAAEAPkAAACUAwAAAAA=&#10;" strokecolor="#4a7ebb">
                  <v:stroke endarrow="open"/>
                </v:shape>
                <v:shape id="Straight Arrow Connector 6" o:spid="_x0000_s1035" type="#_x0000_t32" style="position:absolute;left:17397;top:8349;width:2156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w8g8UAAADaAAAADwAAAGRycy9kb3ducmV2LnhtbESPQWvCQBSE74X+h+UVetNNRUJIXaUV&#10;hVwqJCr0+Mw+k5Ds2zS71dRf3y0IPQ4z8w2zWI2mExcaXGNZwcs0AkFcWt1wpeCw304SEM4ja+ws&#10;k4IfcrBaPj4sMNX2yjldCl+JAGGXooLa+z6V0pU1GXRT2xMH72wHgz7IoZJ6wGuAm07OoiiWBhsO&#10;CzX2tK6pbItvo2CdfWTZ+zZpd6fjZ7sxt/nXMZ8r9fw0vr2C8DT6//C9nWkFMfxdCTdAL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xw8g8UAAADaAAAADwAAAAAAAAAA&#10;AAAAAAChAgAAZHJzL2Rvd25yZXYueG1sUEsFBgAAAAAEAAQA+QAAAJMDAAAAAA==&#10;" strokecolor="#4a7ebb">
                  <v:stroke endarrow="open"/>
                </v:shape>
                <v:shape id="Straight Arrow Connector 7" o:spid="_x0000_s1036" type="#_x0000_t32" style="position:absolute;left:38963;top:14884;width:1095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CZGMYAAADaAAAADwAAAGRycy9kb3ducmV2LnhtbESPT2vCQBTE7wW/w/KE3uqmIq2kbkKV&#10;CrlU8E+gx2f2mYRk36bZrab99F1B8DjMzG+YRTqYVpypd7VlBc+TCARxYXXNpYLDfv00B+E8ssbW&#10;Min4JQdpMnpYYKzthbd03vlSBAi7GBVU3nexlK6oyKCb2I44eCfbG/RB9qXUPV4C3LRyGkUv0mDN&#10;YaHCjlYVFc3uxyhYZZ9ZtlzPm80x/2o+zN/sO9/OlHocD+9vIDwN/h6+tTOt4BWuV8INkMk/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xQmRjGAAAA2gAAAA8AAAAAAAAA&#10;AAAAAAAAoQIAAGRycy9kb3ducmV2LnhtbFBLBQYAAAAABAAEAPkAAACUAwAAAAA=&#10;" strokecolor="#4a7ebb">
                  <v:stroke endarrow="open"/>
                </v:shape>
                <v:shape id="Straight Arrow Connector 8" o:spid="_x0000_s1037" type="#_x0000_t32" style="position:absolute;left:40487;top:21260;width:943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c8NasIAAADaAAAADwAAAGRycy9kb3ducmV2LnhtbERPTWvCQBC9F/wPyxR6001LKJK6ikqF&#10;XCzEVuhxzI5JSHY2ZrdJ9Ne7B6HHx/terEbTiJ46V1lW8DqLQBDnVldcKPj53k3nIJxH1thYJgVX&#10;crBaTp4WmGg7cEb9wRcihLBLUEHpfZtI6fKSDLqZbYkDd7adQR9gV0jd4RDCTSPfouhdGqw4NJTY&#10;0rakvD78GQXbdJ+mm928/jodf+tPc4svxyxW6uV5XH+A8DT6f/HDnWoFYWu4Em6AX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c8NasIAAADaAAAADwAAAAAAAAAAAAAA&#10;AAChAgAAZHJzL2Rvd25yZXYueG1sUEsFBgAAAAAEAAQA+QAAAJADAAAAAA==&#10;" strokecolor="#4a7ebb">
                  <v:stroke endarrow="open"/>
                </v:shape>
                <v:oval id="Oval 9" o:spid="_x0000_s1038" style="position:absolute;left:9658;top:1904;width:813;height:81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QZ6cMA&#10;AADaAAAADwAAAGRycy9kb3ducmV2LnhtbESPT2vCQBTE70K/w/IKvZmNLUiN2YRQaKlebLXQ6zP7&#10;8gezb0N2G+O3dwWhx2FmfsOk+WQ6MdLgWssKFlEMgri0uuVawc/hff4KwnlkjZ1lUnAhB3n2MEsx&#10;0fbM3zTufS0ChF2CChrv+0RKVzZk0EW2Jw5eZQeDPsihlnrAc4CbTj7H8VIabDksNNjTW0Plaf9n&#10;FHxtaLVrC1ldXg6/SMeP7TjGS6WeHqdiDcLT5P/D9/anVrCC25VwA2R2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3QZ6cMAAADaAAAADwAAAAAAAAAAAAAAAACYAgAAZHJzL2Rv&#10;d25yZXYueG1sUEsFBgAAAAAEAAQA9QAAAIgDAAAAAA==&#10;" fillcolor="#4f81bd" strokecolor="#385d8a" strokeweight="2pt"/>
                <v:oval id="Oval 16" o:spid="_x0000_s1039" style="position:absolute;left:17157;top:8026;width:813;height:8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6JvcEA&#10;AADbAAAADwAAAGRycy9kb3ducmV2LnhtbERPTWvCQBC9F/wPywi9NRsrhBpdJQgV20urEbyO2TEJ&#10;ZmdDdk3iv+8WCr3N433OajOaRvTUudqyglkUgyAurK65VHDK31/eQDiPrLGxTAoe5GCznjytMNV2&#10;4AP1R1+KEMIuRQWV920qpSsqMugi2xIH7mo7gz7ArpS6wyGEm0a+xnEiDdYcGipsaVtRcTvejYLv&#10;D1p81Zm8Pub5Gemy++z7OFHqeTpmSxCeRv8v/nPvdZifwO8v4QC5/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Y+ib3BAAAA2wAAAA8AAAAAAAAAAAAAAAAAmAIAAGRycy9kb3du&#10;cmV2LnhtbFBLBQYAAAAABAAEAPUAAACGAwAAAAA=&#10;" fillcolor="#4f81bd" strokecolor="#385d8a" strokeweight="2pt"/>
                <v:shape id="Text Box 19" o:spid="_x0000_s1040" type="#_x0000_t202" style="position:absolute;left:641;top:1168;width:7233;height:270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6ZU8EA&#10;AADbAAAADwAAAGRycy9kb3ducmV2LnhtbERPTWvCQBC9C/6HZQRvzcYKUlNXKYIiiIeq2Os0OyYh&#10;2dklu43RX98tFLzN433OYtWbRnTU+sqygkmSgiDOra64UHA+bV7eQPiArLGxTAru5GG1HA4WmGl7&#10;40/qjqEQMYR9hgrKEFwmpc9LMugT64gjd7WtwRBhW0jd4i2Gm0a+pulMGqw4NpToaF1SXh9/jIID&#10;Xrah6+t8W7ur/jLuez197JUaj/qPdxCB+vAU/7t3Os6fw98v8QC5/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5emVPBAAAA2wAAAA8AAAAAAAAAAAAAAAAAmAIAAGRycy9kb3du&#10;cmV2LnhtbFBLBQYAAAAABAAEAPUAAACGAwAAAAA=&#10;" filled="f" stroked="f" strokeweight=".5pt">
                  <v:textbox style="mso-fit-shape-to-text:t">
                    <w:txbxContent>
                      <w:p w:rsidR="00656C6A" w:rsidRPr="00656C6A" w:rsidRDefault="00656C6A" w:rsidP="00656C6A">
                        <w:pPr>
                          <w:rPr>
                            <w:rFonts w:ascii="KaiTi" w:eastAsia="KaiTi" w:hAnsi="KaiTi"/>
                            <w:sz w:val="21"/>
                          </w:rPr>
                        </w:pPr>
                        <w:r w:rsidRPr="00656C6A">
                          <w:rPr>
                            <w:rFonts w:ascii="KaiTi" w:eastAsia="KaiTi" w:hAnsi="KaiTi" w:hint="eastAsia"/>
                            <w:sz w:val="21"/>
                          </w:rPr>
                          <w:t>首次申请</w:t>
                        </w:r>
                      </w:p>
                    </w:txbxContent>
                  </v:textbox>
                </v:shape>
                <v:oval id="Oval 21" o:spid="_x0000_s1041" style="position:absolute;left:38649;top:14431;width:813;height:8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7vbdMMA&#10;AADbAAAADwAAAGRycy9kb3ducmV2LnhtbESPS4vCQBCE74L/YWhhb+tEBVmjExFBcfeyvsBrm+k8&#10;MNMTMmOM/35nQfBYVNVX1GLZmUq01LjSsoLRMAJBnFpdcq7gfNp8foFwHlljZZkUPMnBMun3Fhhr&#10;++ADtUefiwBhF6OCwvs6ltKlBRl0Q1sTBy+zjUEfZJNL3eAjwE0lx1E0lQZLDgsF1rQuKL0d70bB&#10;/ptmv+VKZs/J6YJ03f60bTRV6mPQreYgPHX+HX61d1rBeAT/X8IPkM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7vbdMMAAADbAAAADwAAAAAAAAAAAAAAAACYAgAAZHJzL2Rv&#10;d25yZXYueG1sUEsFBgAAAAAEAAQA9QAAAIgDAAAAAA==&#10;" fillcolor="#4f81bd" strokecolor="#385d8a" strokeweight="2pt"/>
                <v:shape id="Text Box 19" o:spid="_x0000_s1042" type="#_x0000_t202" style="position:absolute;left:25850;top:19955;width:8230;height:443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P8cMQA&#10;AADbAAAADwAAAGRycy9kb3ducmV2LnhtbESPQWvCQBSE7wX/w/IEb3VTLUWim1AERZAeqtJen9ln&#10;EpJ9u2TXGP313UKhx2FmvmFW+WBa0VPna8sKXqYJCOLC6ppLBafj5nkBwgdkja1lUnAnD3k2elph&#10;qu2NP6k/hFJECPsUFVQhuFRKX1Rk0E+tI47exXYGQ5RdKXWHtwg3rZwlyZs0WHNcqNDRuqKiOVyN&#10;gg/82oZ+aIpt4y7627jzev7YKzUZD+9LEIGG8B/+a++0gtkr/H6JP0Bm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4z/HDEAAAA2wAAAA8AAAAAAAAAAAAAAAAAmAIAAGRycy9k&#10;b3ducmV2LnhtbFBLBQYAAAAABAAEAPUAAACJAwAAAAA=&#10;" filled="f" stroked="f" strokeweight=".5pt">
                  <v:textbox style="mso-fit-shape-to-text:t">
                    <w:txbxContent>
                      <w:p w:rsidR="00656C6A" w:rsidRPr="00656C6A" w:rsidRDefault="00656C6A" w:rsidP="00656C6A">
                        <w:pPr>
                          <w:pStyle w:val="af7"/>
                          <w:rPr>
                            <w:rFonts w:ascii="KaiTi" w:eastAsia="KaiTi" w:hAnsi="KaiTi" w:cs="Arial"/>
                            <w:sz w:val="21"/>
                            <w:szCs w:val="22"/>
                          </w:rPr>
                        </w:pPr>
                        <w:r w:rsidRPr="00656C6A">
                          <w:rPr>
                            <w:rFonts w:ascii="KaiTi" w:eastAsia="KaiTi" w:hAnsi="KaiTi" w:cs="Arial" w:hint="eastAsia"/>
                            <w:sz w:val="21"/>
                            <w:szCs w:val="22"/>
                          </w:rPr>
                          <w:t>国家阶段</w:t>
                        </w:r>
                        <w:r w:rsidRPr="00656C6A">
                          <w:rPr>
                            <w:rFonts w:ascii="KaiTi" w:eastAsia="KaiTi" w:hAnsi="KaiTi" w:cs="Arial"/>
                            <w:sz w:val="21"/>
                            <w:szCs w:val="22"/>
                          </w:rPr>
                          <w:t>2</w:t>
                        </w:r>
                      </w:p>
                      <w:p w:rsidR="00656C6A" w:rsidRPr="00656C6A" w:rsidRDefault="00656C6A" w:rsidP="00656C6A">
                        <w:pPr>
                          <w:pStyle w:val="af7"/>
                          <w:rPr>
                            <w:rFonts w:ascii="KaiTi" w:eastAsia="KaiTi" w:hAnsi="KaiTi"/>
                            <w:sz w:val="21"/>
                          </w:rPr>
                        </w:pPr>
                        <w:r w:rsidRPr="00656C6A">
                          <w:rPr>
                            <w:rFonts w:ascii="KaiTi" w:eastAsia="KaiTi" w:hAnsi="KaiTi" w:cs="Arial"/>
                            <w:sz w:val="21"/>
                            <w:szCs w:val="22"/>
                          </w:rPr>
                          <w:t>(</w:t>
                        </w:r>
                        <w:r w:rsidRPr="00656C6A">
                          <w:rPr>
                            <w:rFonts w:ascii="KaiTi" w:eastAsia="KaiTi" w:hAnsi="KaiTi" w:cs="Arial" w:hint="eastAsia"/>
                            <w:sz w:val="21"/>
                            <w:szCs w:val="22"/>
                          </w:rPr>
                          <w:t>语言</w:t>
                        </w:r>
                        <w:r w:rsidRPr="00656C6A">
                          <w:rPr>
                            <w:rFonts w:ascii="KaiTi" w:eastAsia="KaiTi" w:hAnsi="KaiTi" w:cs="Arial"/>
                            <w:sz w:val="21"/>
                            <w:szCs w:val="22"/>
                          </w:rPr>
                          <w:t>2)</w:t>
                        </w:r>
                      </w:p>
                    </w:txbxContent>
                  </v:textbox>
                </v:shape>
                <v:oval id="Oval 25" o:spid="_x0000_s1043" style="position:absolute;left:13051;top:1944;width:812;height:8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KL5MMA&#10;AADbAAAADwAAAGRycy9kb3ducmV2LnhtbESPQWvCQBSE74X+h+UVvNWNgkWiq0ihWKiHGqPnR/aZ&#10;DWbfxuwmxn/vFgoeh5n5hlmuB1uLnlpfOVYwGScgiAunKy4V5Iev9zkIH5A11o5JwZ08rFevL0tM&#10;tbvxnvoslCJC2KeowITQpFL6wpBFP3YNcfTOrrUYomxLqVu8Rbit5TRJPqTFiuOCwYY+DRWXrLMK&#10;+nx//WHanrLwO+y6jT+a7j5RavQ2bBYgAg3hGf5vf2sF0xn8fYk/QK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lKL5MMAAADbAAAADwAAAAAAAAAAAAAAAACYAgAAZHJzL2Rv&#10;d25yZXYueG1sUEsFBgAAAAAEAAQA9QAAAIgDAAAAAA==&#10;" fillcolor="red" strokecolor="#fac090" strokeweight="2pt"/>
                <v:oval id="Oval 26" o:spid="_x0000_s1044" style="position:absolute;left:21418;top:7940;width:813;height:8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AVk8MA&#10;AADbAAAADwAAAGRycy9kb3ducmV2LnhtbESPwWrDMBBE74H+g9hCb4lsH0JxooQQKC20h9pNcl6s&#10;jWVirVxLduy/rwqFHoeZecNs95NtxUi9bxwrSFcJCOLK6YZrBaevl+UzCB+QNbaOScFMHva7h8UW&#10;c+3uXNBYhlpECPscFZgQulxKXxmy6FeuI47e1fUWQ5R9LXWP9wi3rcySZC0tNhwXDHZ0NFTdysEq&#10;GE/F9zvT66UMn9PHcPBnM8ypUk+P02EDItAU/sN/7TetIFvD75f4A+Tu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oAVk8MAAADbAAAADwAAAAAAAAAAAAAAAACYAgAAZHJzL2Rv&#10;d25yZXYueG1sUEsFBgAAAAAEAAQA9QAAAIgDAAAAAA==&#10;" fillcolor="red" strokecolor="#fac090" strokeweight="2pt"/>
                <v:oval id="Oval 27" o:spid="_x0000_s1045" style="position:absolute;left:33991;top:7925;width:813;height:8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ywCMMA&#10;AADbAAAADwAAAGRycy9kb3ducmV2LnhtbESPQWvCQBSE74X+h+UVvNWNHqxEV5FCsVAPNUbPj+wz&#10;G8y+jdlNjP/eLRQ8DjPzDbNcD7YWPbW+cqxgMk5AEBdOV1wqyA9f73MQPiBrrB2Tgjt5WK9eX5aY&#10;anfjPfVZKEWEsE9RgQmhSaX0hSGLfuwa4uidXWsxRNmWUrd4i3Bby2mSzKTFiuOCwYY+DRWXrLMK&#10;+nx//WHanrLwO+y6jT+a7j5RavQ2bBYgAg3hGf5vf2sF0w/4+xJ/gF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cywCMMAAADbAAAADwAAAAAAAAAAAAAAAACYAgAAZHJzL2Rv&#10;d25yZXYueG1sUEsFBgAAAAAEAAQA9QAAAIgDAAAAAA==&#10;" fillcolor="red" strokecolor="#fac090" strokeweight="2pt"/>
                <v:oval id="Oval 28" o:spid="_x0000_s1046" style="position:absolute;left:45421;top:14416;width:813;height:8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Mker8A&#10;AADbAAAADwAAAGRycy9kb3ducmV2LnhtbERPTYvCMBC9L/gfwgje1lQPslSjiCC7oAftVs9DMzbF&#10;ZlKbtNZ/bw4Le3y879VmsLXoqfWVYwWzaQKCuHC64lJB/rv//ALhA7LG2jEpeJGHzXr0scJUuyef&#10;qc9CKWII+xQVmBCaVEpfGLLop64hjtzNtRZDhG0pdYvPGG5rOU+ShbRYcWww2NDOUHHPOqugz8+P&#10;A9P3NQun4dht/cV0r5lSk/GwXYIINIR/8Z/7RyuYx7HxS/wBcv0G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UyR6vwAAANsAAAAPAAAAAAAAAAAAAAAAAJgCAABkcnMvZG93bnJl&#10;di54bWxQSwUGAAAAAAQABAD1AAAAhAMAAAAA&#10;" fillcolor="red" strokecolor="#fac090" strokeweight="2pt"/>
                <v:oval id="Oval 29" o:spid="_x0000_s1047" style="position:absolute;left:46564;top:20771;width:813;height:8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B4cMA&#10;AADbAAAADwAAAGRycy9kb3ducmV2LnhtbESPQWvCQBSE74X+h+UVvNWNHqRGV5FCsVAPNUbPj+wz&#10;G8y+jdlNjP/eLRQ8DjPzDbNcD7YWPbW+cqxgMk5AEBdOV1wqyA9f7x8gfEDWWDsmBXfysF69viwx&#10;1e7Ge+qzUIoIYZ+iAhNCk0rpC0MW/dg1xNE7u9ZiiLItpW7xFuG2ltMkmUmLFccFgw19GiouWWcV&#10;9Pn++sO0PWXhd9h1G3803X2i1Oht2CxABBrCM/zf/tYKpnP4+xJ/gF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x+B4cMAAADbAAAADwAAAAAAAAAAAAAAAACYAgAAZHJzL2Rv&#10;d25yZXYueG1sUEsFBgAAAAAEAAQA9QAAAIgDAAAAAA==&#10;" fillcolor="red" strokecolor="#fac090" strokeweight="2pt"/>
                <v:oval id="Oval 33" o:spid="_x0000_s1048" style="position:absolute;left:40073;top:14416;width:813;height:8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mJVsIA&#10;AADbAAAADwAAAGRycy9kb3ducmV2LnhtbESP3YrCMBSE74V9h3AW9k5TFfypRlkWhAURtPoAh+bY&#10;VJuTkkStb2+Ehb0cZuYbZrnubCPu5EPtWMFwkIEgLp2uuVJwOm76MxAhImtsHJOCJwVYrz56S8y1&#10;e/CB7kWsRIJwyFGBibHNpQylIYth4Fri5J2dtxiT9JXUHh8Jbhs5yrKJtFhzWjDY0o+h8lrcrIKN&#10;NdO52zUTrc883Punn1/2W6W+PrvvBYhIXfwP/7V/tYLxGN5f0g+Qq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aYlWwgAAANsAAAAPAAAAAAAAAAAAAAAAAJgCAABkcnMvZG93&#10;bnJldi54bWxQSwUGAAAAAAQABAD1AAAAhwMAAAAA&#10;" fillcolor="#92d050" strokecolor="#00b050" strokeweight="2pt"/>
                <v:shape id="Freeform 38" o:spid="_x0000_s1049" style="position:absolute;left:31061;top:8547;width:9426;height:12713;visibility:visible;mso-wrap-style:square;v-text-anchor:middle" coordsize="759125,595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KuncEA&#10;AADbAAAADwAAAGRycy9kb3ducmV2LnhtbERPz2vCMBS+D/wfwhN2GZqug6HVKCIIZbd13cDbI3k2&#10;xealNFnb/ffLYbDjx/d7f5xdJ0YaQutZwfM6A0GsvWm5UVB/XFYbECEiG+w8k4IfCnA8LB72WBg/&#10;8TuNVWxECuFQoAIbY19IGbQlh2Hte+LE3fzgMCY4NNIMOKVw18k8y16lw5ZTg8Wezpb0vfp2CnR/&#10;yZ+un1vkWtvNl/ZZ+TbVSj0u59MORKQ5/ov/3KVR8JLGpi/pB8jD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GCrp3BAAAA2wAAAA8AAAAAAAAAAAAAAAAAmAIAAGRycy9kb3du&#10;cmV2LnhtbFBLBQYAAAAABAAEAPUAAACGAwAAAAA=&#10;" path="m,c217098,53915,372892,138917,499413,238121v126521,99204,259712,357101,259712,357101e" filled="f" strokecolor="#385d8a" strokeweight="2pt">
                  <v:stroke endarrow="block"/>
                  <v:path arrowok="t" o:connecttype="custom" o:connectlocs="0,0;620132,508575;942622,1271266" o:connectangles="0,0,0"/>
                </v:shape>
                <v:shape id="Freeform 39" o:spid="_x0000_s1050" style="position:absolute;left:13565;top:2597;width:7853;height:5429;visibility:visible;mso-wrap-style:square;v-text-anchor:middle" coordsize="759125,595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2nr8QA&#10;AADbAAAADwAAAGRycy9kb3ducmV2LnhtbESPQWvCQBSE70L/w/IKXqRurCBp6ipFq3jV9tDjI/vM&#10;psm+DdnVRH+9Kwgeh5n5hpkve1uLM7W+dKxgMk5AEOdOl1wo+P3ZvKUgfEDWWDsmBRfysFy8DOaY&#10;adfxns6HUIgIYZ+hAhNCk0npc0MW/dg1xNE7utZiiLItpG6xi3Bby/ckmUmLJccFgw2tDOXV4WQV&#10;HKtR9y3/02s1MVtX9rPV+k9flBq+9l+fIAL14Rl+tHdawfQD7l/iD5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Np6/EAAAA2wAAAA8AAAAAAAAAAAAAAAAAmAIAAGRycy9k&#10;b3ducmV2LnhtbFBLBQYAAAAABAAEAPUAAACJAwAAAAA=&#10;" path="m,c217098,53915,427403,228983,553924,328187v126521,99204,205201,267035,205201,267035e" filled="f" strokecolor="#f79646" strokeweight="2pt">
                  <v:stroke endarrow="block"/>
                  <v:path arrowok="t" o:connecttype="custom" o:connectlocs="0,0;573030,299312;785309,542853" o:connectangles="0,0,0"/>
                </v:shape>
                <v:shape id="Freeform 40" o:spid="_x0000_s1051" style="position:absolute;left:34776;top:8547;width:10645;height:6337;visibility:visible;mso-wrap-style:square;v-text-anchor:middle" coordsize="759125,595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9T8EA&#10;AADbAAAADwAAAGRycy9kb3ducmV2LnhtbERPz2vCMBS+D/wfwhO8jDVVhkhnFNFNdl3dYcdH89rU&#10;Ni+libb1r18Ogx0/vt/b/Whbcafe144VLJMUBHHhdM2Vgu/Lx8sGhA/IGlvHpGAiD/vd7GmLmXYD&#10;f9E9D5WIIewzVGBC6DIpfWHIok9cRxy50vUWQ4R9JXWPQwy3rVyl6VparDk2GOzoaKho8ptVUDbP&#10;w7u8bh7N0pxdPa6Ppx89KbWYj4c3EIHG8C/+c39qBa9xffwSf4D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zxfU/BAAAA2wAAAA8AAAAAAAAAAAAAAAAAmAIAAGRycy9kb3du&#10;cmV2LnhtbFBLBQYAAAAABAAEAPUAAACGAwAAAAA=&#10;" path="m,c217098,53915,427403,228983,553924,328187v126521,99204,205201,267035,205201,267035e" filled="f" strokecolor="#f79646" strokeweight="2pt">
                  <v:stroke endarrow="block"/>
                  <v:path arrowok="t" o:connecttype="custom" o:connectlocs="0,0;776739,349379;1064482,633658" o:connectangles="0,0,0"/>
                </v:shape>
                <v:shape id="Freeform 43" o:spid="_x0000_s1052" style="position:absolute;left:45892;top:15031;width:1121;height:5812;visibility:visible;mso-wrap-style:square;v-text-anchor:middle" coordsize="112143,62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8dVscUA&#10;AADbAAAADwAAAGRycy9kb3ducmV2LnhtbESPT2vCQBTE74LfYXlCb2ZjLbWkrqKF0no0StrjI/ua&#10;hGbfptk1f769KxQ8DjPzG2a9HUwtOmpdZVnBIopBEOdWV1woOJ/e5y8gnEfWWFsmBSM52G6mkzUm&#10;2vZ8pC71hQgQdgkqKL1vEildXpJBF9mGOHg/tjXog2wLqVvsA9zU8jGOn6XBisNCiQ29lZT/phej&#10;4LRaVouvv/7QZZcx89/n4aMu9ko9zIbdKwhPg7+H/9ufWsHTEm5fwg+Qm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x1WxxQAAANsAAAAPAAAAAAAAAAAAAAAAAJgCAABkcnMv&#10;ZG93bnJldi54bWxQSwUGAAAAAAQABAD1AAAAigMAAAAA&#10;" path="m,c33787,99203,67574,198407,86264,301924v18690,103517,22284,211347,25879,319178e" filled="f" strokecolor="#f79646" strokeweight="2pt">
                  <v:stroke endarrow="block"/>
                  <v:path arrowok="t" o:connecttype="custom" o:connectlocs="0,0;86264,282518;112143,581181" o:connectangles="0,0,0"/>
                </v:shape>
                <v:shape id="Freeform 44" o:spid="_x0000_s1053" style="position:absolute;left:34773;top:8708;width:11791;height:12063;visibility:visible;mso-wrap-style:square;v-text-anchor:middle" coordsize="759125,595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p7TMQA&#10;AADbAAAADwAAAGRycy9kb3ducmV2LnhtbESPQWvCQBSE70L/w/IKXqRuIkEkdZWStuK1sYceH9ln&#10;Nk32bchuTfTXu4VCj8PMfMNs95PtxIUG3zhWkC4TEMSV0w3XCj5P708bED4ga+wck4IredjvHmZb&#10;zLUb+YMuZahFhLDPUYEJoc+l9JUhi37peuLond1gMUQ51FIPOEa47eQqSdbSYsNxwWBPhaGqLX+s&#10;gnO7GN/k9+bWpubgmmldvH7pq1Lzx+nlGUSgKfyH/9pHrSDL4PdL/AFyd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Ke0zEAAAA2wAAAA8AAAAAAAAAAAAAAAAAmAIAAGRycy9k&#10;b3ducmV2LnhtbFBLBQYAAAAABAAEAPUAAACJAwAAAAA=&#10;" path="m,c217098,53915,427403,228983,553924,328187v126521,99204,205201,267035,205201,267035e" filled="f" strokecolor="#f79646" strokeweight="2pt">
                  <v:stroke endarrow="block"/>
                  <v:path arrowok="t" o:connecttype="custom" o:connectlocs="0,0;860378,665153;1179105,1206367" o:connectangles="0,0,0"/>
                </v:shape>
                <v:shape id="Freeform 45" o:spid="_x0000_s1054" style="position:absolute;left:13565;top:2350;width:36291;height:18421;visibility:visible;mso-wrap-style:square;v-text-anchor:middle" coordsize="823183,606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2q+cQA&#10;AADbAAAADwAAAGRycy9kb3ducmV2LnhtbESPT2sCMRTE7wW/Q3gFL1KzlVbKahQpij0JXb3s7bF5&#10;+8duXpZN1OinN0LB4zAzv2Hmy2BacabeNZYVvI8TEMSF1Q1XCg77zdsXCOeRNbaWScGVHCwXg5c5&#10;ptpe+JfOma9EhLBLUUHtfZdK6YqaDLqx7YijV9reoI+yr6Tu8RLhppWTJJlKgw3HhRo7+q6p+MtO&#10;RsEtL4tROK51vsu2ufauHO1CqdTwNaxmIDwF/wz/t3+0go9PeHyJP0A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dqvnEAAAA2wAAAA8AAAAAAAAAAAAAAAAAmAIAAGRycy9k&#10;b3ducmV2LnhtbFBLBQYAAAAABAAEAPUAAACJAwAAAAA=&#10;" path="m,c224733,15128,640431,46571,766952,145775v126521,99204,,460738,,460738e" filled="f" strokecolor="#f79646" strokeweight="2pt">
                  <v:stroke endarrow="block"/>
                  <v:path arrowok="t" o:connecttype="custom" o:connectlocs="0,0;3381189,442753;3381189,1842123" o:connectangles="0,0,0"/>
                </v:shape>
                <v:oval id="Oval 47" o:spid="_x0000_s1055" style="position:absolute;left:1800;top:16357;width:812;height:8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EDO8MA&#10;AADbAAAADwAAAGRycy9kb3ducmV2LnhtbESPQYvCMBSE74L/ITzBm6au4q7VKCIo6sVdFfb6tnm2&#10;ZZuX0sRa/70RBI/DzHzDzBaNKURNlcstKxj0IxDEidU5pwrOp3XvC4TzyBoLy6TgTg4W83ZrhrG2&#10;N/6h+uhTESDsYlSQeV/GUrokI4Oub0vi4F1sZdAHWaVSV3gLcFPIjygaS4M5h4UMS1pllPwfr0bB&#10;944mh3wpL/fh6Rfpb7Ov62isVLfTLKcgPDX+HX61t1rB6BOeX8IP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sEDO8MAAADbAAAADwAAAAAAAAAAAAAAAACYAgAAZHJzL2Rv&#10;d25yZXYueG1sUEsFBgAAAAAEAAQA9QAAAIgDAAAAAA==&#10;" fillcolor="#4f81bd" strokecolor="#385d8a" strokeweight="2pt"/>
                <v:oval id="Oval 48" o:spid="_x0000_s1056" style="position:absolute;left:1800;top:19786;width:812;height:8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zB2r8A&#10;AADbAAAADwAAAGRycy9kb3ducmV2LnhtbERPTYvCMBC9C/sfwix401RZRLpGkYVFYT1o1T0PzdgU&#10;m0lt0lr/vTkIHh/ve7HqbSU6anzpWMFknIAgzp0uuVBwOv6O5iB8QNZYOSYFD/KwWn4MFphqd+cD&#10;dVkoRAxhn6ICE0KdSulzQxb92NXEkbu4xmKIsCmkbvAew20lp0kykxZLjg0Ga/oxlF+z1iroTofb&#10;H9PmPwv7fteu/dm0j4lSw89+/Q0iUB/e4pd7qxV8xbHxS/wBcvkE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xjMHavwAAANsAAAAPAAAAAAAAAAAAAAAAAJgCAABkcnMvZG93bnJl&#10;di54bWxQSwUGAAAAAAQABAD1AAAAhAMAAAAA&#10;" fillcolor="red" strokecolor="#fac090" strokeweight="2pt"/>
                <v:oval id="Oval 49" o:spid="_x0000_s1057" style="position:absolute;left:1800;top:22885;width:812;height:8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fNwcEA&#10;AADbAAAADwAAAGRycy9kb3ducmV2LnhtbESP0YrCMBRE3wX/IdwF3zRVxLVdo4ggCLLgqh9waa5N&#10;d5ubkkStf28WBB+HmTnDLFadbcSNfKgdKxiPMhDEpdM1VwrOp+1wDiJEZI2NY1LwoACrZb+3wEK7&#10;O//Q7RgrkSAcClRgYmwLKUNpyGIYuZY4eRfnLcYkfSW1x3uC20ZOsmwmLdacFgy2tDFU/h2vVsHW&#10;ms/cfTczrS88PviHz38Pe6UGH936C0SkLr7Dr/ZOK5jm8P8l/QC5f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2HzcHBAAAA2wAAAA8AAAAAAAAAAAAAAAAAmAIAAGRycy9kb3du&#10;cmV2LnhtbFBLBQYAAAAABAAEAPUAAACGAwAAAAA=&#10;" fillcolor="#92d050" strokecolor="#00b050" strokeweight="2pt"/>
                <v:shape id="Text Box 50" o:spid="_x0000_s1058" type="#_x0000_t202" style="position:absolute;left:2800;top:15684;width:11614;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6JDsAA&#10;AADbAAAADwAAAGRycy9kb3ducmV2LnhtbERPy4rCMBTdC/MP4Q7MTlNnUKQaRYQRYXDhA91em2tb&#10;2tyEJtaOX28WgsvDec8WnalFS40vLSsYDhIQxJnVJecKjoff/gSED8gaa8uk4J88LOYfvRmm2t55&#10;R+0+5CKGsE9RQRGCS6X0WUEG/cA64shdbWMwRNjkUjd4j+Gmlt9JMpYGS44NBTpaFZRV+5tRsMXT&#10;OrRdla0rd9Vn4y6rn8efUl+f3XIKIlAX3uKXe6MVjOL6+CX+ADl/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Q6JDsAAAADbAAAADwAAAAAAAAAAAAAAAACYAgAAZHJzL2Rvd25y&#10;ZXYueG1sUEsFBgAAAAAEAAQA9QAAAIUDAAAAAA==&#10;" filled="f" stroked="f" strokeweight=".5pt">
                  <v:textbox style="mso-fit-shape-to-text:t">
                    <w:txbxContent>
                      <w:p w:rsidR="00656C6A" w:rsidRPr="0034139E" w:rsidRDefault="00656C6A" w:rsidP="00656C6A">
                        <w:pPr>
                          <w:rPr>
                            <w:rFonts w:ascii="SimSun" w:hAnsi="SimSun"/>
                            <w:sz w:val="18"/>
                            <w:szCs w:val="18"/>
                          </w:rPr>
                        </w:pPr>
                        <w:r w:rsidRPr="0034139E">
                          <w:rPr>
                            <w:rFonts w:ascii="SimSun" w:hAnsi="SimSun" w:hint="eastAsia"/>
                            <w:sz w:val="18"/>
                            <w:szCs w:val="18"/>
                          </w:rPr>
                          <w:t>申请</w:t>
                        </w:r>
                        <w:r w:rsidRPr="0034139E">
                          <w:rPr>
                            <w:rFonts w:ascii="SimSun" w:hAnsi="SimSun"/>
                            <w:sz w:val="18"/>
                            <w:szCs w:val="18"/>
                          </w:rPr>
                          <w:t>/</w:t>
                        </w:r>
                        <w:r w:rsidRPr="0034139E">
                          <w:rPr>
                            <w:rFonts w:ascii="SimSun" w:hAnsi="SimSun" w:hint="eastAsia"/>
                            <w:sz w:val="18"/>
                            <w:szCs w:val="18"/>
                          </w:rPr>
                          <w:t>进入国家阶段</w:t>
                        </w:r>
                      </w:p>
                    </w:txbxContent>
                  </v:textbox>
                </v:shape>
                <v:shape id="Text Box 50" o:spid="_x0000_s1059" type="#_x0000_t202" style="position:absolute;left:2800;top:19154;width:7614;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IslcQA&#10;AADbAAAADwAAAGRycy9kb3ducmV2LnhtbESPQWvCQBSE70L/w/KE3nSjpVKimyBCpVB6qBa9PrPP&#10;JCT7dsmuMfrru4WCx2FmvmFW+WBa0VPna8sKZtMEBHFhdc2lgp/9++QNhA/IGlvLpOBGHvLsabTC&#10;VNsrf1O/C6WIEPYpKqhCcKmUvqjIoJ9aRxy9s+0Mhii7UuoOrxFuWjlPkoU0WHNcqNDRpqKi2V2M&#10;gi88bEM/NMW2cWd9NO60ebl/KvU8HtZLEIGG8Aj/tz+0gtcZ/H2JP0B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CLJXEAAAA2wAAAA8AAAAAAAAAAAAAAAAAmAIAAGRycy9k&#10;b3ducmV2LnhtbFBLBQYAAAAABAAEAPUAAACJAwAAAAA=&#10;" filled="f" stroked="f" strokeweight=".5pt">
                  <v:textbox style="mso-fit-shape-to-text:t">
                    <w:txbxContent>
                      <w:p w:rsidR="00656C6A" w:rsidRPr="00825570" w:rsidRDefault="00656C6A" w:rsidP="00656C6A">
                        <w:pPr>
                          <w:pStyle w:val="af7"/>
                          <w:rPr>
                            <w:sz w:val="18"/>
                            <w:szCs w:val="18"/>
                          </w:rPr>
                        </w:pPr>
                        <w:r w:rsidRPr="0034139E">
                          <w:rPr>
                            <w:rFonts w:ascii="SimSun" w:hAnsi="SimSun" w:cs="Arial" w:hint="eastAsia"/>
                            <w:sz w:val="18"/>
                            <w:szCs w:val="18"/>
                          </w:rPr>
                          <w:t>检索或审查</w:t>
                        </w:r>
                      </w:p>
                    </w:txbxContent>
                  </v:textbox>
                </v:shape>
                <v:shape id="Text Box 50" o:spid="_x0000_s1060" type="#_x0000_t202" style="position:absolute;left:2800;top:22315;width:4185;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Cy4sQA&#10;AADbAAAADwAAAGRycy9kb3ducmV2LnhtbESPQWvCQBSE7wX/w/IEb3VTpUWim1AERZAeqtJen9ln&#10;EpJ9u2TXGP313UKhx2FmvmFW+WBa0VPna8sKXqYJCOLC6ppLBafj5nkBwgdkja1lUnAnD3k2elph&#10;qu2NP6k/hFJECPsUFVQhuFRKX1Rk0E+tI47exXYGQ5RdKXWHtwg3rZwlyZs0WHNcqNDRuqKiOVyN&#10;gg/82oZ+aIpt4y7627jzev7YKzUZD+9LEIGG8B/+a++0gtcZ/H6JP0Bm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QsuLEAAAA2wAAAA8AAAAAAAAAAAAAAAAAmAIAAGRycy9k&#10;b3ducmV2LnhtbFBLBQYAAAAABAAEAPUAAACJAwAAAAA=&#10;" filled="f" stroked="f" strokeweight=".5pt">
                  <v:textbox style="mso-fit-shape-to-text:t">
                    <w:txbxContent>
                      <w:p w:rsidR="00656C6A" w:rsidRPr="00825570" w:rsidRDefault="00656C6A" w:rsidP="00656C6A">
                        <w:pPr>
                          <w:pStyle w:val="af7"/>
                          <w:rPr>
                            <w:sz w:val="18"/>
                            <w:szCs w:val="18"/>
                          </w:rPr>
                        </w:pPr>
                        <w:r w:rsidRPr="0034139E">
                          <w:rPr>
                            <w:rFonts w:ascii="SimSun" w:hAnsi="SimSun" w:cs="Arial" w:hint="eastAsia"/>
                            <w:sz w:val="18"/>
                            <w:szCs w:val="18"/>
                          </w:rPr>
                          <w:t>修正</w:t>
                        </w:r>
                      </w:p>
                    </w:txbxContent>
                  </v:textbox>
                </v:shape>
                <v:shape id="Freeform 54" o:spid="_x0000_s1061" style="position:absolute;left:1397;top:18449;width:1403;height:0;visibility:visible;mso-wrap-style:square;v-text-anchor:middle" coordsize="14024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y15sIA&#10;AADbAAAADwAAAGRycy9kb3ducmV2LnhtbESPS4sCMRCE78L+h9ALe9PMyvpgNMqiLngTH+C1mbST&#10;wUlnSOI4/vuNIHgsquorar7sbC1a8qFyrOB7kIEgLpyuuFRwOv71pyBCRNZYOyYFDwqwXHz05phr&#10;d+c9tYdYigThkKMCE2OTSxkKQxbDwDXEybs4bzEm6UupPd4T3NZymGVjabHitGCwoZWh4nq4WQXZ&#10;Zn8z53bHbmXO9rhZ+118TJT6+ux+ZyAidfEdfrW3WsHoB55f0g+Qi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TLXmwgAAANsAAAAPAAAAAAAAAAAAAAAAAJgCAABkcnMvZG93&#10;bnJldi54bWxQSwUGAAAAAAQABAD1AAAAhwMAAAAA&#10;" path="m,l140246,r,e" filled="f" strokecolor="#385d8a" strokeweight="2pt">
                  <v:stroke endarrow="block"/>
                  <v:path arrowok="t" o:connecttype="custom" o:connectlocs="0,0;140246,0;140246,0" o:connectangles="0,0,0"/>
                </v:shape>
                <v:shape id="Text Box 50" o:spid="_x0000_s1062" type="#_x0000_t202" style="position:absolute;left:2800;top:17375;width:2190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kqlsQA&#10;AADbAAAADwAAAGRycy9kb3ducmV2LnhtbESPQWvCQBSE74X+h+UVeqsbWywlugkiVATpQS16fWaf&#10;SUj27ZJdY+yvdwWhx2FmvmFm+WBa0VPna8sKxqMEBHFhdc2lgt/d99sXCB+QNbaWScGVPOTZ89MM&#10;U20vvKF+G0oRIexTVFCF4FIpfVGRQT+yjjh6J9sZDFF2pdQdXiLctPI9ST6lwZrjQoWOFhUVzfZs&#10;FPzgfhn6oSmWjTvpg3HHxcffWqnXl2E+BRFoCP/hR3ulFUwmcP8Sf4DM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5KpbEAAAA2wAAAA8AAAAAAAAAAAAAAAAAmAIAAGRycy9k&#10;b3ducmV2LnhtbFBLBQYAAAAABAAEAPUAAACJAwAAAAA=&#10;" filled="f" stroked="f" strokeweight=".5pt">
                  <v:textbox style="mso-fit-shape-to-text:t">
                    <w:txbxContent>
                      <w:p w:rsidR="00656C6A" w:rsidRPr="00825570" w:rsidRDefault="00656C6A" w:rsidP="00656C6A">
                        <w:pPr>
                          <w:pStyle w:val="af7"/>
                          <w:rPr>
                            <w:sz w:val="18"/>
                            <w:szCs w:val="18"/>
                          </w:rPr>
                        </w:pPr>
                        <w:r w:rsidRPr="0034139E">
                          <w:rPr>
                            <w:rFonts w:ascii="SimSun" w:hAnsi="SimSun" w:cs="Arial" w:hint="eastAsia"/>
                            <w:sz w:val="18"/>
                            <w:szCs w:val="18"/>
                          </w:rPr>
                          <w:t>优先权文件</w:t>
                        </w:r>
                        <w:r w:rsidRPr="0034139E">
                          <w:rPr>
                            <w:rFonts w:ascii="SimSun" w:hAnsi="SimSun" w:cs="Arial"/>
                            <w:sz w:val="18"/>
                            <w:szCs w:val="18"/>
                          </w:rPr>
                          <w:t xml:space="preserve">? </w:t>
                        </w:r>
                        <w:r w:rsidRPr="0034139E">
                          <w:rPr>
                            <w:rFonts w:ascii="SimSun" w:hAnsi="SimSun" w:cs="Arial" w:hint="eastAsia"/>
                            <w:sz w:val="18"/>
                            <w:szCs w:val="18"/>
                          </w:rPr>
                          <w:t>通用申请内容</w:t>
                        </w:r>
                        <w:r w:rsidRPr="0034139E">
                          <w:rPr>
                            <w:rFonts w:ascii="SimSun" w:hAnsi="SimSun" w:cs="Arial"/>
                            <w:sz w:val="18"/>
                            <w:szCs w:val="18"/>
                          </w:rPr>
                          <w:t xml:space="preserve">? </w:t>
                        </w:r>
                        <w:r w:rsidRPr="0034139E">
                          <w:rPr>
                            <w:rFonts w:ascii="SimSun" w:hAnsi="SimSun" w:cs="Arial" w:hint="eastAsia"/>
                            <w:sz w:val="18"/>
                            <w:szCs w:val="18"/>
                          </w:rPr>
                          <w:t>文献数据</w:t>
                        </w:r>
                        <w:r w:rsidRPr="0034139E">
                          <w:rPr>
                            <w:rFonts w:ascii="SimSun" w:hAnsi="SimSun" w:cs="Arial"/>
                            <w:sz w:val="18"/>
                            <w:szCs w:val="18"/>
                          </w:rPr>
                          <w:t>?</w:t>
                        </w:r>
                      </w:p>
                    </w:txbxContent>
                  </v:textbox>
                </v:shape>
                <v:shape id="Freeform 56" o:spid="_x0000_s1063" style="position:absolute;left:1403;top:21742;width:1397;height:0;visibility:visible;mso-wrap-style:square;v-text-anchor:middle" coordsize="14024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8kIcUA&#10;AADbAAAADwAAAGRycy9kb3ducmV2LnhtbESPT2vCQBTE74V+h+UVetONxQSJrlIsDd7qvxa9PbLP&#10;JDT7NuyumvrpuwWhx2FmfsPMFr1pxYWcbywrGA0TEMSl1Q1XCva798EEhA/IGlvLpOCHPCzmjw8z&#10;zLW98oYu21CJCGGfo4I6hC6X0pc1GfRD2xFH72SdwRClq6R2eI1w08qXJMmkwYbjQo0dLWsqv7dn&#10;o+Bt5I788XVYf47HoUhTU9yWWaHU81P/OgURqA//4Xt7pRWkGfx9iT9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TyQhxQAAANsAAAAPAAAAAAAAAAAAAAAAAJgCAABkcnMv&#10;ZG93bnJldi54bWxQSwUGAAAAAAQABAD1AAAAigMAAAAA&#10;" path="m,l140246,r,e" filled="f" strokecolor="#f79646" strokeweight="2pt">
                  <v:stroke endarrow="block"/>
                  <v:path arrowok="t" o:connecttype="custom" o:connectlocs="0,0;139700,0;139700,0" o:connectangles="0,0,0"/>
                </v:shape>
                <v:shape id="Text Box 50" o:spid="_x0000_s1064" type="#_x0000_t202" style="position:absolute;left:2800;top:20705;width:18472;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cResQA&#10;AADbAAAADwAAAGRycy9kb3ducmV2LnhtbESPQWvCQBSE74L/YXlCb7pRqUrqKiIohdKDWur1NftM&#10;QrJvl+wa0/76riB4HGbmG2a57kwtWmp8aVnBeJSAIM6sLjlX8HXaDRcgfEDWWFsmBb/kYb3q95aY&#10;anvjA7XHkIsIYZ+igiIEl0rps4IM+pF1xNG72MZgiLLJpW7wFuGmlpMkmUmDJceFAh1tC8qq49Uo&#10;+MTvfWi7KttX7qLPxv1sp38fSr0Mus0biEBdeIYf7Xet4HUO9y/xB8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nEXrEAAAA2wAAAA8AAAAAAAAAAAAAAAAAmAIAAGRycy9k&#10;b3ducmV2LnhtbFBLBQYAAAAABAAEAPUAAACJAwAAAAA=&#10;" filled="f" stroked="f" strokeweight=".5pt">
                  <v:textbox style="mso-fit-shape-to-text:t">
                    <w:txbxContent>
                      <w:p w:rsidR="00656C6A" w:rsidRPr="00825570" w:rsidRDefault="00656C6A" w:rsidP="00656C6A">
                        <w:pPr>
                          <w:pStyle w:val="af7"/>
                          <w:rPr>
                            <w:sz w:val="18"/>
                            <w:szCs w:val="18"/>
                          </w:rPr>
                        </w:pPr>
                        <w:r w:rsidRPr="0034139E">
                          <w:rPr>
                            <w:rFonts w:ascii="SimSun" w:hAnsi="SimSun" w:cs="Arial" w:hint="eastAsia"/>
                            <w:sz w:val="18"/>
                            <w:szCs w:val="18"/>
                          </w:rPr>
                          <w:t>可能重复使用此前检索</w:t>
                        </w:r>
                        <w:r w:rsidRPr="0034139E">
                          <w:rPr>
                            <w:rFonts w:ascii="SimSun" w:hAnsi="SimSun" w:cs="Arial"/>
                            <w:sz w:val="18"/>
                            <w:szCs w:val="18"/>
                          </w:rPr>
                          <w:t>/</w:t>
                        </w:r>
                        <w:r w:rsidRPr="0034139E">
                          <w:rPr>
                            <w:rFonts w:ascii="SimSun" w:hAnsi="SimSun" w:cs="Arial" w:hint="eastAsia"/>
                            <w:sz w:val="18"/>
                            <w:szCs w:val="18"/>
                          </w:rPr>
                          <w:t>审查信息</w:t>
                        </w:r>
                      </w:p>
                    </w:txbxContent>
                  </v:textbox>
                </v:shape>
                <v:oval id="Oval 31" o:spid="_x0000_s1065" style="position:absolute;left:30562;top:8026;width:813;height:8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yusEA&#10;AADbAAAADwAAAGRycy9kb3ducmV2LnhtbESP0YrCMBRE3wX/IdwF3zStgqtdo4ggCLLgqh9waa5N&#10;d5ubkkStf28WBB+HmTnDLFadbcSNfKgdK8hHGQji0umaKwXn03Y4AxEissbGMSl4UIDVst9bYKHd&#10;nX/odoyVSBAOBSowMbaFlKE0ZDGMXEucvIvzFmOSvpLa4z3BbSPHWTaVFmtOCwZb2hgq/45Xq2Br&#10;zefcfTdTrS+cH/zDz38Pe6UGH936C0SkLr7Dr/ZOK5jk8P8l/QC5f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v3srrBAAAA2wAAAA8AAAAAAAAAAAAAAAAAmAIAAGRycy9kb3du&#10;cmV2LnhtbFBLBQYAAAAABAAEAPUAAACGAwAAAAA=&#10;" fillcolor="#92d050" strokecolor="#00b050" strokeweight="2pt"/>
                <v:oval id="Oval 18" o:spid="_x0000_s1066" style="position:absolute;left:40017;top:20843;width:813;height:8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24VMMA&#10;AADbAAAADwAAAGRycy9kb3ducmV2LnhtbESPQWvCQBCF70L/wzKF3nRjC6LRVaTQYnupRsHrmB2T&#10;YHY2ZNcY/33nIHib4b1575vFqne16qgNlWcD41ECijj3tuLCwGH/NZyCChHZYu2ZDNwpwGr5Mlhg&#10;av2Nd9RlsVASwiFFA2WMTap1yEtyGEa+IRbt7FuHUda20LbFm4S7Wr8nyUQ7rFgaSmzos6T8kl2d&#10;ge0Pzf6qtT7fP/ZHpNP3b9clE2PeXvv1HFSkPj7Nj+uNFXyBlV9kAL3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O24VMMAAADbAAAADwAAAAAAAAAAAAAAAACYAgAAZHJzL2Rv&#10;d25yZXYueG1sUEsFBgAAAAAEAAQA9QAAAIgDAAAAAA==&#10;" fillcolor="#4f81bd" strokecolor="#385d8a" strokeweight="2pt"/>
                <v:shape id="Freeform 58" o:spid="_x0000_s1067" style="position:absolute;left:10265;top:2910;width:6564;height:5217;visibility:visible;mso-wrap-style:square;v-text-anchor:middle" coordsize="656348,5217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YuDsEA&#10;AADbAAAADwAAAGRycy9kb3ducmV2LnhtbERP3WrCMBS+H+wdwhnsbqYWJtIZRcaKmxf+tHuAQ3Ns&#10;is1JSaJ2b79cCF5+fP+L1Wh7cSUfOscKppMMBHHjdMetgt+6fJuDCBFZY++YFPxRgNXy+WmBhXY3&#10;PtK1iq1IIRwKVGBiHAopQ2PIYpi4gThxJ+ctxgR9K7XHWwq3vcyzbCYtdpwaDA70aag5VxeroG79&#10;sPlq8tJvD2vzE3b9YbefKvX6Mq4/QEQa40N8d39rBe9pbPqSfoBc/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KGLg7BAAAA2wAAAA8AAAAAAAAAAAAAAAAAmAIAAGRycy9kb3du&#10;cmV2LnhtbFBLBQYAAAAABAAEAPUAAACGAwAAAAA=&#10;" path="m,c71525,105184,143050,210368,252441,297320v109391,86952,403907,224392,403907,224392l656348,521712e" filled="f" strokecolor="#92d050" strokeweight="1pt">
                  <v:stroke dashstyle="dash" endarrow="block"/>
                  <v:path arrowok="t" o:connecttype="custom" o:connectlocs="0,0;252441,297320;656348,521712;656348,521712" o:connectangles="0,0,0,0"/>
                </v:shape>
                <v:shape id="Freeform 59" o:spid="_x0000_s1068" style="position:absolute;left:1403;top:25059;width:1397;height:0;visibility:visible;mso-wrap-style:square;v-text-anchor:middle" coordsize="14024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wrm8IA&#10;AADbAAAADwAAAGRycy9kb3ducmV2LnhtbESPT4vCMBTE78J+h/AWvIimKyhrNS2yIHoT/xzW26N5&#10;25ZtXkoSbf32RhA8DjPzG2aV96YRN3K+tqzga5KAIC6srrlUcD5txt8gfEDW2FgmBXfykGcfgxWm&#10;2nZ8oNsxlCJC2KeooAqhTaX0RUUG/cS2xNH7s85giNKVUjvsItw0cpokc2mw5rhQYUs/FRX/x6tR&#10;UJrfxhu9dXs72k+l7y7J2s2UGn726yWIQH14h1/tnVYwW8DzS/wBMn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jCubwgAAANsAAAAPAAAAAAAAAAAAAAAAAJgCAABkcnMvZG93&#10;bnJldi54bWxQSwUGAAAAAAQABAD1AAAAhwMAAAAA&#10;" path="m,l140246,r,e" filled="f" strokecolor="#92d050" strokeweight="1pt">
                  <v:stroke dashstyle="dash" endarrow="block"/>
                  <v:path arrowok="t" o:connecttype="custom" o:connectlocs="0,0;139700,0;139700,0" o:connectangles="0,0,0"/>
                </v:shape>
                <v:shape id="Text Box 50" o:spid="_x0000_s1069" type="#_x0000_t202" style="position:absolute;left:2800;top:23853;width:13329;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JDs8EA&#10;AADbAAAADwAAAGRycy9kb3ducmV2LnhtbERPy2rCQBTdC/2H4Rbc6aQWQkkzShGUQnGhFd3eZm4e&#10;JHNnyEyT6Nc7i0KXh/PON5PpxEC9bywreFkmIIgLqxuuFJy/d4s3ED4ga+wsk4Ibedisn2Y5ZtqO&#10;fKThFCoRQ9hnqKAOwWVS+qImg35pHXHkStsbDBH2ldQ9jjHcdHKVJKk02HBsqNHRtqaiPf0aBQe8&#10;7MMwtcW+daW+Gvezfb1/KTV/nj7eQQSawr/4z/2pFaRxffwSf4Bc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diQ7PBAAAA2wAAAA8AAAAAAAAAAAAAAAAAmAIAAGRycy9kb3du&#10;cmV2LnhtbFBLBQYAAAAABAAEAPUAAACGAwAAAAA=&#10;" filled="f" stroked="f" strokeweight=".5pt">
                  <v:textbox style="mso-fit-shape-to-text:t">
                    <w:txbxContent>
                      <w:p w:rsidR="00656C6A" w:rsidRPr="00244155" w:rsidRDefault="00656C6A" w:rsidP="00656C6A">
                        <w:pPr>
                          <w:pStyle w:val="af7"/>
                          <w:rPr>
                            <w:sz w:val="21"/>
                          </w:rPr>
                        </w:pPr>
                        <w:r w:rsidRPr="0034139E">
                          <w:rPr>
                            <w:rFonts w:ascii="SimSun" w:hAnsi="SimSun" w:cs="Arial" w:hint="eastAsia"/>
                            <w:sz w:val="18"/>
                            <w:szCs w:val="18"/>
                          </w:rPr>
                          <w:t>可能需要对比不同版本</w:t>
                        </w:r>
                      </w:p>
                    </w:txbxContent>
                  </v:textbox>
                </v:shape>
                <v:shape id="Freeform 61" o:spid="_x0000_s1070" style="position:absolute;left:10415;top:3143;width:27818;height:11741;visibility:visible;mso-wrap-style:square;v-text-anchor:middle" coordsize="656348,5217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BNLsIA&#10;AADbAAAADwAAAGRycy9kb3ducmV2LnhtbESPzYoCMRCE78K+Q+gFb5oZDyKjUWRZWfXg7z5AM+md&#10;DDvpDEnU8e2NIHgsquorarbobCOu5EPtWEE+zEAQl07XXCn4Pa8GExAhImtsHJOCOwVYzD96Myy0&#10;u/GRrqdYiQThUKACE2NbSBlKQxbD0LXEyftz3mJM0ldSe7wluG3kKMvG0mLNacFgS1+Gyv/TxSo4&#10;V779+S5HK789LM0m7JrDbp8r1f/sllMQkbr4Dr/aa61gnMPzS/oB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0E0uwgAAANsAAAAPAAAAAAAAAAAAAAAAAJgCAABkcnMvZG93&#10;bnJldi54bWxQSwUGAAAAAAQABAD1AAAAhwMAAAAA&#10;" path="m,c71525,105184,143050,210368,252441,297320v109391,86952,403907,224392,403907,224392l656348,521712e" filled="f" strokecolor="#92d050" strokeweight="1pt">
                  <v:stroke dashstyle="dash" endarrow="block"/>
                  <v:path arrowok="t" o:connecttype="custom" o:connectlocs="0,0;1069903,669127;2781754,1174128;2781754,1174128" o:connectangles="0,0,0,0"/>
                </v:shape>
                <v:shape id="Freeform 63" o:spid="_x0000_s1071" style="position:absolute;left:17839;top:9024;width:12734;height:2326;visibility:visible;mso-wrap-style:square;v-text-anchor:middle" coordsize="1273428,232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Z28IA&#10;AADbAAAADwAAAGRycy9kb3ducmV2LnhtbESPQWsCMRSE74X+h/AKvdXECrKsRhGh6KWUqiDeHpvn&#10;bnTzsiRRt/++EQSPw8x8w0znvWvFlUK0njUMBwoEceWN5VrDbvv1UYCICdlg65k0/FGE+ez1ZYql&#10;8Tf+pesm1SJDOJaooUmpK6WMVUMO48B3xNk7+uAwZRlqaQLeMty18lOpsXRoOS802NGyoeq8uTgN&#10;xY/dGxVXNtpQHL6Pi5E6nVZav7/1iwmIRH16hh/ttdEwHsH9S/4Bcv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CNnbwgAAANsAAAAPAAAAAAAAAAAAAAAAAJgCAABkcnMvZG93&#10;bnJldi54bWxQSwUGAAAAAAQABAD1AAAAhwMAAAAA&#10;" path="m,c222054,125286,352495,230672,564733,232542v212238,1870,584811,-82948,708695,-221323e" filled="f" strokecolor="#92d050" strokeweight="1pt">
                  <v:stroke dashstyle="dash" endarrow="block"/>
                  <v:path arrowok="t" o:connecttype="custom" o:connectlocs="0,0;564733,232542;1273428,11219" o:connectangles="0,0,0"/>
                </v:shape>
                <v:shape id="Freeform 64" o:spid="_x0000_s1072" style="position:absolute;left:13488;top:2356;width:33702;height:12075;visibility:visible;mso-wrap-style:square;v-text-anchor:middle" coordsize="789395,606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rA6MQA&#10;AADbAAAADwAAAGRycy9kb3ducmV2LnhtbESPQWvCQBSE7wX/w/IEb3VjsVGim6BCaU9CUynt7TX7&#10;TILZtyG7muTfd4VCj8PMfMNss8E04kadqy0rWMwjEMSF1TWXCk4fL49rEM4ja2wsk4KRHGTp5GGL&#10;ibY9v9Mt96UIEHYJKqi8bxMpXVGRQTe3LXHwzrYz6IPsSqk77APcNPIpimJpsOawUGFLh4qKS341&#10;ChAP+Xn587pYfT4f1+77K99zPyo1mw67DQhPg/8P/7XftIJ4Cfcv4QfI9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6wOjEAAAA2wAAAA8AAAAAAAAAAAAAAAAAmAIAAGRycy9k&#10;b3ducmV2LnhtbFBLBQYAAAAABAAEAPUAAACJAwAAAAA=&#10;" path="m,c224733,15128,589572,122881,716093,222085v126521,99204,50859,384428,50859,384428e" filled="f" strokecolor="#f79646" strokeweight="2pt">
                  <v:stroke endarrow="block"/>
                  <v:path arrowok="t" o:connecttype="custom" o:connectlocs="0,0;3057236,442130;3274369,1207456" o:connectangles="0,0,0"/>
                </v:shape>
                <v:shape id="Text Box 50" o:spid="_x0000_s1073" type="#_x0000_t202" style="position:absolute;left:514;top:13735;width:419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XgK8QA&#10;AADbAAAADwAAAGRycy9kb3ducmV2LnhtbESPQWvCQBSE74X+h+UVeqsbW5QS3QQRKoL0oBa9PrPP&#10;JCT7dsmuMfbXu0Khx2FmvmHm+WBa0VPna8sKxqMEBHFhdc2lgp/919snCB+QNbaWScGNPOTZ89Mc&#10;U22vvKV+F0oRIexTVFCF4FIpfVGRQT+yjjh6Z9sZDFF2pdQdXiPctPI9SabSYM1xoUJHy4qKZncx&#10;Cr7xsAr90BSrxp310bjT8uN3o9Try7CYgQg0hP/wX3utFUwn8PgSf4DM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V4CvEAAAA2wAAAA8AAAAAAAAAAAAAAAAAmAIAAGRycy9k&#10;b3ducmV2LnhtbFBLBQYAAAAABAAEAPUAAACJAwAAAAA=&#10;" filled="f" stroked="f" strokeweight=".5pt">
                  <v:textbox style="mso-fit-shape-to-text:t">
                    <w:txbxContent>
                      <w:p w:rsidR="00656C6A" w:rsidRPr="00244155" w:rsidRDefault="00656C6A" w:rsidP="00656C6A">
                        <w:pPr>
                          <w:pStyle w:val="af7"/>
                          <w:rPr>
                            <w:b/>
                            <w:sz w:val="21"/>
                          </w:rPr>
                        </w:pPr>
                        <w:r w:rsidRPr="0034139E">
                          <w:rPr>
                            <w:rFonts w:ascii="SimSun" w:hAnsi="SimSun" w:cs="Arial" w:hint="eastAsia"/>
                            <w:b/>
                            <w:sz w:val="18"/>
                            <w:szCs w:val="18"/>
                          </w:rPr>
                          <w:t>图例</w:t>
                        </w:r>
                      </w:p>
                    </w:txbxContent>
                  </v:textbox>
                </v:shape>
                <w10:anchorlock/>
              </v:group>
            </w:pict>
          </mc:Fallback>
        </mc:AlternateContent>
      </w:r>
    </w:p>
    <w:p w:rsidR="004466B9" w:rsidRPr="0034139E" w:rsidRDefault="00540952" w:rsidP="00656C6A">
      <w:pPr>
        <w:tabs>
          <w:tab w:val="num" w:pos="567"/>
        </w:tabs>
        <w:spacing w:after="220"/>
        <w:jc w:val="center"/>
        <w:rPr>
          <w:rFonts w:ascii="SimSun" w:hAnsi="SimSun"/>
          <w:sz w:val="21"/>
        </w:rPr>
      </w:pPr>
      <w:r w:rsidRPr="00540952">
        <w:rPr>
          <w:noProof/>
          <w:lang w:eastAsia="en-US"/>
        </w:rPr>
        <w:drawing>
          <wp:inline distT="0" distB="0" distL="0" distR="0" wp14:anchorId="342479BA" wp14:editId="765E9F1F">
            <wp:extent cx="5083200" cy="3603600"/>
            <wp:effectExtent l="0" t="0" r="317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083200" cy="3603600"/>
                    </a:xfrm>
                    <a:prstGeom prst="rect">
                      <a:avLst/>
                    </a:prstGeom>
                    <a:noFill/>
                    <a:ln>
                      <a:noFill/>
                    </a:ln>
                  </pic:spPr>
                </pic:pic>
              </a:graphicData>
            </a:graphic>
          </wp:inline>
        </w:drawing>
      </w:r>
    </w:p>
    <w:p w:rsidR="00390647" w:rsidRPr="00244155" w:rsidRDefault="00390647" w:rsidP="00244155">
      <w:pPr>
        <w:keepNext/>
        <w:overflowPunct w:val="0"/>
        <w:spacing w:beforeLines="100" w:before="240" w:afterLines="50" w:after="120" w:line="340" w:lineRule="atLeast"/>
        <w:outlineLvl w:val="3"/>
        <w:rPr>
          <w:rFonts w:ascii="KaiTi" w:eastAsia="KaiTi" w:hAnsi="KaiTi"/>
          <w:bCs/>
          <w:sz w:val="21"/>
          <w:szCs w:val="28"/>
        </w:rPr>
      </w:pPr>
      <w:r w:rsidRPr="00244155">
        <w:rPr>
          <w:rFonts w:ascii="KaiTi" w:eastAsia="KaiTi" w:hAnsi="KaiTi" w:hint="eastAsia"/>
          <w:bCs/>
          <w:sz w:val="21"/>
          <w:szCs w:val="28"/>
        </w:rPr>
        <w:t>数据结构和数据交换</w:t>
      </w:r>
    </w:p>
    <w:p w:rsidR="00417D70" w:rsidRPr="0034139E" w:rsidRDefault="00390647"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hint="eastAsia"/>
          <w:sz w:val="21"/>
        </w:rPr>
        <w:t>WIPO标准</w:t>
      </w:r>
      <w:r w:rsidRPr="0034139E">
        <w:rPr>
          <w:rFonts w:ascii="SimSun" w:hAnsi="SimSun"/>
          <w:sz w:val="21"/>
        </w:rPr>
        <w:t>ST.</w:t>
      </w:r>
      <w:r w:rsidRPr="0034139E">
        <w:rPr>
          <w:rFonts w:ascii="SimSun" w:hAnsi="SimSun" w:hint="eastAsia"/>
          <w:sz w:val="21"/>
        </w:rPr>
        <w:t>96规定了数据结构和格式的国际标准。通过标准化的数据结构和格式，知识产权局和国际局能够连通</w:t>
      </w:r>
      <w:r w:rsidR="00B667AB">
        <w:rPr>
          <w:rFonts w:ascii="SimSun" w:hAnsi="SimSun" w:hint="eastAsia"/>
          <w:sz w:val="21"/>
          <w:szCs w:val="22"/>
        </w:rPr>
        <w:t>信通技术</w:t>
      </w:r>
      <w:r w:rsidRPr="0034139E">
        <w:rPr>
          <w:rFonts w:ascii="SimSun" w:hAnsi="SimSun" w:hint="eastAsia"/>
          <w:sz w:val="21"/>
        </w:rPr>
        <w:t>系统，在尽量避免人为干扰的情况下对知识产权数据进行处理，并尽可能确保知识产权数据交换的准确性和质量。</w:t>
      </w:r>
    </w:p>
    <w:p w:rsidR="00390647" w:rsidRPr="0034139E" w:rsidRDefault="00390647"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hint="eastAsia"/>
          <w:sz w:val="21"/>
        </w:rPr>
        <w:lastRenderedPageBreak/>
        <w:t>M2M数据交换需要具体的标准，例如信息格式、数据字典，以及统一资源标识符的命名规则（目前</w:t>
      </w:r>
      <w:r w:rsidR="00EA50FC">
        <w:rPr>
          <w:rFonts w:ascii="SimSun" w:hAnsi="SimSun" w:hint="eastAsia"/>
          <w:sz w:val="21"/>
        </w:rPr>
        <w:t>产权组织</w:t>
      </w:r>
      <w:r w:rsidRPr="0034139E">
        <w:rPr>
          <w:rFonts w:ascii="SimSun" w:hAnsi="SimSun" w:hint="eastAsia"/>
          <w:sz w:val="21"/>
        </w:rPr>
        <w:t>标准委员会正在讨论</w:t>
      </w:r>
      <w:r w:rsidRPr="0034139E">
        <w:rPr>
          <w:rFonts w:ascii="SimSun" w:hAnsi="SimSun"/>
          <w:sz w:val="21"/>
          <w:vertAlign w:val="superscript"/>
        </w:rPr>
        <w:footnoteReference w:id="10"/>
      </w:r>
      <w:r w:rsidRPr="0034139E">
        <w:rPr>
          <w:rFonts w:ascii="SimSun" w:hAnsi="SimSun" w:hint="eastAsia"/>
          <w:sz w:val="21"/>
        </w:rPr>
        <w:t>）等。这样做有以下优势：</w:t>
      </w:r>
    </w:p>
    <w:p w:rsidR="00390647" w:rsidRPr="0034139E" w:rsidRDefault="00390647" w:rsidP="00244155">
      <w:pPr>
        <w:overflowPunct w:val="0"/>
        <w:spacing w:afterLines="50" w:after="120" w:line="340" w:lineRule="atLeast"/>
        <w:ind w:left="567"/>
        <w:jc w:val="both"/>
        <w:rPr>
          <w:rFonts w:ascii="SimSun" w:hAnsi="SimSun"/>
          <w:sz w:val="21"/>
        </w:rPr>
      </w:pPr>
      <w:r w:rsidRPr="0034139E">
        <w:rPr>
          <w:rFonts w:ascii="SimSun" w:hAnsi="SimSun" w:hint="eastAsia"/>
          <w:sz w:val="21"/>
        </w:rPr>
        <w:t>a</w:t>
      </w:r>
      <w:r w:rsidR="002E3D16">
        <w:rPr>
          <w:rFonts w:ascii="SimSun" w:hAnsi="SimSun" w:hint="eastAsia"/>
          <w:sz w:val="21"/>
        </w:rPr>
        <w:t>)</w:t>
      </w:r>
      <w:r w:rsidR="00656C6A">
        <w:rPr>
          <w:rFonts w:ascii="SimSun" w:hAnsi="SimSun" w:hint="eastAsia"/>
          <w:sz w:val="21"/>
        </w:rPr>
        <w:tab/>
      </w:r>
      <w:r w:rsidRPr="0034139E">
        <w:rPr>
          <w:rFonts w:ascii="SimSun" w:hAnsi="SimSun" w:hint="eastAsia"/>
          <w:sz w:val="21"/>
        </w:rPr>
        <w:t>申请人可以向不同的</w:t>
      </w:r>
      <w:r w:rsidRPr="00244155">
        <w:rPr>
          <w:rFonts w:ascii="SimSun" w:hAnsi="SimSun" w:hint="eastAsia"/>
          <w:sz w:val="21"/>
          <w:szCs w:val="22"/>
        </w:rPr>
        <w:t>知识产权</w:t>
      </w:r>
      <w:r w:rsidRPr="0034139E">
        <w:rPr>
          <w:rFonts w:ascii="SimSun" w:hAnsi="SimSun" w:hint="eastAsia"/>
          <w:sz w:val="21"/>
        </w:rPr>
        <w:t>局和国际局提交相同或非常相似的申请（例如，通过巴黎</w:t>
      </w:r>
      <w:r w:rsidR="0037612A">
        <w:rPr>
          <w:rFonts w:ascii="SimSun" w:hAnsi="SimSun" w:hint="eastAsia"/>
          <w:sz w:val="21"/>
        </w:rPr>
        <w:t>路径</w:t>
      </w:r>
      <w:r w:rsidRPr="0034139E">
        <w:rPr>
          <w:rFonts w:ascii="SimSun" w:hAnsi="SimSun" w:hint="eastAsia"/>
          <w:sz w:val="21"/>
        </w:rPr>
        <w:t>提交PCT国际申请，或在PCT的国家阶段，亦或是向马德里和海牙体系指定缔约方的知识产权局提交）；</w:t>
      </w:r>
    </w:p>
    <w:p w:rsidR="00390647" w:rsidRPr="0034139E" w:rsidRDefault="00390647" w:rsidP="00244155">
      <w:pPr>
        <w:overflowPunct w:val="0"/>
        <w:spacing w:afterLines="50" w:after="120" w:line="340" w:lineRule="atLeast"/>
        <w:ind w:left="567"/>
        <w:jc w:val="both"/>
        <w:rPr>
          <w:rFonts w:ascii="SimSun" w:hAnsi="SimSun"/>
          <w:sz w:val="21"/>
        </w:rPr>
      </w:pPr>
      <w:r w:rsidRPr="0034139E">
        <w:rPr>
          <w:rFonts w:ascii="SimSun" w:hAnsi="SimSun"/>
          <w:sz w:val="21"/>
        </w:rPr>
        <w:t>b</w:t>
      </w:r>
      <w:r w:rsidR="002E3D16">
        <w:rPr>
          <w:rFonts w:ascii="SimSun" w:hAnsi="SimSun" w:hint="eastAsia"/>
          <w:sz w:val="21"/>
        </w:rPr>
        <w:t>)</w:t>
      </w:r>
      <w:r w:rsidR="00656C6A">
        <w:rPr>
          <w:rFonts w:ascii="SimSun" w:hAnsi="SimSun" w:hint="eastAsia"/>
          <w:sz w:val="21"/>
        </w:rPr>
        <w:tab/>
      </w:r>
      <w:r w:rsidRPr="0034139E">
        <w:rPr>
          <w:rFonts w:ascii="SimSun" w:hAnsi="SimSun" w:hint="eastAsia"/>
          <w:sz w:val="21"/>
        </w:rPr>
        <w:t>如果进行国内或国际申请时数据交换的格式能够保持一致性，那么知识产权局和国际局将有更高的</w:t>
      </w:r>
      <w:r w:rsidRPr="00244155">
        <w:rPr>
          <w:rFonts w:ascii="SimSun" w:hAnsi="SimSun" w:hint="eastAsia"/>
          <w:sz w:val="21"/>
          <w:szCs w:val="22"/>
        </w:rPr>
        <w:t>工作效率</w:t>
      </w:r>
      <w:r w:rsidRPr="0034139E">
        <w:rPr>
          <w:rFonts w:ascii="SimSun" w:hAnsi="SimSun" w:hint="eastAsia"/>
          <w:sz w:val="21"/>
        </w:rPr>
        <w:t>；</w:t>
      </w:r>
    </w:p>
    <w:p w:rsidR="00390647" w:rsidRPr="0034139E" w:rsidRDefault="00390647" w:rsidP="00244155">
      <w:pPr>
        <w:overflowPunct w:val="0"/>
        <w:spacing w:afterLines="50" w:after="120" w:line="340" w:lineRule="atLeast"/>
        <w:ind w:left="567"/>
        <w:jc w:val="both"/>
        <w:rPr>
          <w:rFonts w:ascii="SimSun" w:hAnsi="SimSun"/>
          <w:sz w:val="21"/>
        </w:rPr>
      </w:pPr>
      <w:r w:rsidRPr="0034139E">
        <w:rPr>
          <w:rFonts w:ascii="SimSun" w:hAnsi="SimSun"/>
          <w:sz w:val="21"/>
        </w:rPr>
        <w:t>c</w:t>
      </w:r>
      <w:r w:rsidR="002E3D16">
        <w:rPr>
          <w:rFonts w:ascii="SimSun" w:hAnsi="SimSun" w:hint="eastAsia"/>
          <w:sz w:val="21"/>
        </w:rPr>
        <w:t>)</w:t>
      </w:r>
      <w:r w:rsidR="00656C6A">
        <w:rPr>
          <w:rFonts w:ascii="SimSun" w:hAnsi="SimSun" w:hint="eastAsia"/>
          <w:sz w:val="21"/>
        </w:rPr>
        <w:tab/>
      </w:r>
      <w:r w:rsidRPr="0034139E">
        <w:rPr>
          <w:rFonts w:ascii="SimSun" w:hAnsi="SimSun" w:hint="eastAsia"/>
          <w:sz w:val="21"/>
        </w:rPr>
        <w:t>在修改或</w:t>
      </w:r>
      <w:r w:rsidR="00540952">
        <w:rPr>
          <w:rFonts w:ascii="SimSun" w:hAnsi="SimSun" w:hint="eastAsia"/>
          <w:sz w:val="21"/>
        </w:rPr>
        <w:t>不规范</w:t>
      </w:r>
      <w:r w:rsidRPr="0034139E">
        <w:rPr>
          <w:rFonts w:ascii="SimSun" w:hAnsi="SimSun" w:hint="eastAsia"/>
          <w:sz w:val="21"/>
        </w:rPr>
        <w:t>更新之前和之后，知识产权局和国际局应当能够对申请和其他知识产权文件，以及同一份申请的不同版本进行有效的对比；</w:t>
      </w:r>
    </w:p>
    <w:p w:rsidR="00390647" w:rsidRPr="0034139E" w:rsidRDefault="00390647" w:rsidP="00244155">
      <w:pPr>
        <w:overflowPunct w:val="0"/>
        <w:spacing w:afterLines="50" w:after="120" w:line="340" w:lineRule="atLeast"/>
        <w:ind w:left="567"/>
        <w:jc w:val="both"/>
        <w:rPr>
          <w:rFonts w:ascii="SimSun" w:hAnsi="SimSun"/>
          <w:sz w:val="21"/>
        </w:rPr>
      </w:pPr>
      <w:r w:rsidRPr="0034139E">
        <w:rPr>
          <w:rFonts w:ascii="SimSun" w:hAnsi="SimSun"/>
          <w:sz w:val="21"/>
        </w:rPr>
        <w:t>d</w:t>
      </w:r>
      <w:r w:rsidR="002E3D16">
        <w:rPr>
          <w:rFonts w:ascii="SimSun" w:hAnsi="SimSun" w:hint="eastAsia"/>
          <w:sz w:val="21"/>
        </w:rPr>
        <w:t>)</w:t>
      </w:r>
      <w:r w:rsidR="00656C6A">
        <w:rPr>
          <w:rFonts w:ascii="SimSun" w:hAnsi="SimSun" w:hint="eastAsia"/>
          <w:sz w:val="21"/>
        </w:rPr>
        <w:tab/>
      </w:r>
      <w:r w:rsidRPr="0034139E">
        <w:rPr>
          <w:rFonts w:ascii="SimSun" w:hAnsi="SimSun" w:hint="eastAsia"/>
          <w:sz w:val="21"/>
        </w:rPr>
        <w:t>申请人、</w:t>
      </w:r>
      <w:r w:rsidRPr="00244155">
        <w:rPr>
          <w:rFonts w:ascii="SimSun" w:hAnsi="SimSun" w:hint="eastAsia"/>
          <w:sz w:val="21"/>
          <w:szCs w:val="22"/>
        </w:rPr>
        <w:t>知识产权</w:t>
      </w:r>
      <w:r w:rsidRPr="0034139E">
        <w:rPr>
          <w:rFonts w:ascii="SimSun" w:hAnsi="SimSun" w:hint="eastAsia"/>
          <w:sz w:val="21"/>
        </w:rPr>
        <w:t>局和国际局应当能够对</w:t>
      </w:r>
      <w:r w:rsidR="00540952">
        <w:rPr>
          <w:rFonts w:ascii="SimSun" w:hAnsi="SimSun" w:hint="eastAsia"/>
          <w:sz w:val="21"/>
        </w:rPr>
        <w:t>著录项目</w:t>
      </w:r>
      <w:r w:rsidRPr="0034139E">
        <w:rPr>
          <w:rFonts w:ascii="SimSun" w:hAnsi="SimSun" w:hint="eastAsia"/>
          <w:sz w:val="21"/>
        </w:rPr>
        <w:t>数据进行有效的重复使用。</w:t>
      </w:r>
    </w:p>
    <w:p w:rsidR="00390647" w:rsidRPr="0034139E" w:rsidRDefault="00390647"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hint="eastAsia"/>
          <w:sz w:val="21"/>
        </w:rPr>
        <w:t>例如，通过对</w:t>
      </w:r>
      <w:r w:rsidR="00540952">
        <w:rPr>
          <w:rFonts w:ascii="SimSun" w:hAnsi="SimSun" w:hint="eastAsia"/>
          <w:sz w:val="21"/>
        </w:rPr>
        <w:t>著录项目</w:t>
      </w:r>
      <w:r w:rsidRPr="0034139E">
        <w:rPr>
          <w:rFonts w:ascii="SimSun" w:hAnsi="SimSun" w:hint="eastAsia"/>
          <w:sz w:val="21"/>
        </w:rPr>
        <w:t>数据的重复使用，申请人就可以在向一个知识产权局提交申请后，把其中所含的</w:t>
      </w:r>
      <w:r w:rsidR="00540952">
        <w:rPr>
          <w:rFonts w:ascii="SimSun" w:hAnsi="SimSun" w:hint="eastAsia"/>
          <w:sz w:val="21"/>
        </w:rPr>
        <w:t>著录项目</w:t>
      </w:r>
      <w:r w:rsidRPr="0034139E">
        <w:rPr>
          <w:rFonts w:ascii="SimSun" w:hAnsi="SimSun" w:hint="eastAsia"/>
          <w:sz w:val="21"/>
        </w:rPr>
        <w:t>数据用于向其他知识产权局提交的申请，只需要进行某些特定的修改。这样做的要求是，在</w:t>
      </w:r>
      <w:r w:rsidR="00540952">
        <w:rPr>
          <w:rFonts w:ascii="SimSun" w:hAnsi="SimSun" w:hint="eastAsia"/>
          <w:sz w:val="21"/>
        </w:rPr>
        <w:t>著录项目</w:t>
      </w:r>
      <w:r w:rsidRPr="0034139E">
        <w:rPr>
          <w:rFonts w:ascii="SimSun" w:hAnsi="SimSun" w:hint="eastAsia"/>
          <w:sz w:val="21"/>
        </w:rPr>
        <w:t>数据在知识产权局的环境内完成并确认之前，这些数据能够从申请人的知识产权管理系统被“推送”到知识产权局服务器上，生成申请草案，并且在出现新的文件或数据时能够从知识产权局进行“拉取”。这意味着，很多知识产权局需要为申请系统提供一个通用的</w:t>
      </w:r>
      <w:r w:rsidR="00015B3A">
        <w:rPr>
          <w:rFonts w:ascii="SimSun" w:hAnsi="SimSun" w:hint="eastAsia"/>
          <w:sz w:val="21"/>
        </w:rPr>
        <w:t>API</w:t>
      </w:r>
      <w:r w:rsidRPr="0034139E">
        <w:rPr>
          <w:rFonts w:ascii="SimSun" w:hAnsi="SimSun" w:hint="eastAsia"/>
          <w:sz w:val="21"/>
        </w:rPr>
        <w:t>，以启动上述的申请草案——实际上，这是《专利合作条约行政规程》附件F中互操作协议的一次更具现代化的应用，而且无需借用特定的客户端软件。</w:t>
      </w:r>
    </w:p>
    <w:p w:rsidR="00390647" w:rsidRPr="0034139E" w:rsidRDefault="00390647"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hint="eastAsia"/>
          <w:sz w:val="21"/>
        </w:rPr>
        <w:t>知识产权局必须能够在彼此之间和与申请人进行有效的专利和PCT数据交换。为了实现这个目的，这些交换需要具备较高的自动化程度，以确保其可靠性，并避免人工录入数据可能导致的错误。鉴于涉及到的知识产权局数目庞大，为了确保这些知识产权局进行可靠的交流，并鼓励第三方专利信息供应商和专利管理系统供应商开发与知识产权局进行高效互动的系统，我们需要制定切实有效的标</w:t>
      </w:r>
      <w:r w:rsidR="00CF143B">
        <w:rPr>
          <w:rFonts w:ascii="SimSun" w:hAnsi="SimSun"/>
          <w:sz w:val="21"/>
          <w:szCs w:val="22"/>
        </w:rPr>
        <w:t>‍</w:t>
      </w:r>
      <w:r w:rsidRPr="0034139E">
        <w:rPr>
          <w:rFonts w:ascii="SimSun" w:hAnsi="SimSun" w:hint="eastAsia"/>
          <w:sz w:val="21"/>
        </w:rPr>
        <w:t>准。</w:t>
      </w:r>
    </w:p>
    <w:p w:rsidR="00FC65C5" w:rsidRPr="0034139E" w:rsidRDefault="00FC65C5"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hint="eastAsia"/>
          <w:sz w:val="21"/>
        </w:rPr>
        <w:t>国际局与合作伙伴之间的PCT</w:t>
      </w:r>
      <w:r w:rsidRPr="009D0855">
        <w:rPr>
          <w:rFonts w:ascii="SimSun" w:hAnsi="SimSun" w:hint="eastAsia"/>
          <w:sz w:val="21"/>
          <w:szCs w:val="22"/>
        </w:rPr>
        <w:t>数据</w:t>
      </w:r>
      <w:r w:rsidRPr="0034139E">
        <w:rPr>
          <w:rFonts w:ascii="SimSun" w:hAnsi="SimSun" w:hint="eastAsia"/>
          <w:sz w:val="21"/>
        </w:rPr>
        <w:t>交换可以总结如下：</w:t>
      </w:r>
    </w:p>
    <w:p w:rsidR="00FC65C5" w:rsidRPr="0034139E" w:rsidRDefault="009102AC" w:rsidP="00244155">
      <w:pPr>
        <w:overflowPunct w:val="0"/>
        <w:spacing w:afterLines="50" w:after="120" w:line="340" w:lineRule="atLeast"/>
        <w:ind w:left="567"/>
        <w:jc w:val="both"/>
        <w:rPr>
          <w:rFonts w:ascii="SimSun" w:hAnsi="SimSun"/>
          <w:sz w:val="21"/>
        </w:rPr>
      </w:pPr>
      <w:r>
        <w:rPr>
          <w:rFonts w:ascii="SimSun" w:hAnsi="SimSun" w:hint="eastAsia"/>
          <w:sz w:val="21"/>
        </w:rPr>
        <w:t>a)</w:t>
      </w:r>
      <w:r>
        <w:rPr>
          <w:rFonts w:ascii="SimSun" w:hAnsi="SimSun" w:hint="eastAsia"/>
          <w:sz w:val="21"/>
        </w:rPr>
        <w:tab/>
      </w:r>
      <w:r w:rsidR="00FC65C5" w:rsidRPr="0034139E">
        <w:rPr>
          <w:rFonts w:ascii="SimSun" w:hAnsi="SimSun" w:hint="eastAsia"/>
          <w:sz w:val="21"/>
        </w:rPr>
        <w:t>电子数据</w:t>
      </w:r>
      <w:r w:rsidR="00FC65C5" w:rsidRPr="00244155">
        <w:rPr>
          <w:rFonts w:ascii="SimSun" w:hAnsi="SimSun" w:hint="eastAsia"/>
          <w:sz w:val="21"/>
          <w:szCs w:val="22"/>
        </w:rPr>
        <w:t>交换</w:t>
      </w:r>
      <w:r w:rsidR="00FC65C5" w:rsidRPr="0034139E">
        <w:rPr>
          <w:rFonts w:ascii="SimSun" w:hAnsi="SimSun" w:hint="eastAsia"/>
          <w:sz w:val="21"/>
        </w:rPr>
        <w:t>（涉及到PCT时，指PCT</w:t>
      </w:r>
      <w:r w:rsidR="009231AB">
        <w:rPr>
          <w:rFonts w:ascii="SimSun" w:hAnsi="SimSun" w:hint="eastAsia"/>
          <w:sz w:val="21"/>
        </w:rPr>
        <w:t>-EDI</w:t>
      </w:r>
      <w:r w:rsidR="00FC65C5" w:rsidRPr="0034139E">
        <w:rPr>
          <w:rFonts w:ascii="SimSun" w:hAnsi="SimSun" w:hint="eastAsia"/>
          <w:sz w:val="21"/>
        </w:rPr>
        <w:t>）。这是一个非同步的文件传送平台，也是主要的数据交换枢纽；</w:t>
      </w:r>
    </w:p>
    <w:p w:rsidR="00FC65C5" w:rsidRPr="0034139E" w:rsidRDefault="009102AC" w:rsidP="00244155">
      <w:pPr>
        <w:overflowPunct w:val="0"/>
        <w:spacing w:afterLines="50" w:after="120" w:line="340" w:lineRule="atLeast"/>
        <w:ind w:left="567"/>
        <w:jc w:val="both"/>
        <w:rPr>
          <w:rFonts w:ascii="SimSun" w:hAnsi="SimSun"/>
          <w:sz w:val="21"/>
        </w:rPr>
      </w:pPr>
      <w:r>
        <w:rPr>
          <w:rFonts w:ascii="SimSun" w:hAnsi="SimSun" w:hint="eastAsia"/>
          <w:sz w:val="21"/>
          <w:szCs w:val="22"/>
        </w:rPr>
        <w:t>b)</w:t>
      </w:r>
      <w:r>
        <w:rPr>
          <w:rFonts w:ascii="SimSun" w:hAnsi="SimSun" w:hint="eastAsia"/>
          <w:sz w:val="21"/>
          <w:szCs w:val="22"/>
        </w:rPr>
        <w:tab/>
      </w:r>
      <w:r w:rsidR="00FC65C5" w:rsidRPr="00B667AB">
        <w:rPr>
          <w:rFonts w:ascii="SimSun" w:hAnsi="SimSun" w:hint="eastAsia"/>
          <w:sz w:val="21"/>
          <w:szCs w:val="22"/>
        </w:rPr>
        <w:t>数据格式</w:t>
      </w:r>
      <w:r w:rsidR="00FC65C5" w:rsidRPr="0034139E">
        <w:rPr>
          <w:rFonts w:ascii="SimSun" w:hAnsi="SimSun" w:hint="eastAsia"/>
          <w:sz w:val="21"/>
        </w:rPr>
        <w:t>多为图像，以及以结构化格式提供的附加索引和元数据；</w:t>
      </w:r>
    </w:p>
    <w:p w:rsidR="00FC65C5" w:rsidRPr="0034139E" w:rsidRDefault="009102AC" w:rsidP="00244155">
      <w:pPr>
        <w:overflowPunct w:val="0"/>
        <w:spacing w:afterLines="50" w:after="120" w:line="340" w:lineRule="atLeast"/>
        <w:ind w:left="567"/>
        <w:jc w:val="both"/>
        <w:rPr>
          <w:rFonts w:ascii="SimSun" w:hAnsi="SimSun"/>
          <w:sz w:val="21"/>
        </w:rPr>
      </w:pPr>
      <w:r>
        <w:rPr>
          <w:rFonts w:ascii="SimSun" w:hAnsi="SimSun" w:hint="eastAsia"/>
          <w:sz w:val="21"/>
        </w:rPr>
        <w:t>c)</w:t>
      </w:r>
      <w:r>
        <w:rPr>
          <w:rFonts w:ascii="SimSun" w:hAnsi="SimSun" w:hint="eastAsia"/>
          <w:sz w:val="21"/>
        </w:rPr>
        <w:tab/>
      </w:r>
      <w:r w:rsidR="00FC65C5" w:rsidRPr="0034139E">
        <w:rPr>
          <w:rFonts w:ascii="SimSun" w:hAnsi="SimSun" w:hint="eastAsia"/>
          <w:sz w:val="21"/>
        </w:rPr>
        <w:t>应用的数据标准（涉及到PCT时，被称为“最低规格”），这是对《专利合作条约行政规程》附件F的简化解读</w:t>
      </w:r>
      <w:r w:rsidR="009231AB">
        <w:rPr>
          <w:rFonts w:ascii="SimSun" w:hAnsi="SimSun" w:hint="eastAsia"/>
          <w:sz w:val="21"/>
        </w:rPr>
        <w:t>;</w:t>
      </w:r>
      <w:r w:rsidR="009231AB" w:rsidRPr="0034139E">
        <w:rPr>
          <w:rFonts w:ascii="SimSun" w:hAnsi="SimSun" w:hint="eastAsia"/>
          <w:sz w:val="21"/>
        </w:rPr>
        <w:t>以及</w:t>
      </w:r>
      <w:r w:rsidR="009231AB" w:rsidRPr="00244155">
        <w:rPr>
          <w:rFonts w:ascii="SimSun" w:hAnsi="SimSun" w:hint="eastAsia"/>
          <w:sz w:val="21"/>
          <w:szCs w:val="22"/>
        </w:rPr>
        <w:t>附件</w:t>
      </w:r>
      <w:r w:rsidR="009231AB" w:rsidRPr="0034139E">
        <w:rPr>
          <w:rFonts w:ascii="SimSun" w:hAnsi="SimSun" w:hint="eastAsia"/>
          <w:sz w:val="21"/>
        </w:rPr>
        <w:t>F/WIPO标准ST.36</w:t>
      </w:r>
      <w:r w:rsidR="00FC65C5" w:rsidRPr="0034139E">
        <w:rPr>
          <w:rFonts w:ascii="SimSun" w:hAnsi="SimSun" w:hint="eastAsia"/>
          <w:sz w:val="21"/>
        </w:rPr>
        <w:t>（目前在与某些知识产权局审议WIPO标准ST.96）；</w:t>
      </w:r>
    </w:p>
    <w:p w:rsidR="00FC65C5" w:rsidRPr="0034139E" w:rsidRDefault="009102AC" w:rsidP="00244155">
      <w:pPr>
        <w:overflowPunct w:val="0"/>
        <w:spacing w:afterLines="50" w:after="120" w:line="340" w:lineRule="atLeast"/>
        <w:ind w:left="567"/>
        <w:jc w:val="both"/>
        <w:rPr>
          <w:rFonts w:ascii="SimSun" w:hAnsi="SimSun"/>
          <w:sz w:val="21"/>
        </w:rPr>
      </w:pPr>
      <w:r>
        <w:rPr>
          <w:rFonts w:ascii="SimSun" w:hAnsi="SimSun" w:hint="eastAsia"/>
          <w:sz w:val="21"/>
        </w:rPr>
        <w:t>d)</w:t>
      </w:r>
      <w:r>
        <w:rPr>
          <w:rFonts w:ascii="SimSun" w:hAnsi="SimSun" w:hint="eastAsia"/>
          <w:sz w:val="21"/>
        </w:rPr>
        <w:tab/>
      </w:r>
      <w:r w:rsidR="00FC65C5" w:rsidRPr="0034139E">
        <w:rPr>
          <w:rFonts w:ascii="SimSun" w:hAnsi="SimSun" w:hint="eastAsia"/>
          <w:sz w:val="21"/>
        </w:rPr>
        <w:t>数字交换占所有输入和输出数据的97%，几乎所有用纸质文件进行的交换都已经淘汰了。</w:t>
      </w:r>
    </w:p>
    <w:p w:rsidR="00FC65C5" w:rsidRPr="0034139E" w:rsidRDefault="00FC65C5"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hint="eastAsia"/>
          <w:sz w:val="21"/>
        </w:rPr>
        <w:t>不涉及国际局的实体间PCT数据交换可以总结如下：</w:t>
      </w:r>
    </w:p>
    <w:p w:rsidR="00FC65C5" w:rsidRPr="0034139E" w:rsidRDefault="009102AC" w:rsidP="00244155">
      <w:pPr>
        <w:overflowPunct w:val="0"/>
        <w:spacing w:afterLines="50" w:after="120" w:line="340" w:lineRule="atLeast"/>
        <w:ind w:left="567"/>
        <w:jc w:val="both"/>
        <w:rPr>
          <w:rFonts w:ascii="SimSun" w:hAnsi="SimSun"/>
          <w:sz w:val="21"/>
        </w:rPr>
      </w:pPr>
      <w:r>
        <w:rPr>
          <w:rFonts w:ascii="SimSun" w:hAnsi="SimSun" w:hint="eastAsia"/>
          <w:sz w:val="21"/>
        </w:rPr>
        <w:t>a)</w:t>
      </w:r>
      <w:r>
        <w:rPr>
          <w:rFonts w:ascii="SimSun" w:hAnsi="SimSun" w:hint="eastAsia"/>
          <w:sz w:val="21"/>
        </w:rPr>
        <w:tab/>
      </w:r>
      <w:r w:rsidR="00FC65C5" w:rsidRPr="0034139E">
        <w:rPr>
          <w:rFonts w:ascii="SimSun" w:hAnsi="SimSun" w:hint="eastAsia"/>
          <w:sz w:val="21"/>
        </w:rPr>
        <w:t>ePCT主管局门户、ePCT机器对机器服务以及eSearch-Copy系统得到少量使用；</w:t>
      </w:r>
    </w:p>
    <w:p w:rsidR="00FC65C5" w:rsidRPr="0034139E" w:rsidRDefault="009102AC" w:rsidP="00244155">
      <w:pPr>
        <w:overflowPunct w:val="0"/>
        <w:spacing w:afterLines="50" w:after="120" w:line="340" w:lineRule="atLeast"/>
        <w:ind w:left="567"/>
        <w:jc w:val="both"/>
        <w:rPr>
          <w:rFonts w:ascii="SimSun" w:hAnsi="SimSun"/>
          <w:sz w:val="21"/>
        </w:rPr>
      </w:pPr>
      <w:r>
        <w:rPr>
          <w:rFonts w:ascii="SimSun" w:hAnsi="SimSun" w:hint="eastAsia"/>
          <w:sz w:val="21"/>
        </w:rPr>
        <w:t>b)</w:t>
      </w:r>
      <w:r>
        <w:rPr>
          <w:rFonts w:ascii="SimSun" w:hAnsi="SimSun" w:hint="eastAsia"/>
          <w:sz w:val="21"/>
        </w:rPr>
        <w:tab/>
      </w:r>
      <w:r w:rsidR="00FC65C5" w:rsidRPr="0034139E">
        <w:rPr>
          <w:rFonts w:ascii="SimSun" w:hAnsi="SimSun" w:hint="eastAsia"/>
          <w:sz w:val="21"/>
        </w:rPr>
        <w:t>数据格式多为图像，以及以结构化格式提供的附加索引和元数据；</w:t>
      </w:r>
    </w:p>
    <w:p w:rsidR="00FC65C5" w:rsidRPr="0034139E" w:rsidRDefault="009102AC" w:rsidP="00244155">
      <w:pPr>
        <w:overflowPunct w:val="0"/>
        <w:spacing w:afterLines="50" w:after="120" w:line="340" w:lineRule="atLeast"/>
        <w:ind w:left="567"/>
        <w:jc w:val="both"/>
        <w:rPr>
          <w:rFonts w:ascii="SimSun" w:hAnsi="SimSun"/>
          <w:sz w:val="21"/>
        </w:rPr>
      </w:pPr>
      <w:r>
        <w:rPr>
          <w:rFonts w:ascii="SimSun" w:hAnsi="SimSun" w:hint="eastAsia"/>
          <w:sz w:val="21"/>
        </w:rPr>
        <w:lastRenderedPageBreak/>
        <w:t>c)</w:t>
      </w:r>
      <w:r>
        <w:rPr>
          <w:rFonts w:ascii="SimSun" w:hAnsi="SimSun" w:hint="eastAsia"/>
          <w:sz w:val="21"/>
        </w:rPr>
        <w:tab/>
      </w:r>
      <w:r w:rsidR="00FC65C5" w:rsidRPr="0034139E">
        <w:rPr>
          <w:rFonts w:ascii="SimSun" w:hAnsi="SimSun" w:hint="eastAsia"/>
          <w:sz w:val="21"/>
        </w:rPr>
        <w:t>应用的数据</w:t>
      </w:r>
      <w:r w:rsidR="00FC65C5" w:rsidRPr="00B667AB">
        <w:rPr>
          <w:rFonts w:ascii="SimSun" w:hAnsi="SimSun" w:hint="eastAsia"/>
          <w:sz w:val="21"/>
          <w:szCs w:val="22"/>
        </w:rPr>
        <w:t>标准</w:t>
      </w:r>
      <w:r w:rsidR="00FC65C5" w:rsidRPr="0034139E">
        <w:rPr>
          <w:rFonts w:ascii="SimSun" w:hAnsi="SimSun" w:hint="eastAsia"/>
          <w:sz w:val="21"/>
        </w:rPr>
        <w:t>包括所谓的“最低规格”，这是对附件F的简化解读；</w:t>
      </w:r>
      <w:r w:rsidR="009231AB" w:rsidRPr="0034139E">
        <w:rPr>
          <w:rFonts w:ascii="SimSun" w:hAnsi="SimSun" w:hint="eastAsia"/>
          <w:sz w:val="21"/>
        </w:rPr>
        <w:t>以及附件F/WIPO标准ST.36</w:t>
      </w:r>
      <w:r w:rsidR="00FC65C5" w:rsidRPr="0034139E">
        <w:rPr>
          <w:rFonts w:ascii="SimSun" w:hAnsi="SimSun" w:hint="eastAsia"/>
          <w:sz w:val="21"/>
        </w:rPr>
        <w:t>（目前在与某些知识产权局审议WIPO标准ST.96）</w:t>
      </w:r>
      <w:r w:rsidR="009231AB">
        <w:rPr>
          <w:rFonts w:ascii="SimSun" w:hAnsi="SimSun" w:hint="eastAsia"/>
          <w:sz w:val="21"/>
        </w:rPr>
        <w:t>；</w:t>
      </w:r>
    </w:p>
    <w:p w:rsidR="00935613" w:rsidRPr="0034139E" w:rsidRDefault="009102AC" w:rsidP="00244155">
      <w:pPr>
        <w:overflowPunct w:val="0"/>
        <w:spacing w:afterLines="50" w:after="120" w:line="340" w:lineRule="atLeast"/>
        <w:ind w:left="567"/>
        <w:jc w:val="both"/>
        <w:rPr>
          <w:rFonts w:ascii="SimSun" w:hAnsi="SimSun"/>
          <w:sz w:val="21"/>
        </w:rPr>
      </w:pPr>
      <w:r>
        <w:rPr>
          <w:rFonts w:ascii="SimSun" w:hAnsi="SimSun" w:hint="eastAsia"/>
          <w:sz w:val="21"/>
        </w:rPr>
        <w:t>d)</w:t>
      </w:r>
      <w:r>
        <w:rPr>
          <w:rFonts w:ascii="SimSun" w:hAnsi="SimSun" w:hint="eastAsia"/>
          <w:sz w:val="21"/>
        </w:rPr>
        <w:tab/>
      </w:r>
      <w:r w:rsidR="00FC65C5" w:rsidRPr="0034139E">
        <w:rPr>
          <w:rFonts w:ascii="SimSun" w:hAnsi="SimSun" w:hint="eastAsia"/>
          <w:sz w:val="21"/>
        </w:rPr>
        <w:t>目前是临时</w:t>
      </w:r>
      <w:r w:rsidR="00FC65C5" w:rsidRPr="00B667AB">
        <w:rPr>
          <w:rFonts w:ascii="SimSun" w:hAnsi="SimSun" w:hint="eastAsia"/>
          <w:sz w:val="21"/>
          <w:szCs w:val="22"/>
        </w:rPr>
        <w:t>安排</w:t>
      </w:r>
      <w:r w:rsidR="00FC65C5" w:rsidRPr="0034139E">
        <w:rPr>
          <w:rFonts w:ascii="SimSun" w:hAnsi="SimSun" w:hint="eastAsia"/>
          <w:sz w:val="21"/>
        </w:rPr>
        <w:t>，频次较低，因此这方面有进一步数字化的显著机会。</w:t>
      </w:r>
    </w:p>
    <w:p w:rsidR="00935613" w:rsidRPr="0034139E" w:rsidRDefault="00FC65C5"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hint="eastAsia"/>
          <w:sz w:val="21"/>
        </w:rPr>
        <w:t>为了使国际局及其合作伙伴通过在PCT下开展的数据交换活动获益，我们需要克服很多挑战。首先，出于前文所述的理由，我们应当使用更加标准化的、完全基于XML的格式，以取代现有的、主要以图像格式为基础的模式。其次，可能在PCT系统下出现的大量双边交换（例如，受理局和国际检索机构之间的数据交换）可以通过集中模式（例如</w:t>
      </w:r>
      <w:r w:rsidRPr="0034139E">
        <w:rPr>
          <w:rFonts w:ascii="SimSun" w:hAnsi="SimSun"/>
          <w:sz w:val="21"/>
        </w:rPr>
        <w:t>eSearch-Copy</w:t>
      </w:r>
      <w:r w:rsidRPr="0034139E">
        <w:rPr>
          <w:rFonts w:ascii="SimSun" w:hAnsi="SimSun" w:hint="eastAsia"/>
          <w:sz w:val="21"/>
        </w:rPr>
        <w:t>模式）实现标准化。这样做还有助于满足与传送PCT数据有关的安全需求。此类数据，特别是对于较小的知识产权局来说，需要更高的成本和复杂性。最后，对于国际局、知识产权局和国际检索机构之间分布的数据库，由于非同步数据交换导致的时间延迟，数据到达这些数据库的及时性和准确性都会受到影响。</w:t>
      </w:r>
    </w:p>
    <w:p w:rsidR="00BC28AE" w:rsidRPr="0034139E" w:rsidRDefault="00D40A28" w:rsidP="00244155">
      <w:pPr>
        <w:overflowPunct w:val="0"/>
        <w:spacing w:afterLines="50" w:after="120" w:line="340" w:lineRule="atLeast"/>
        <w:ind w:left="567"/>
        <w:jc w:val="both"/>
        <w:rPr>
          <w:rFonts w:ascii="SimSun" w:hAnsi="SimSun"/>
          <w:bCs/>
          <w:sz w:val="21"/>
          <w:szCs w:val="26"/>
          <w:u w:val="single"/>
        </w:rPr>
      </w:pPr>
      <w:r>
        <w:rPr>
          <w:rFonts w:ascii="SimSun" w:hAnsi="SimSun" w:hint="eastAsia"/>
          <w:bCs/>
          <w:sz w:val="21"/>
          <w:szCs w:val="26"/>
          <w:u w:val="single"/>
        </w:rPr>
        <w:t>建　议</w:t>
      </w:r>
    </w:p>
    <w:p w:rsidR="00BC28AE" w:rsidRPr="0034139E" w:rsidRDefault="00BC28AE" w:rsidP="00244155">
      <w:pPr>
        <w:overflowPunct w:val="0"/>
        <w:spacing w:afterLines="50" w:after="120" w:line="340" w:lineRule="atLeast"/>
        <w:ind w:left="567"/>
        <w:jc w:val="both"/>
        <w:rPr>
          <w:rFonts w:ascii="SimSun" w:hAnsi="SimSun"/>
          <w:sz w:val="21"/>
        </w:rPr>
      </w:pPr>
      <w:r w:rsidRPr="0034139E">
        <w:rPr>
          <w:rFonts w:ascii="SimSun" w:hAnsi="SimSun" w:hint="eastAsia"/>
          <w:sz w:val="21"/>
          <w:u w:val="single"/>
        </w:rPr>
        <w:t>建议13</w:t>
      </w:r>
      <w:r w:rsidR="009102AC" w:rsidRPr="009102AC">
        <w:rPr>
          <w:rFonts w:ascii="SimSun" w:hAnsi="SimSun" w:hint="eastAsia"/>
          <w:sz w:val="21"/>
        </w:rPr>
        <w:t>：</w:t>
      </w:r>
      <w:r w:rsidRPr="0034139E">
        <w:rPr>
          <w:rFonts w:ascii="SimSun" w:hAnsi="SimSun" w:hint="eastAsia"/>
          <w:sz w:val="21"/>
        </w:rPr>
        <w:t>知识产权局</w:t>
      </w:r>
      <w:r w:rsidRPr="00244155">
        <w:rPr>
          <w:rFonts w:ascii="SimSun" w:hAnsi="SimSun" w:hint="eastAsia"/>
          <w:sz w:val="21"/>
          <w:szCs w:val="22"/>
        </w:rPr>
        <w:t>应当</w:t>
      </w:r>
      <w:r w:rsidRPr="0034139E">
        <w:rPr>
          <w:rFonts w:ascii="SimSun" w:hAnsi="SimSun" w:hint="eastAsia"/>
          <w:sz w:val="21"/>
        </w:rPr>
        <w:t>努力提高与国际局交换标准化的、完全基于XML的数据的程度，这方面可以考虑ePCT机器对</w:t>
      </w:r>
      <w:r w:rsidRPr="00B667AB">
        <w:rPr>
          <w:rFonts w:ascii="SimSun" w:hAnsi="SimSun" w:hint="eastAsia"/>
          <w:sz w:val="21"/>
          <w:szCs w:val="22"/>
        </w:rPr>
        <w:t>机器</w:t>
      </w:r>
      <w:r w:rsidRPr="0034139E">
        <w:rPr>
          <w:rFonts w:ascii="SimSun" w:hAnsi="SimSun" w:hint="eastAsia"/>
          <w:sz w:val="21"/>
        </w:rPr>
        <w:t>服务等同步模式。</w:t>
      </w:r>
    </w:p>
    <w:p w:rsidR="00BC28AE" w:rsidRPr="0034139E" w:rsidRDefault="00BC28AE" w:rsidP="00244155">
      <w:pPr>
        <w:overflowPunct w:val="0"/>
        <w:spacing w:afterLines="50" w:after="120" w:line="340" w:lineRule="atLeast"/>
        <w:ind w:left="567"/>
        <w:jc w:val="both"/>
        <w:rPr>
          <w:rFonts w:ascii="SimSun" w:hAnsi="SimSun"/>
          <w:sz w:val="21"/>
        </w:rPr>
      </w:pPr>
      <w:r w:rsidRPr="0034139E">
        <w:rPr>
          <w:rFonts w:ascii="SimSun" w:hAnsi="SimSun" w:hint="eastAsia"/>
          <w:sz w:val="21"/>
          <w:u w:val="single"/>
        </w:rPr>
        <w:t>建议14</w:t>
      </w:r>
      <w:r w:rsidR="009102AC" w:rsidRPr="009102AC">
        <w:rPr>
          <w:rFonts w:ascii="SimSun" w:hAnsi="SimSun" w:hint="eastAsia"/>
          <w:sz w:val="21"/>
        </w:rPr>
        <w:t>：</w:t>
      </w:r>
      <w:r w:rsidRPr="0034139E">
        <w:rPr>
          <w:rFonts w:ascii="SimSun" w:hAnsi="SimSun" w:hint="eastAsia"/>
          <w:sz w:val="21"/>
        </w:rPr>
        <w:t>国际局和知识产权局应当就PCT框架下进行的传统双向纸质数据交换的标准化模式开始磋商，同时考虑到用于</w:t>
      </w:r>
      <w:r w:rsidRPr="00B667AB">
        <w:rPr>
          <w:rFonts w:ascii="SimSun" w:hAnsi="SimSun" w:hint="eastAsia"/>
          <w:sz w:val="21"/>
          <w:szCs w:val="22"/>
        </w:rPr>
        <w:t>确保</w:t>
      </w:r>
      <w:r w:rsidRPr="0034139E">
        <w:rPr>
          <w:rFonts w:ascii="SimSun" w:hAnsi="SimSun" w:hint="eastAsia"/>
          <w:sz w:val="21"/>
        </w:rPr>
        <w:t>安全需求方面的投入得到了优化。</w:t>
      </w:r>
    </w:p>
    <w:p w:rsidR="00BC28AE" w:rsidRPr="00244155" w:rsidRDefault="00C13753" w:rsidP="00244155">
      <w:pPr>
        <w:keepNext/>
        <w:overflowPunct w:val="0"/>
        <w:spacing w:beforeLines="100" w:before="240" w:afterLines="50" w:after="120" w:line="340" w:lineRule="atLeast"/>
        <w:outlineLvl w:val="3"/>
        <w:rPr>
          <w:rFonts w:ascii="KaiTi" w:eastAsia="KaiTi" w:hAnsi="KaiTi"/>
          <w:bCs/>
          <w:sz w:val="21"/>
          <w:szCs w:val="28"/>
        </w:rPr>
      </w:pPr>
      <w:r>
        <w:rPr>
          <w:rFonts w:ascii="KaiTi" w:eastAsia="KaiTi" w:hAnsi="KaiTi" w:hint="eastAsia"/>
          <w:bCs/>
          <w:sz w:val="21"/>
          <w:szCs w:val="28"/>
        </w:rPr>
        <w:t>专利族</w:t>
      </w:r>
      <w:r w:rsidR="00BC28AE" w:rsidRPr="00244155">
        <w:rPr>
          <w:rFonts w:ascii="KaiTi" w:eastAsia="KaiTi" w:hAnsi="KaiTi" w:hint="eastAsia"/>
          <w:bCs/>
          <w:sz w:val="21"/>
          <w:szCs w:val="28"/>
        </w:rPr>
        <w:t>的鉴别</w:t>
      </w:r>
    </w:p>
    <w:p w:rsidR="00A118AB" w:rsidRPr="0034139E" w:rsidRDefault="00BC28AE" w:rsidP="009231AB">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hint="eastAsia"/>
          <w:sz w:val="21"/>
        </w:rPr>
        <w:t>知识产权局越来越喜欢使用工作共享机制，例如</w:t>
      </w:r>
      <w:r w:rsidR="009231AB">
        <w:rPr>
          <w:rFonts w:ascii="SimSun" w:hAnsi="SimSun" w:hint="eastAsia"/>
          <w:sz w:val="21"/>
        </w:rPr>
        <w:t xml:space="preserve">WIPO </w:t>
      </w:r>
      <w:r w:rsidRPr="0034139E">
        <w:rPr>
          <w:rFonts w:ascii="SimSun" w:hAnsi="SimSun" w:hint="eastAsia"/>
          <w:sz w:val="21"/>
        </w:rPr>
        <w:t>CASE</w:t>
      </w:r>
      <w:r w:rsidR="009231AB">
        <w:rPr>
          <w:rFonts w:ascii="SimSun" w:hAnsi="SimSun" w:hint="eastAsia"/>
          <w:sz w:val="21"/>
        </w:rPr>
        <w:t>（</w:t>
      </w:r>
      <w:r w:rsidR="009231AB" w:rsidRPr="009231AB">
        <w:rPr>
          <w:rFonts w:ascii="SimSun" w:hAnsi="SimSun" w:hint="eastAsia"/>
          <w:sz w:val="21"/>
        </w:rPr>
        <w:t>检索和审查集中式接入</w:t>
      </w:r>
      <w:r w:rsidRPr="0034139E">
        <w:rPr>
          <w:rFonts w:ascii="SimSun" w:hAnsi="SimSun" w:hint="eastAsia"/>
          <w:sz w:val="21"/>
        </w:rPr>
        <w:t>）或</w:t>
      </w:r>
      <w:r w:rsidR="009231AB" w:rsidRPr="009231AB">
        <w:rPr>
          <w:rFonts w:ascii="SimSun" w:hAnsi="SimSun"/>
          <w:sz w:val="21"/>
        </w:rPr>
        <w:t>One Portal Dossier</w:t>
      </w:r>
      <w:r w:rsidR="009231AB">
        <w:rPr>
          <w:rFonts w:ascii="SimSun" w:hAnsi="SimSun" w:hint="eastAsia"/>
          <w:sz w:val="21"/>
        </w:rPr>
        <w:t>（</w:t>
      </w:r>
      <w:r w:rsidRPr="0034139E">
        <w:rPr>
          <w:rFonts w:ascii="SimSun" w:hAnsi="SimSun" w:hint="eastAsia"/>
          <w:sz w:val="21"/>
        </w:rPr>
        <w:t>单一界面案卷访问</w:t>
      </w:r>
      <w:r w:rsidR="009231AB">
        <w:rPr>
          <w:rFonts w:ascii="SimSun" w:hAnsi="SimSun" w:hint="eastAsia"/>
          <w:sz w:val="21"/>
        </w:rPr>
        <w:t>）</w:t>
      </w:r>
      <w:r w:rsidRPr="0034139E">
        <w:rPr>
          <w:rFonts w:ascii="SimSun" w:hAnsi="SimSun" w:hint="eastAsia"/>
          <w:sz w:val="21"/>
        </w:rPr>
        <w:t>等工具，来查看从其他知识产权局获得的检索和审查结果。不过，总的来说，这些系统只包括已公布</w:t>
      </w:r>
      <w:r w:rsidRPr="009D0855">
        <w:rPr>
          <w:rFonts w:ascii="SimSun" w:hAnsi="SimSun" w:hint="eastAsia"/>
          <w:sz w:val="21"/>
          <w:szCs w:val="22"/>
        </w:rPr>
        <w:t>专利</w:t>
      </w:r>
      <w:r w:rsidRPr="0034139E">
        <w:rPr>
          <w:rFonts w:ascii="SimSun" w:hAnsi="SimSun" w:hint="eastAsia"/>
          <w:sz w:val="21"/>
        </w:rPr>
        <w:t>申请的检索和审查结果。很多知识产权局正在减少积压的申请，这样它们就可以在优先</w:t>
      </w:r>
      <w:r w:rsidR="009231AB">
        <w:rPr>
          <w:rFonts w:ascii="SimSun" w:hAnsi="SimSun" w:hint="eastAsia"/>
          <w:sz w:val="21"/>
        </w:rPr>
        <w:t>权</w:t>
      </w:r>
      <w:r w:rsidRPr="0034139E">
        <w:rPr>
          <w:rFonts w:ascii="SimSun" w:hAnsi="SimSun" w:hint="eastAsia"/>
          <w:sz w:val="21"/>
        </w:rPr>
        <w:t>申请（或向首次</w:t>
      </w:r>
      <w:r w:rsidR="00940A15" w:rsidRPr="0034139E">
        <w:rPr>
          <w:rFonts w:ascii="SimSun" w:hAnsi="SimSun" w:hint="eastAsia"/>
          <w:sz w:val="21"/>
        </w:rPr>
        <w:t>受理局提交的后</w:t>
      </w:r>
      <w:r w:rsidR="009231AB">
        <w:rPr>
          <w:rFonts w:ascii="SimSun" w:hAnsi="SimSun" w:hint="eastAsia"/>
          <w:sz w:val="21"/>
        </w:rPr>
        <w:t>续</w:t>
      </w:r>
      <w:r w:rsidR="00940A15" w:rsidRPr="0034139E">
        <w:rPr>
          <w:rFonts w:ascii="SimSun" w:hAnsi="SimSun" w:hint="eastAsia"/>
          <w:sz w:val="21"/>
        </w:rPr>
        <w:t>申请）被发布之前进行首次检索和审查。当然，</w:t>
      </w:r>
      <w:r w:rsidRPr="0034139E">
        <w:rPr>
          <w:rFonts w:ascii="SimSun" w:hAnsi="SimSun" w:hint="eastAsia"/>
          <w:sz w:val="21"/>
        </w:rPr>
        <w:t>二次受理局会根据要求的优先权知晓此前申请的存在，但是一般来说，所涉知识产权局不会知道</w:t>
      </w:r>
      <w:r w:rsidR="00C13753">
        <w:rPr>
          <w:rFonts w:ascii="SimSun" w:hAnsi="SimSun" w:hint="eastAsia"/>
          <w:sz w:val="21"/>
        </w:rPr>
        <w:t>专利族</w:t>
      </w:r>
      <w:r w:rsidRPr="0034139E">
        <w:rPr>
          <w:rFonts w:ascii="SimSun" w:hAnsi="SimSun" w:hint="eastAsia"/>
          <w:sz w:val="21"/>
        </w:rPr>
        <w:t>的其他成员。</w:t>
      </w:r>
      <w:r w:rsidR="00C13753">
        <w:rPr>
          <w:rFonts w:ascii="SimSun" w:hAnsi="SimSun" w:hint="eastAsia"/>
          <w:sz w:val="21"/>
        </w:rPr>
        <w:t>专利族</w:t>
      </w:r>
      <w:r w:rsidRPr="0034139E">
        <w:rPr>
          <w:rFonts w:ascii="SimSun" w:hAnsi="SimSun" w:hint="eastAsia"/>
          <w:sz w:val="21"/>
        </w:rPr>
        <w:t>有时候在相关的多份专利申请被公布之后才能逐渐浮出水面。在此之前，知识产权局牵头的工作共享程度非常有限。</w:t>
      </w:r>
    </w:p>
    <w:p w:rsidR="00A118AB" w:rsidRPr="0034139E" w:rsidRDefault="00E84AF8"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hint="eastAsia"/>
          <w:sz w:val="21"/>
        </w:rPr>
        <w:t>如果</w:t>
      </w:r>
      <w:r w:rsidR="00C13753">
        <w:rPr>
          <w:rFonts w:ascii="SimSun" w:hAnsi="SimSun" w:hint="eastAsia"/>
          <w:sz w:val="21"/>
        </w:rPr>
        <w:t>专利族</w:t>
      </w:r>
      <w:r w:rsidRPr="009D0855">
        <w:rPr>
          <w:rFonts w:ascii="SimSun" w:hAnsi="SimSun" w:hint="eastAsia"/>
          <w:sz w:val="21"/>
          <w:szCs w:val="22"/>
        </w:rPr>
        <w:t>信息</w:t>
      </w:r>
      <w:r w:rsidRPr="0034139E">
        <w:rPr>
          <w:rFonts w:ascii="SimSun" w:hAnsi="SimSun" w:hint="eastAsia"/>
          <w:sz w:val="21"/>
        </w:rPr>
        <w:t>可以获取，并且知识产权局已经建立了查看公布前信息的权</w:t>
      </w:r>
      <w:r w:rsidR="00E60492">
        <w:rPr>
          <w:rFonts w:ascii="SimSun" w:hAnsi="SimSun" w:hint="eastAsia"/>
          <w:sz w:val="21"/>
        </w:rPr>
        <w:t>利</w:t>
      </w:r>
      <w:r w:rsidRPr="0034139E">
        <w:rPr>
          <w:rFonts w:ascii="SimSun" w:hAnsi="SimSun" w:hint="eastAsia"/>
          <w:sz w:val="21"/>
        </w:rPr>
        <w:t>制度，在申请公布前分享检索和审查信息的系统相对来说会较为简单。</w:t>
      </w:r>
    </w:p>
    <w:p w:rsidR="00A118AB" w:rsidRPr="0034139E" w:rsidRDefault="00E84AF8"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hint="eastAsia"/>
          <w:sz w:val="21"/>
        </w:rPr>
        <w:t>很多国家的法律绝对禁止知识产权局在申请公布前</w:t>
      </w:r>
      <w:r w:rsidR="00E60492">
        <w:rPr>
          <w:rFonts w:ascii="SimSun" w:hAnsi="SimSun" w:hint="eastAsia"/>
          <w:sz w:val="21"/>
        </w:rPr>
        <w:t>，</w:t>
      </w:r>
      <w:r w:rsidRPr="0034139E">
        <w:rPr>
          <w:rFonts w:ascii="SimSun" w:hAnsi="SimSun" w:hint="eastAsia"/>
          <w:sz w:val="21"/>
        </w:rPr>
        <w:t>未经申请人许可向其他方提供与专利申请相关的任何信息。不过，知识产权局仍能采取某些行动，以提高专利系统的效能。</w:t>
      </w:r>
    </w:p>
    <w:p w:rsidR="00A118AB" w:rsidRPr="0034139E" w:rsidRDefault="00E84AF8"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hint="eastAsia"/>
          <w:sz w:val="21"/>
        </w:rPr>
        <w:t>例如，</w:t>
      </w:r>
      <w:r w:rsidR="009102AC">
        <w:rPr>
          <w:rFonts w:ascii="SimSun" w:hAnsi="SimSun" w:hint="eastAsia"/>
          <w:sz w:val="21"/>
        </w:rPr>
        <w:t>联合王国</w:t>
      </w:r>
      <w:r w:rsidRPr="0034139E">
        <w:rPr>
          <w:rFonts w:ascii="SimSun" w:hAnsi="SimSun" w:hint="eastAsia"/>
          <w:sz w:val="21"/>
        </w:rPr>
        <w:t>的《专利</w:t>
      </w:r>
      <w:r w:rsidR="00E60492">
        <w:rPr>
          <w:rFonts w:ascii="SimSun" w:hAnsi="SimSun" w:hint="eastAsia"/>
          <w:sz w:val="21"/>
        </w:rPr>
        <w:t>公报</w:t>
      </w:r>
      <w:r w:rsidRPr="0034139E">
        <w:rPr>
          <w:rFonts w:ascii="SimSun" w:hAnsi="SimSun" w:hint="eastAsia"/>
          <w:sz w:val="21"/>
        </w:rPr>
        <w:t>》在申请提交后不久即发布以下信息：申请人的姓名；发明的名称；申请的日期；与优先权相关的详细信息；申请分配到的编号。如果此类措施得到推广，在较早阶段就明确</w:t>
      </w:r>
      <w:r w:rsidR="00C13753">
        <w:rPr>
          <w:rFonts w:ascii="SimSun" w:hAnsi="SimSun" w:hint="eastAsia"/>
          <w:sz w:val="21"/>
        </w:rPr>
        <w:t>专利族</w:t>
      </w:r>
      <w:r w:rsidRPr="0034139E">
        <w:rPr>
          <w:rFonts w:ascii="SimSun" w:hAnsi="SimSun" w:hint="eastAsia"/>
          <w:sz w:val="21"/>
        </w:rPr>
        <w:t>的</w:t>
      </w:r>
      <w:r w:rsidRPr="009D0855">
        <w:rPr>
          <w:rFonts w:ascii="SimSun" w:hAnsi="SimSun" w:hint="eastAsia"/>
          <w:sz w:val="21"/>
          <w:szCs w:val="22"/>
        </w:rPr>
        <w:t>可能性</w:t>
      </w:r>
      <w:r w:rsidRPr="0034139E">
        <w:rPr>
          <w:rFonts w:ascii="SimSun" w:hAnsi="SimSun" w:hint="eastAsia"/>
          <w:sz w:val="21"/>
        </w:rPr>
        <w:t>将大大提高。</w:t>
      </w:r>
    </w:p>
    <w:p w:rsidR="00A118AB" w:rsidRPr="0034139E" w:rsidRDefault="00E84AF8"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hint="eastAsia"/>
          <w:sz w:val="21"/>
        </w:rPr>
        <w:t>另一种做法是，可以鼓励申请人允许知识产权局与已受理申请的其他知识产权局分享检索和审查结果，以及足以定位这些结果的信息。例如，我们可以对</w:t>
      </w:r>
      <w:r w:rsidR="00EA50FC">
        <w:rPr>
          <w:rFonts w:ascii="SimSun" w:hAnsi="SimSun" w:hint="eastAsia"/>
          <w:sz w:val="21"/>
        </w:rPr>
        <w:t>产权组织</w:t>
      </w:r>
      <w:r w:rsidRPr="0034139E">
        <w:rPr>
          <w:rFonts w:ascii="SimSun" w:hAnsi="SimSun" w:hint="eastAsia"/>
          <w:sz w:val="21"/>
        </w:rPr>
        <w:t>的优先权文件数字查询服务（</w:t>
      </w:r>
      <w:r w:rsidRPr="0034139E">
        <w:rPr>
          <w:rFonts w:ascii="SimSun" w:hAnsi="SimSun"/>
          <w:sz w:val="21"/>
        </w:rPr>
        <w:t>WIPO DAS</w:t>
      </w:r>
      <w:r w:rsidRPr="0034139E">
        <w:rPr>
          <w:rFonts w:ascii="SimSun" w:hAnsi="SimSun" w:hint="eastAsia"/>
          <w:sz w:val="21"/>
        </w:rPr>
        <w:t>）进行扩展，使其</w:t>
      </w:r>
      <w:r w:rsidRPr="009D0855">
        <w:rPr>
          <w:rFonts w:ascii="SimSun" w:hAnsi="SimSun" w:hint="eastAsia"/>
          <w:sz w:val="21"/>
          <w:szCs w:val="22"/>
        </w:rPr>
        <w:t>包含</w:t>
      </w:r>
      <w:r w:rsidRPr="0034139E">
        <w:rPr>
          <w:rFonts w:ascii="SimSun" w:hAnsi="SimSun" w:hint="eastAsia"/>
          <w:sz w:val="21"/>
        </w:rPr>
        <w:t>检索和审查结果，并与首次</w:t>
      </w:r>
      <w:r w:rsidR="00E60492">
        <w:rPr>
          <w:rFonts w:ascii="SimSun" w:hAnsi="SimSun" w:hint="eastAsia"/>
          <w:sz w:val="21"/>
        </w:rPr>
        <w:t>受理局</w:t>
      </w:r>
      <w:r w:rsidRPr="0034139E">
        <w:rPr>
          <w:rFonts w:ascii="SimSun" w:hAnsi="SimSun" w:hint="eastAsia"/>
          <w:sz w:val="21"/>
        </w:rPr>
        <w:t>和二次受理局分享优先权声明相关信息。如果此类分享得到允许，首次受理局可以允许免费试用</w:t>
      </w:r>
      <w:r w:rsidRPr="0034139E">
        <w:rPr>
          <w:rFonts w:ascii="SimSun" w:hAnsi="SimSun"/>
          <w:sz w:val="21"/>
        </w:rPr>
        <w:t>DAS</w:t>
      </w:r>
      <w:r w:rsidRPr="0034139E">
        <w:rPr>
          <w:rFonts w:ascii="SimSun" w:hAnsi="SimSun" w:hint="eastAsia"/>
          <w:sz w:val="21"/>
        </w:rPr>
        <w:t>，但是对优先权文件的其他安排收取高额费用。</w:t>
      </w:r>
    </w:p>
    <w:p w:rsidR="00A118AB" w:rsidRPr="0034139E" w:rsidRDefault="00E84AF8"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hint="eastAsia"/>
          <w:sz w:val="21"/>
        </w:rPr>
        <w:lastRenderedPageBreak/>
        <w:t>此外，通过各种新兴技术，知识产权局也可以在不直接交换相关申请详细信息的情况下确定专利申请之间的</w:t>
      </w:r>
      <w:r w:rsidRPr="009D0855">
        <w:rPr>
          <w:rFonts w:ascii="SimSun" w:hAnsi="SimSun" w:hint="eastAsia"/>
          <w:sz w:val="21"/>
          <w:szCs w:val="22"/>
        </w:rPr>
        <w:t>联系</w:t>
      </w:r>
      <w:r w:rsidRPr="0034139E">
        <w:rPr>
          <w:rFonts w:ascii="SimSun" w:hAnsi="SimSun" w:hint="eastAsia"/>
          <w:sz w:val="21"/>
        </w:rPr>
        <w:t>。不过，在无权分享与申请相关的检索、审查和分类信息的情况下，此类信息的价值较为有限。</w:t>
      </w:r>
    </w:p>
    <w:p w:rsidR="00E84AF8" w:rsidRPr="0034139E" w:rsidRDefault="00D40A28" w:rsidP="00244155">
      <w:pPr>
        <w:overflowPunct w:val="0"/>
        <w:spacing w:afterLines="50" w:after="120" w:line="340" w:lineRule="atLeast"/>
        <w:ind w:left="567"/>
        <w:jc w:val="both"/>
        <w:rPr>
          <w:rFonts w:ascii="SimSun" w:hAnsi="SimSun"/>
          <w:bCs/>
          <w:sz w:val="21"/>
          <w:szCs w:val="26"/>
          <w:u w:val="single"/>
        </w:rPr>
      </w:pPr>
      <w:r>
        <w:rPr>
          <w:rFonts w:ascii="SimSun" w:hAnsi="SimSun" w:hint="eastAsia"/>
          <w:bCs/>
          <w:sz w:val="21"/>
          <w:szCs w:val="26"/>
          <w:u w:val="single"/>
        </w:rPr>
        <w:t>建　议</w:t>
      </w:r>
    </w:p>
    <w:p w:rsidR="00E84AF8" w:rsidRPr="0034139E" w:rsidRDefault="00E84AF8" w:rsidP="00244155">
      <w:pPr>
        <w:overflowPunct w:val="0"/>
        <w:spacing w:afterLines="50" w:after="120" w:line="340" w:lineRule="atLeast"/>
        <w:ind w:left="567"/>
        <w:jc w:val="both"/>
        <w:rPr>
          <w:rFonts w:ascii="SimSun" w:hAnsi="SimSun"/>
          <w:sz w:val="21"/>
        </w:rPr>
      </w:pPr>
      <w:r w:rsidRPr="0034139E">
        <w:rPr>
          <w:rFonts w:ascii="SimSun" w:hAnsi="SimSun" w:hint="eastAsia"/>
          <w:sz w:val="21"/>
          <w:u w:val="single"/>
        </w:rPr>
        <w:t>建议15</w:t>
      </w:r>
      <w:r w:rsidR="009102AC" w:rsidRPr="009102AC">
        <w:rPr>
          <w:rFonts w:ascii="SimSun" w:hAnsi="SimSun" w:hint="eastAsia"/>
          <w:sz w:val="21"/>
        </w:rPr>
        <w:t>：</w:t>
      </w:r>
      <w:r w:rsidRPr="0034139E">
        <w:rPr>
          <w:rFonts w:ascii="SimSun" w:hAnsi="SimSun" w:hint="eastAsia"/>
          <w:sz w:val="21"/>
        </w:rPr>
        <w:t>在公布申请之前，知识产权局应当研究鉴别</w:t>
      </w:r>
      <w:r w:rsidR="00C13753">
        <w:rPr>
          <w:rFonts w:ascii="SimSun" w:hAnsi="SimSun" w:hint="eastAsia"/>
          <w:sz w:val="21"/>
        </w:rPr>
        <w:t>专利族</w:t>
      </w:r>
      <w:r w:rsidRPr="0034139E">
        <w:rPr>
          <w:rFonts w:ascii="SimSun" w:hAnsi="SimSun" w:hint="eastAsia"/>
          <w:sz w:val="21"/>
        </w:rPr>
        <w:t>的法律和技术可能性，并确保正在处理</w:t>
      </w:r>
      <w:r w:rsidR="00C13753">
        <w:rPr>
          <w:rFonts w:ascii="SimSun" w:hAnsi="SimSun" w:hint="eastAsia"/>
          <w:sz w:val="21"/>
        </w:rPr>
        <w:t>专利族</w:t>
      </w:r>
      <w:r w:rsidRPr="0034139E">
        <w:rPr>
          <w:rFonts w:ascii="SimSun" w:hAnsi="SimSun" w:hint="eastAsia"/>
          <w:sz w:val="21"/>
        </w:rPr>
        <w:t>成员的知识产权局获得检索和审查报告的许可。由于在申请公布前只有有限的信息（例如优先权参考</w:t>
      </w:r>
      <w:r w:rsidRPr="00B667AB">
        <w:rPr>
          <w:rFonts w:ascii="SimSun" w:hAnsi="SimSun" w:hint="eastAsia"/>
          <w:sz w:val="21"/>
          <w:szCs w:val="22"/>
        </w:rPr>
        <w:t>文件</w:t>
      </w:r>
      <w:r w:rsidRPr="0034139E">
        <w:rPr>
          <w:rFonts w:ascii="SimSun" w:hAnsi="SimSun" w:hint="eastAsia"/>
          <w:sz w:val="21"/>
        </w:rPr>
        <w:t>）可以最终通过分布式注册机构分享，因此在建立分布式注册机构时，本建议应当结合建议12进行考虑。</w:t>
      </w:r>
    </w:p>
    <w:p w:rsidR="00E84AF8" w:rsidRPr="00244155" w:rsidRDefault="00E84AF8" w:rsidP="00244155">
      <w:pPr>
        <w:keepNext/>
        <w:overflowPunct w:val="0"/>
        <w:spacing w:beforeLines="100" w:before="240" w:afterLines="50" w:after="120" w:line="340" w:lineRule="atLeast"/>
        <w:outlineLvl w:val="3"/>
        <w:rPr>
          <w:rFonts w:ascii="KaiTi" w:eastAsia="KaiTi" w:hAnsi="KaiTi"/>
          <w:bCs/>
          <w:sz w:val="21"/>
          <w:szCs w:val="28"/>
        </w:rPr>
      </w:pPr>
      <w:r w:rsidRPr="00244155">
        <w:rPr>
          <w:rFonts w:ascii="KaiTi" w:eastAsia="KaiTi" w:hAnsi="KaiTi" w:hint="eastAsia"/>
          <w:bCs/>
          <w:sz w:val="21"/>
          <w:szCs w:val="28"/>
        </w:rPr>
        <w:t>专利检索、审查和分类数据的交换</w:t>
      </w:r>
    </w:p>
    <w:p w:rsidR="00935613" w:rsidRPr="0034139E" w:rsidRDefault="00E24D53"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hint="eastAsia"/>
          <w:sz w:val="21"/>
        </w:rPr>
        <w:t>WIPO CASE</w:t>
      </w:r>
      <w:r w:rsidR="00E60492">
        <w:rPr>
          <w:rFonts w:ascii="SimSun" w:hAnsi="SimSun" w:hint="eastAsia"/>
          <w:sz w:val="21"/>
        </w:rPr>
        <w:t>（</w:t>
      </w:r>
      <w:r w:rsidR="00E60492" w:rsidRPr="009231AB">
        <w:rPr>
          <w:rFonts w:ascii="SimSun" w:hAnsi="SimSun" w:hint="eastAsia"/>
          <w:sz w:val="21"/>
        </w:rPr>
        <w:t>检索和审查集中式接入</w:t>
      </w:r>
      <w:r w:rsidR="00E60492" w:rsidRPr="0034139E">
        <w:rPr>
          <w:rFonts w:ascii="SimSun" w:hAnsi="SimSun" w:hint="eastAsia"/>
          <w:sz w:val="21"/>
        </w:rPr>
        <w:t>）</w:t>
      </w:r>
      <w:r w:rsidRPr="0034139E">
        <w:rPr>
          <w:rFonts w:ascii="SimSun" w:hAnsi="SimSun" w:hint="eastAsia"/>
          <w:sz w:val="21"/>
        </w:rPr>
        <w:t>和五局的</w:t>
      </w:r>
      <w:r w:rsidR="00E60492" w:rsidRPr="009231AB">
        <w:rPr>
          <w:rFonts w:ascii="SimSun" w:hAnsi="SimSun"/>
          <w:sz w:val="21"/>
        </w:rPr>
        <w:t>One Portal Dossier</w:t>
      </w:r>
      <w:r w:rsidRPr="0034139E">
        <w:rPr>
          <w:rFonts w:ascii="SimSun" w:hAnsi="SimSun" w:hint="eastAsia"/>
          <w:sz w:val="21"/>
        </w:rPr>
        <w:t>系统旨在推动知识产权局共享检索和审查报告。但是，在很多情况下，这些文件都是图像格式的，其中的数据无法直接重复使用，或者通过机器翻译系统进行翻译。目前正在开展相关工作，以提高交换后机器可读引文数据的数量，但这只是其中一部分问题。理想的情况是，审查员能够在其所属的知识产权局或其他地方读取此前生成的任何检索和审查数据，并且能够按照当时的情况，遵照相关的国家法律（或者PCT关于国际阶段处理的要求）在申请涉及的范围内重复使用这些数据。</w:t>
      </w:r>
      <w:r w:rsidRPr="0034139E">
        <w:rPr>
          <w:rFonts w:ascii="SimSun" w:hAnsi="SimSun"/>
          <w:sz w:val="21"/>
        </w:rPr>
        <w:t>同族申请可依照以下检索和审查次序</w:t>
      </w:r>
      <w:r w:rsidRPr="0034139E">
        <w:rPr>
          <w:rFonts w:ascii="SimSun" w:hAnsi="SimSun" w:hint="eastAsia"/>
          <w:sz w:val="21"/>
        </w:rPr>
        <w:t>：</w:t>
      </w:r>
    </w:p>
    <w:p w:rsidR="008433EC" w:rsidRPr="0034139E" w:rsidRDefault="009102AC" w:rsidP="00244155">
      <w:pPr>
        <w:overflowPunct w:val="0"/>
        <w:spacing w:afterLines="50" w:after="120" w:line="340" w:lineRule="atLeast"/>
        <w:ind w:left="567"/>
        <w:jc w:val="both"/>
        <w:rPr>
          <w:rFonts w:ascii="SimSun" w:hAnsi="SimSun"/>
          <w:sz w:val="21"/>
        </w:rPr>
      </w:pPr>
      <w:r>
        <w:rPr>
          <w:rFonts w:ascii="SimSun" w:hAnsi="SimSun" w:hint="eastAsia"/>
          <w:sz w:val="21"/>
        </w:rPr>
        <w:t>a)</w:t>
      </w:r>
      <w:r>
        <w:rPr>
          <w:rFonts w:ascii="SimSun" w:hAnsi="SimSun" w:hint="eastAsia"/>
          <w:sz w:val="21"/>
        </w:rPr>
        <w:tab/>
      </w:r>
      <w:r w:rsidR="008433EC" w:rsidRPr="0034139E">
        <w:rPr>
          <w:rFonts w:ascii="SimSun" w:hAnsi="SimSun" w:hint="eastAsia"/>
          <w:sz w:val="21"/>
        </w:rPr>
        <w:t>首次国</w:t>
      </w:r>
      <w:r w:rsidR="006C42AD">
        <w:rPr>
          <w:rFonts w:ascii="SimSun" w:hAnsi="SimSun" w:hint="eastAsia"/>
          <w:sz w:val="21"/>
        </w:rPr>
        <w:t>家</w:t>
      </w:r>
      <w:r w:rsidR="008433EC" w:rsidRPr="0034139E">
        <w:rPr>
          <w:rFonts w:ascii="SimSun" w:hAnsi="SimSun" w:hint="eastAsia"/>
          <w:sz w:val="21"/>
        </w:rPr>
        <w:t>申请的国内检索；</w:t>
      </w:r>
    </w:p>
    <w:p w:rsidR="008433EC" w:rsidRPr="0034139E" w:rsidRDefault="009102AC" w:rsidP="00244155">
      <w:pPr>
        <w:overflowPunct w:val="0"/>
        <w:spacing w:afterLines="50" w:after="120" w:line="340" w:lineRule="atLeast"/>
        <w:ind w:left="567"/>
        <w:jc w:val="both"/>
        <w:rPr>
          <w:rFonts w:ascii="SimSun" w:hAnsi="SimSun"/>
          <w:sz w:val="21"/>
        </w:rPr>
      </w:pPr>
      <w:r>
        <w:rPr>
          <w:rFonts w:ascii="SimSun" w:hAnsi="SimSun" w:hint="eastAsia"/>
          <w:sz w:val="21"/>
        </w:rPr>
        <w:t>b)</w:t>
      </w:r>
      <w:r>
        <w:rPr>
          <w:rFonts w:ascii="SimSun" w:hAnsi="SimSun" w:hint="eastAsia"/>
          <w:sz w:val="21"/>
        </w:rPr>
        <w:tab/>
      </w:r>
      <w:r w:rsidR="008433EC" w:rsidRPr="0034139E">
        <w:rPr>
          <w:rFonts w:ascii="SimSun" w:hAnsi="SimSun" w:hint="eastAsia"/>
          <w:sz w:val="21"/>
        </w:rPr>
        <w:t>PCT检索以及</w:t>
      </w:r>
      <w:r w:rsidR="008433EC" w:rsidRPr="00244155">
        <w:rPr>
          <w:rFonts w:ascii="SimSun" w:hAnsi="SimSun" w:hint="eastAsia"/>
          <w:sz w:val="21"/>
          <w:szCs w:val="22"/>
        </w:rPr>
        <w:t>国际</w:t>
      </w:r>
      <w:r w:rsidR="008433EC" w:rsidRPr="0034139E">
        <w:rPr>
          <w:rFonts w:ascii="SimSun" w:hAnsi="SimSun" w:hint="eastAsia"/>
          <w:sz w:val="21"/>
        </w:rPr>
        <w:t>申请的书面意见；</w:t>
      </w:r>
    </w:p>
    <w:p w:rsidR="008433EC" w:rsidRPr="0034139E" w:rsidRDefault="009102AC" w:rsidP="00244155">
      <w:pPr>
        <w:overflowPunct w:val="0"/>
        <w:spacing w:afterLines="50" w:after="120" w:line="340" w:lineRule="atLeast"/>
        <w:ind w:left="567"/>
        <w:jc w:val="both"/>
        <w:rPr>
          <w:rFonts w:ascii="SimSun" w:hAnsi="SimSun"/>
          <w:sz w:val="21"/>
        </w:rPr>
      </w:pPr>
      <w:r>
        <w:rPr>
          <w:rFonts w:ascii="SimSun" w:hAnsi="SimSun" w:hint="eastAsia"/>
          <w:sz w:val="21"/>
        </w:rPr>
        <w:t>c)</w:t>
      </w:r>
      <w:r>
        <w:rPr>
          <w:rFonts w:ascii="SimSun" w:hAnsi="SimSun" w:hint="eastAsia"/>
          <w:sz w:val="21"/>
        </w:rPr>
        <w:tab/>
      </w:r>
      <w:r w:rsidR="008433EC" w:rsidRPr="0034139E">
        <w:rPr>
          <w:rFonts w:ascii="SimSun" w:hAnsi="SimSun" w:hint="eastAsia"/>
          <w:sz w:val="21"/>
        </w:rPr>
        <w:t>审查</w:t>
      </w:r>
      <w:r w:rsidR="008433EC" w:rsidRPr="00B667AB">
        <w:rPr>
          <w:rFonts w:ascii="SimSun" w:hAnsi="SimSun" w:hint="eastAsia"/>
          <w:sz w:val="21"/>
          <w:szCs w:val="22"/>
        </w:rPr>
        <w:t>平行</w:t>
      </w:r>
      <w:r w:rsidR="006C42AD">
        <w:rPr>
          <w:rFonts w:ascii="SimSun" w:hAnsi="SimSun" w:hint="eastAsia"/>
          <w:sz w:val="21"/>
          <w:szCs w:val="22"/>
        </w:rPr>
        <w:t>的国家</w:t>
      </w:r>
      <w:r w:rsidR="008433EC" w:rsidRPr="00244155">
        <w:rPr>
          <w:rFonts w:ascii="SimSun" w:hAnsi="SimSun" w:hint="eastAsia"/>
          <w:sz w:val="21"/>
          <w:szCs w:val="22"/>
        </w:rPr>
        <w:t>申请</w:t>
      </w:r>
      <w:r w:rsidR="008433EC" w:rsidRPr="0034139E">
        <w:rPr>
          <w:rFonts w:ascii="SimSun" w:hAnsi="SimSun" w:hint="eastAsia"/>
          <w:sz w:val="21"/>
        </w:rPr>
        <w:t>；</w:t>
      </w:r>
    </w:p>
    <w:p w:rsidR="008433EC" w:rsidRPr="0034139E" w:rsidRDefault="009102AC" w:rsidP="00244155">
      <w:pPr>
        <w:overflowPunct w:val="0"/>
        <w:spacing w:afterLines="50" w:after="120" w:line="340" w:lineRule="atLeast"/>
        <w:ind w:left="567"/>
        <w:jc w:val="both"/>
        <w:rPr>
          <w:rFonts w:ascii="SimSun" w:hAnsi="SimSun"/>
          <w:sz w:val="21"/>
        </w:rPr>
      </w:pPr>
      <w:r>
        <w:rPr>
          <w:rFonts w:ascii="SimSun" w:hAnsi="SimSun" w:hint="eastAsia"/>
          <w:sz w:val="21"/>
        </w:rPr>
        <w:t>d)</w:t>
      </w:r>
      <w:r>
        <w:rPr>
          <w:rFonts w:ascii="SimSun" w:hAnsi="SimSun" w:hint="eastAsia"/>
          <w:sz w:val="21"/>
        </w:rPr>
        <w:tab/>
      </w:r>
      <w:r w:rsidR="008433EC" w:rsidRPr="0034139E">
        <w:rPr>
          <w:rFonts w:ascii="SimSun" w:hAnsi="SimSun" w:hint="eastAsia"/>
          <w:sz w:val="21"/>
        </w:rPr>
        <w:t>根据PCT第二章</w:t>
      </w:r>
      <w:r w:rsidR="008433EC" w:rsidRPr="00244155">
        <w:rPr>
          <w:rFonts w:ascii="SimSun" w:hAnsi="SimSun" w:hint="eastAsia"/>
          <w:sz w:val="21"/>
          <w:szCs w:val="22"/>
        </w:rPr>
        <w:t>审查</w:t>
      </w:r>
      <w:r w:rsidR="008433EC" w:rsidRPr="0034139E">
        <w:rPr>
          <w:rFonts w:ascii="SimSun" w:hAnsi="SimSun" w:hint="eastAsia"/>
          <w:sz w:val="21"/>
        </w:rPr>
        <w:t>已修改的国际申请；</w:t>
      </w:r>
    </w:p>
    <w:p w:rsidR="008433EC" w:rsidRPr="0034139E" w:rsidRDefault="009102AC" w:rsidP="00244155">
      <w:pPr>
        <w:overflowPunct w:val="0"/>
        <w:spacing w:afterLines="50" w:after="120" w:line="340" w:lineRule="atLeast"/>
        <w:ind w:left="567"/>
        <w:jc w:val="both"/>
        <w:rPr>
          <w:rFonts w:ascii="SimSun" w:hAnsi="SimSun"/>
          <w:sz w:val="21"/>
        </w:rPr>
      </w:pPr>
      <w:r>
        <w:rPr>
          <w:rFonts w:ascii="SimSun" w:hAnsi="SimSun" w:hint="eastAsia"/>
          <w:sz w:val="21"/>
        </w:rPr>
        <w:t>e)</w:t>
      </w:r>
      <w:r>
        <w:rPr>
          <w:rFonts w:ascii="SimSun" w:hAnsi="SimSun" w:hint="eastAsia"/>
          <w:sz w:val="21"/>
        </w:rPr>
        <w:tab/>
      </w:r>
      <w:r w:rsidR="008433EC" w:rsidRPr="0034139E">
        <w:rPr>
          <w:rFonts w:ascii="SimSun" w:hAnsi="SimSun" w:hint="eastAsia"/>
          <w:sz w:val="21"/>
        </w:rPr>
        <w:t>可专利性国际</w:t>
      </w:r>
      <w:r w:rsidR="008433EC" w:rsidRPr="00B667AB">
        <w:rPr>
          <w:rFonts w:ascii="SimSun" w:hAnsi="SimSun" w:hint="eastAsia"/>
          <w:sz w:val="21"/>
          <w:szCs w:val="22"/>
        </w:rPr>
        <w:t>初步</w:t>
      </w:r>
      <w:r w:rsidR="008433EC" w:rsidRPr="0034139E">
        <w:rPr>
          <w:rFonts w:ascii="SimSun" w:hAnsi="SimSun" w:hint="eastAsia"/>
          <w:sz w:val="21"/>
        </w:rPr>
        <w:t>审查报告的可获得性（PCT第一章和第二章）；</w:t>
      </w:r>
    </w:p>
    <w:p w:rsidR="008433EC" w:rsidRPr="0034139E" w:rsidRDefault="009102AC" w:rsidP="00244155">
      <w:pPr>
        <w:overflowPunct w:val="0"/>
        <w:spacing w:afterLines="50" w:after="120" w:line="340" w:lineRule="atLeast"/>
        <w:ind w:left="567"/>
        <w:jc w:val="both"/>
        <w:rPr>
          <w:rFonts w:ascii="SimSun" w:hAnsi="SimSun"/>
          <w:sz w:val="21"/>
        </w:rPr>
      </w:pPr>
      <w:r>
        <w:rPr>
          <w:rFonts w:ascii="SimSun" w:hAnsi="SimSun" w:hint="eastAsia"/>
          <w:sz w:val="21"/>
        </w:rPr>
        <w:t>f)</w:t>
      </w:r>
      <w:r>
        <w:rPr>
          <w:rFonts w:ascii="SimSun" w:hAnsi="SimSun" w:hint="eastAsia"/>
          <w:sz w:val="21"/>
        </w:rPr>
        <w:tab/>
      </w:r>
      <w:r w:rsidR="008433EC" w:rsidRPr="0034139E">
        <w:rPr>
          <w:rFonts w:ascii="SimSun" w:hAnsi="SimSun" w:hint="eastAsia"/>
          <w:sz w:val="21"/>
        </w:rPr>
        <w:t>进入国家阶段</w:t>
      </w:r>
      <w:r w:rsidR="008433EC" w:rsidRPr="00B667AB">
        <w:rPr>
          <w:rFonts w:ascii="SimSun" w:hAnsi="SimSun" w:hint="eastAsia"/>
          <w:sz w:val="21"/>
          <w:szCs w:val="22"/>
        </w:rPr>
        <w:t>申请</w:t>
      </w:r>
      <w:r w:rsidR="008433EC" w:rsidRPr="0034139E">
        <w:rPr>
          <w:rFonts w:ascii="SimSun" w:hAnsi="SimSun" w:hint="eastAsia"/>
          <w:sz w:val="21"/>
        </w:rPr>
        <w:t>的平行检索与审查。</w:t>
      </w:r>
    </w:p>
    <w:p w:rsidR="00935613" w:rsidRPr="0034139E" w:rsidRDefault="008433EC"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hint="eastAsia"/>
          <w:sz w:val="21"/>
        </w:rPr>
        <w:t>在更新《国际检索报告》XML标准、国际检索机构和国际初步审查机构书面</w:t>
      </w:r>
      <w:r w:rsidR="006C42AD">
        <w:rPr>
          <w:rFonts w:ascii="SimSun" w:hAnsi="SimSun" w:hint="eastAsia"/>
          <w:sz w:val="21"/>
        </w:rPr>
        <w:t>意见</w:t>
      </w:r>
      <w:r w:rsidRPr="0034139E">
        <w:rPr>
          <w:rFonts w:ascii="SimSun" w:hAnsi="SimSun" w:hint="eastAsia"/>
          <w:sz w:val="21"/>
        </w:rPr>
        <w:t>，以及可专利性国际初步报告方面，有关部门已经开展了一些工作，尽可能减小XML阶段转换的难度。但是，PCT报告的格式与大多数国家的检索和审查报告截然不同。</w:t>
      </w:r>
    </w:p>
    <w:p w:rsidR="00935613" w:rsidRPr="0034139E" w:rsidRDefault="00DC5D6A"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hint="eastAsia"/>
          <w:sz w:val="21"/>
        </w:rPr>
        <w:t>目前正在开展的工作是，根据WIPO标准ST.96制定检索和审查报告的数据标准。理想的情况是，不仅利用这个机会简单地复制现有报告的格式，同时</w:t>
      </w:r>
      <w:r w:rsidR="009102AC">
        <w:rPr>
          <w:rFonts w:ascii="SimSun" w:hAnsi="SimSun" w:hint="eastAsia"/>
          <w:sz w:val="21"/>
        </w:rPr>
        <w:t>还</w:t>
      </w:r>
      <w:r w:rsidRPr="0034139E">
        <w:rPr>
          <w:rFonts w:ascii="SimSun" w:hAnsi="SimSun" w:hint="eastAsia"/>
          <w:sz w:val="21"/>
        </w:rPr>
        <w:t>研究不同阶段之间的数据流，考虑如何封装数据流，从而对信息进行</w:t>
      </w:r>
      <w:r w:rsidRPr="009D0855">
        <w:rPr>
          <w:rFonts w:ascii="SimSun" w:hAnsi="SimSun" w:hint="eastAsia"/>
          <w:sz w:val="21"/>
          <w:szCs w:val="22"/>
        </w:rPr>
        <w:t>有效</w:t>
      </w:r>
      <w:r w:rsidRPr="0034139E">
        <w:rPr>
          <w:rFonts w:ascii="SimSun" w:hAnsi="SimSun" w:hint="eastAsia"/>
          <w:sz w:val="21"/>
        </w:rPr>
        <w:t>的重复使用，并保持不同阶段信息的相关性。之后，如果需要反映改善后的做法，可以对现有的纸质或者WIPO标准ST.36提到的报告格式进行升级。至少每份书面意见或审查报告中应当包含或者附带一份机器可读的引文清单，与检索报告相对应，但是最好的情况是，应当有更好的机会来重复使用或者自动翻译文本和结构</w:t>
      </w:r>
      <w:r w:rsidR="006C42AD">
        <w:rPr>
          <w:rFonts w:ascii="SimSun" w:hAnsi="SimSun" w:hint="eastAsia"/>
          <w:sz w:val="21"/>
        </w:rPr>
        <w:t>化</w:t>
      </w:r>
      <w:r w:rsidRPr="0034139E">
        <w:rPr>
          <w:rFonts w:ascii="SimSun" w:hAnsi="SimSun" w:hint="eastAsia"/>
          <w:sz w:val="21"/>
        </w:rPr>
        <w:t>信息（包括发明的单一性</w:t>
      </w:r>
      <w:r w:rsidR="006C42AD">
        <w:rPr>
          <w:rFonts w:ascii="SimSun" w:hAnsi="SimSun" w:hint="eastAsia"/>
          <w:sz w:val="21"/>
        </w:rPr>
        <w:t>、</w:t>
      </w:r>
      <w:r w:rsidRPr="0034139E">
        <w:rPr>
          <w:rFonts w:ascii="SimSun" w:hAnsi="SimSun" w:hint="eastAsia"/>
          <w:sz w:val="21"/>
        </w:rPr>
        <w:t>被排除的主题和优先权声明的合法性）。</w:t>
      </w:r>
    </w:p>
    <w:p w:rsidR="00651621" w:rsidRPr="0034139E" w:rsidRDefault="00DC5D6A" w:rsidP="006C42AD">
      <w:pPr>
        <w:pStyle w:val="ONUME"/>
        <w:numPr>
          <w:ilvl w:val="0"/>
          <w:numId w:val="8"/>
        </w:numPr>
        <w:overflowPunct w:val="0"/>
        <w:spacing w:afterLines="50" w:after="120" w:line="340" w:lineRule="atLeast"/>
        <w:ind w:left="0" w:firstLine="0"/>
        <w:jc w:val="both"/>
        <w:rPr>
          <w:rFonts w:ascii="SimSun" w:hAnsi="SimSun"/>
          <w:sz w:val="21"/>
          <w:szCs w:val="22"/>
        </w:rPr>
      </w:pPr>
      <w:r w:rsidRPr="0034139E">
        <w:rPr>
          <w:rFonts w:ascii="SimSun" w:hAnsi="SimSun" w:hint="eastAsia"/>
          <w:sz w:val="21"/>
          <w:szCs w:val="22"/>
        </w:rPr>
        <w:t>为了克服知识产权局不同数据格式造成的困难，WIPO CASE/</w:t>
      </w:r>
      <w:r w:rsidR="006C42AD" w:rsidRPr="006C42AD">
        <w:rPr>
          <w:rFonts w:ascii="SimSun" w:hAnsi="SimSun"/>
          <w:sz w:val="21"/>
          <w:szCs w:val="22"/>
        </w:rPr>
        <w:t>Global Dossier</w:t>
      </w:r>
      <w:r w:rsidR="006C42AD">
        <w:rPr>
          <w:rFonts w:ascii="SimSun" w:hAnsi="SimSun" w:hint="eastAsia"/>
          <w:sz w:val="21"/>
          <w:szCs w:val="22"/>
        </w:rPr>
        <w:t>（</w:t>
      </w:r>
      <w:r w:rsidR="009102AC">
        <w:rPr>
          <w:rFonts w:ascii="SimSun" w:hAnsi="SimSun" w:hint="eastAsia"/>
          <w:sz w:val="21"/>
          <w:szCs w:val="22"/>
        </w:rPr>
        <w:t>“</w:t>
      </w:r>
      <w:r w:rsidR="009102AC" w:rsidRPr="009102AC">
        <w:rPr>
          <w:rFonts w:ascii="SimSun" w:hAnsi="SimSun" w:hint="eastAsia"/>
          <w:sz w:val="21"/>
          <w:szCs w:val="22"/>
        </w:rPr>
        <w:t>全球案卷</w:t>
      </w:r>
      <w:r w:rsidR="009102AC">
        <w:rPr>
          <w:rFonts w:ascii="SimSun" w:hAnsi="SimSun" w:hint="eastAsia"/>
          <w:sz w:val="21"/>
          <w:szCs w:val="22"/>
        </w:rPr>
        <w:t>”</w:t>
      </w:r>
      <w:r w:rsidR="006C42AD">
        <w:rPr>
          <w:rFonts w:ascii="SimSun" w:hAnsi="SimSun" w:hint="eastAsia"/>
          <w:sz w:val="21"/>
          <w:szCs w:val="22"/>
        </w:rPr>
        <w:t>）</w:t>
      </w:r>
      <w:r w:rsidRPr="0034139E">
        <w:rPr>
          <w:rFonts w:ascii="SimSun" w:hAnsi="SimSun" w:hint="eastAsia"/>
          <w:sz w:val="21"/>
          <w:szCs w:val="22"/>
        </w:rPr>
        <w:t>提供的</w:t>
      </w:r>
      <w:r w:rsidR="006C42AD">
        <w:rPr>
          <w:rFonts w:ascii="SimSun" w:hAnsi="SimSun" w:hint="eastAsia"/>
          <w:sz w:val="21"/>
          <w:szCs w:val="22"/>
        </w:rPr>
        <w:t>API</w:t>
      </w:r>
      <w:r w:rsidRPr="0034139E">
        <w:rPr>
          <w:rFonts w:ascii="SimSun" w:hAnsi="SimSun" w:hint="eastAsia"/>
          <w:sz w:val="21"/>
          <w:szCs w:val="22"/>
        </w:rPr>
        <w:t>是一个不错的解决方案。通过</w:t>
      </w:r>
      <w:r w:rsidR="009102AC" w:rsidRPr="0034139E">
        <w:rPr>
          <w:rFonts w:ascii="SimSun" w:hAnsi="SimSun" w:hint="eastAsia"/>
          <w:sz w:val="21"/>
          <w:szCs w:val="22"/>
        </w:rPr>
        <w:t>WIPO CASE</w:t>
      </w:r>
      <w:r w:rsidR="009102AC">
        <w:rPr>
          <w:rFonts w:ascii="SimSun" w:hAnsi="SimSun" w:hint="eastAsia"/>
          <w:sz w:val="21"/>
          <w:szCs w:val="22"/>
        </w:rPr>
        <w:t>或“</w:t>
      </w:r>
      <w:r w:rsidR="009102AC" w:rsidRPr="009102AC">
        <w:rPr>
          <w:rFonts w:ascii="SimSun" w:hAnsi="SimSun" w:hint="eastAsia"/>
          <w:sz w:val="21"/>
          <w:szCs w:val="22"/>
        </w:rPr>
        <w:t>全球案卷</w:t>
      </w:r>
      <w:r w:rsidR="009102AC">
        <w:rPr>
          <w:rFonts w:ascii="SimSun" w:hAnsi="SimSun" w:hint="eastAsia"/>
          <w:sz w:val="21"/>
          <w:szCs w:val="22"/>
        </w:rPr>
        <w:t>”</w:t>
      </w:r>
      <w:r w:rsidRPr="0034139E">
        <w:rPr>
          <w:rFonts w:ascii="SimSun" w:hAnsi="SimSun" w:hint="eastAsia"/>
          <w:sz w:val="21"/>
          <w:szCs w:val="22"/>
        </w:rPr>
        <w:t>，专利审查员能够通过互联网实时访问其他知识产权局的专利申请文件。具体的做法是，在每个提供局安装一个</w:t>
      </w:r>
      <w:r w:rsidR="006C42AD">
        <w:rPr>
          <w:rFonts w:ascii="SimSun" w:hAnsi="SimSun" w:hint="eastAsia"/>
          <w:sz w:val="21"/>
          <w:szCs w:val="22"/>
        </w:rPr>
        <w:t>API</w:t>
      </w:r>
      <w:r w:rsidRPr="0034139E">
        <w:rPr>
          <w:rFonts w:ascii="SimSun" w:hAnsi="SimSun" w:hint="eastAsia"/>
          <w:sz w:val="21"/>
          <w:szCs w:val="22"/>
        </w:rPr>
        <w:t>，以提供</w:t>
      </w:r>
      <w:r w:rsidR="006C42AD">
        <w:rPr>
          <w:rFonts w:ascii="SimSun" w:hAnsi="SimSun" w:hint="eastAsia"/>
          <w:sz w:val="21"/>
          <w:szCs w:val="22"/>
        </w:rPr>
        <w:t>三至四</w:t>
      </w:r>
      <w:r w:rsidRPr="0034139E">
        <w:rPr>
          <w:rFonts w:ascii="SimSun" w:hAnsi="SimSun" w:hint="eastAsia"/>
          <w:sz w:val="21"/>
          <w:szCs w:val="22"/>
        </w:rPr>
        <w:t>项简单的交易服务（获取</w:t>
      </w:r>
      <w:r w:rsidR="00540952">
        <w:rPr>
          <w:rFonts w:ascii="SimSun" w:hAnsi="SimSun" w:hint="eastAsia"/>
          <w:sz w:val="21"/>
        </w:rPr>
        <w:t>著录项目</w:t>
      </w:r>
      <w:r w:rsidRPr="0034139E">
        <w:rPr>
          <w:rFonts w:ascii="SimSun" w:hAnsi="SimSun" w:hint="eastAsia"/>
          <w:sz w:val="21"/>
          <w:szCs w:val="22"/>
        </w:rPr>
        <w:t>数据、获取文件清单、获取文件内容）。参与这项工作的知识产权局可以通过这些</w:t>
      </w:r>
      <w:r w:rsidR="006C42AD" w:rsidRPr="006C42AD">
        <w:rPr>
          <w:rFonts w:ascii="SimSun" w:hAnsi="SimSun" w:hint="eastAsia"/>
          <w:sz w:val="21"/>
        </w:rPr>
        <w:t>API</w:t>
      </w:r>
      <w:r w:rsidRPr="0034139E">
        <w:rPr>
          <w:rFonts w:ascii="SimSun" w:hAnsi="SimSun" w:hint="eastAsia"/>
          <w:sz w:val="21"/>
          <w:szCs w:val="22"/>
        </w:rPr>
        <w:t>访问各自的后台系统，而不需要对这些后台系统进行一致化或者标准化。这么做</w:t>
      </w:r>
      <w:r w:rsidRPr="0034139E">
        <w:rPr>
          <w:rFonts w:ascii="SimSun" w:hAnsi="SimSun" w:hint="eastAsia"/>
          <w:sz w:val="21"/>
          <w:szCs w:val="22"/>
        </w:rPr>
        <w:lastRenderedPageBreak/>
        <w:t>就构成了一个分布式数据系统，在这个系统中，用户能够从位于不同地理位置的多个来源同时检索数据和文件。</w:t>
      </w:r>
    </w:p>
    <w:p w:rsidR="00651621" w:rsidRPr="0034139E" w:rsidRDefault="00DC5D6A" w:rsidP="009D0855">
      <w:pPr>
        <w:pStyle w:val="ONUME"/>
        <w:numPr>
          <w:ilvl w:val="0"/>
          <w:numId w:val="8"/>
        </w:numPr>
        <w:overflowPunct w:val="0"/>
        <w:spacing w:afterLines="50" w:after="120" w:line="340" w:lineRule="atLeast"/>
        <w:ind w:left="0" w:firstLine="0"/>
        <w:jc w:val="both"/>
        <w:rPr>
          <w:rFonts w:ascii="SimSun" w:hAnsi="SimSun"/>
          <w:sz w:val="21"/>
          <w:szCs w:val="22"/>
        </w:rPr>
      </w:pPr>
      <w:r w:rsidRPr="0034139E">
        <w:rPr>
          <w:rFonts w:ascii="SimSun" w:hAnsi="SimSun" w:hint="eastAsia"/>
          <w:sz w:val="21"/>
          <w:szCs w:val="22"/>
        </w:rPr>
        <w:t>从WIPO CASE以及</w:t>
      </w:r>
      <w:r w:rsidR="009102AC">
        <w:rPr>
          <w:rFonts w:ascii="SimSun" w:hAnsi="SimSun" w:hint="eastAsia"/>
          <w:sz w:val="21"/>
          <w:szCs w:val="22"/>
        </w:rPr>
        <w:t>“</w:t>
      </w:r>
      <w:r w:rsidR="009102AC" w:rsidRPr="009102AC">
        <w:rPr>
          <w:rFonts w:ascii="SimSun" w:hAnsi="SimSun" w:hint="eastAsia"/>
          <w:sz w:val="21"/>
          <w:szCs w:val="22"/>
        </w:rPr>
        <w:t>全球案卷</w:t>
      </w:r>
      <w:r w:rsidR="009102AC">
        <w:rPr>
          <w:rFonts w:ascii="SimSun" w:hAnsi="SimSun" w:hint="eastAsia"/>
          <w:sz w:val="21"/>
          <w:szCs w:val="22"/>
        </w:rPr>
        <w:t>”</w:t>
      </w:r>
      <w:r w:rsidRPr="0034139E">
        <w:rPr>
          <w:rFonts w:ascii="SimSun" w:hAnsi="SimSun" w:hint="eastAsia"/>
          <w:sz w:val="21"/>
          <w:szCs w:val="22"/>
        </w:rPr>
        <w:t>获取的经验显示，通过现代网络技术，知识产权局可以相对容易地互联互通。这种做法还可以延伸到其他情况下，例如各地和</w:t>
      </w:r>
      <w:r w:rsidR="00EA50FC">
        <w:rPr>
          <w:rFonts w:ascii="SimSun" w:hAnsi="SimSun" w:hint="eastAsia"/>
          <w:sz w:val="21"/>
          <w:szCs w:val="22"/>
        </w:rPr>
        <w:t>产权组织</w:t>
      </w:r>
      <w:r w:rsidRPr="0034139E">
        <w:rPr>
          <w:rFonts w:ascii="SimSun" w:hAnsi="SimSun" w:hint="eastAsia"/>
          <w:sz w:val="21"/>
          <w:szCs w:val="22"/>
        </w:rPr>
        <w:t>全球知识产权系统之间的数据交换，优先权文件交换或其他文件内容的交换以支持协作式审查等。</w:t>
      </w:r>
    </w:p>
    <w:p w:rsidR="008C5721" w:rsidRPr="0034139E" w:rsidRDefault="00D40A28" w:rsidP="00244155">
      <w:pPr>
        <w:overflowPunct w:val="0"/>
        <w:spacing w:afterLines="50" w:after="120" w:line="340" w:lineRule="atLeast"/>
        <w:ind w:left="567"/>
        <w:jc w:val="both"/>
        <w:rPr>
          <w:rFonts w:ascii="SimSun" w:hAnsi="SimSun"/>
          <w:bCs/>
          <w:sz w:val="21"/>
          <w:szCs w:val="26"/>
          <w:u w:val="single"/>
        </w:rPr>
      </w:pPr>
      <w:r>
        <w:rPr>
          <w:rFonts w:ascii="SimSun" w:hAnsi="SimSun" w:hint="eastAsia"/>
          <w:bCs/>
          <w:sz w:val="21"/>
          <w:szCs w:val="26"/>
          <w:u w:val="single"/>
        </w:rPr>
        <w:t>建　议</w:t>
      </w:r>
    </w:p>
    <w:p w:rsidR="008C5721" w:rsidRPr="0034139E" w:rsidRDefault="008C5721" w:rsidP="00244155">
      <w:pPr>
        <w:overflowPunct w:val="0"/>
        <w:spacing w:afterLines="50" w:after="120" w:line="340" w:lineRule="atLeast"/>
        <w:ind w:left="567"/>
        <w:jc w:val="both"/>
        <w:rPr>
          <w:rFonts w:ascii="SimSun" w:hAnsi="SimSun"/>
          <w:sz w:val="21"/>
        </w:rPr>
      </w:pPr>
      <w:r w:rsidRPr="0034139E">
        <w:rPr>
          <w:rFonts w:ascii="SimSun" w:hAnsi="SimSun" w:hint="eastAsia"/>
          <w:sz w:val="21"/>
          <w:u w:val="single"/>
        </w:rPr>
        <w:t>建议16</w:t>
      </w:r>
      <w:r w:rsidR="009102AC" w:rsidRPr="009102AC">
        <w:rPr>
          <w:rFonts w:ascii="SimSun" w:hAnsi="SimSun" w:hint="eastAsia"/>
          <w:sz w:val="21"/>
        </w:rPr>
        <w:t>：</w:t>
      </w:r>
      <w:r w:rsidRPr="0034139E">
        <w:rPr>
          <w:rFonts w:ascii="SimSun" w:hAnsi="SimSun" w:hint="eastAsia"/>
          <w:sz w:val="21"/>
        </w:rPr>
        <w:t>应当仔细</w:t>
      </w:r>
      <w:r w:rsidRPr="00244155">
        <w:rPr>
          <w:rFonts w:ascii="SimSun" w:hAnsi="SimSun" w:hint="eastAsia"/>
          <w:sz w:val="21"/>
          <w:szCs w:val="22"/>
        </w:rPr>
        <w:t>分析</w:t>
      </w:r>
      <w:r w:rsidRPr="0034139E">
        <w:rPr>
          <w:rFonts w:ascii="SimSun" w:hAnsi="SimSun" w:hint="eastAsia"/>
          <w:sz w:val="21"/>
        </w:rPr>
        <w:t>适用WIPO标准ST.36和ST.96的申请内容格式，提出比一般标准（允许有大量选项）更具体、更</w:t>
      </w:r>
      <w:r w:rsidRPr="00B667AB">
        <w:rPr>
          <w:rFonts w:ascii="SimSun" w:hAnsi="SimSun" w:hint="eastAsia"/>
          <w:sz w:val="21"/>
          <w:szCs w:val="22"/>
        </w:rPr>
        <w:t>切实</w:t>
      </w:r>
      <w:r w:rsidRPr="0034139E">
        <w:rPr>
          <w:rFonts w:ascii="SimSun" w:hAnsi="SimSun" w:hint="eastAsia"/>
          <w:sz w:val="21"/>
        </w:rPr>
        <w:t>的实现形式，以满足与专利处理相关的所有需求，并允许上述两者之间进行可靠的双向转换。</w:t>
      </w:r>
    </w:p>
    <w:p w:rsidR="008C5721" w:rsidRPr="0034139E" w:rsidRDefault="008C5721" w:rsidP="00244155">
      <w:pPr>
        <w:overflowPunct w:val="0"/>
        <w:spacing w:afterLines="50" w:after="120" w:line="340" w:lineRule="atLeast"/>
        <w:ind w:left="567"/>
        <w:jc w:val="both"/>
        <w:rPr>
          <w:rFonts w:ascii="SimSun" w:hAnsi="SimSun"/>
          <w:sz w:val="21"/>
        </w:rPr>
      </w:pPr>
      <w:r w:rsidRPr="0034139E">
        <w:rPr>
          <w:rFonts w:ascii="SimSun" w:hAnsi="SimSun" w:hint="eastAsia"/>
          <w:sz w:val="21"/>
          <w:u w:val="single"/>
        </w:rPr>
        <w:t>建议17</w:t>
      </w:r>
      <w:r w:rsidR="009102AC" w:rsidRPr="009102AC">
        <w:rPr>
          <w:rFonts w:ascii="SimSun" w:hAnsi="SimSun" w:hint="eastAsia"/>
          <w:sz w:val="21"/>
        </w:rPr>
        <w:t>：</w:t>
      </w:r>
      <w:r w:rsidRPr="0034139E">
        <w:rPr>
          <w:rFonts w:ascii="SimSun" w:hAnsi="SimSun" w:hint="eastAsia"/>
          <w:sz w:val="21"/>
        </w:rPr>
        <w:t>在制定WIPO标准ST.96的检索和审查报告标准时，不应当仅仅将ST.36转换成ST.96的预期结果，而是应当分析数据结构能否促进某个知识产权局或者多个知识产权局之间在检索和审查不同阶段中数据</w:t>
      </w:r>
      <w:r w:rsidRPr="00244155">
        <w:rPr>
          <w:rFonts w:ascii="SimSun" w:hAnsi="SimSun" w:hint="eastAsia"/>
          <w:sz w:val="21"/>
          <w:szCs w:val="22"/>
        </w:rPr>
        <w:t>轻松</w:t>
      </w:r>
      <w:r w:rsidRPr="0034139E">
        <w:rPr>
          <w:rFonts w:ascii="SimSun" w:hAnsi="SimSun" w:hint="eastAsia"/>
          <w:sz w:val="21"/>
        </w:rPr>
        <w:t>得到重复使用。</w:t>
      </w:r>
    </w:p>
    <w:p w:rsidR="008C5721" w:rsidRPr="0034139E" w:rsidRDefault="008C5721" w:rsidP="00244155">
      <w:pPr>
        <w:overflowPunct w:val="0"/>
        <w:spacing w:afterLines="50" w:after="120" w:line="340" w:lineRule="atLeast"/>
        <w:ind w:left="567"/>
        <w:jc w:val="both"/>
        <w:rPr>
          <w:rFonts w:ascii="SimSun" w:hAnsi="SimSun"/>
          <w:sz w:val="21"/>
        </w:rPr>
      </w:pPr>
      <w:r w:rsidRPr="0034139E">
        <w:rPr>
          <w:rFonts w:ascii="SimSun" w:hAnsi="SimSun" w:hint="eastAsia"/>
          <w:sz w:val="21"/>
          <w:u w:val="single"/>
        </w:rPr>
        <w:t>建议18</w:t>
      </w:r>
      <w:r w:rsidR="009102AC" w:rsidRPr="009102AC">
        <w:rPr>
          <w:rFonts w:ascii="SimSun" w:hAnsi="SimSun" w:hint="eastAsia"/>
          <w:sz w:val="21"/>
        </w:rPr>
        <w:t>：</w:t>
      </w:r>
      <w:r w:rsidRPr="0034139E">
        <w:rPr>
          <w:rFonts w:ascii="SimSun" w:hAnsi="SimSun" w:hint="eastAsia"/>
          <w:sz w:val="21"/>
        </w:rPr>
        <w:t>应当开发通用的转换软件，以验证并将主要的文件类型（从DOCX开始，其他格式也需要考虑）转换成简化的XML格式；该软件应当得到审慎的</w:t>
      </w:r>
      <w:r w:rsidR="006C42AD" w:rsidRPr="0034139E">
        <w:rPr>
          <w:rFonts w:ascii="SimSun" w:hAnsi="SimSun" w:hint="eastAsia"/>
          <w:sz w:val="21"/>
        </w:rPr>
        <w:t>版本</w:t>
      </w:r>
      <w:r w:rsidRPr="0034139E">
        <w:rPr>
          <w:rFonts w:ascii="SimSun" w:hAnsi="SimSun" w:hint="eastAsia"/>
          <w:sz w:val="21"/>
        </w:rPr>
        <w:t>管控，确保其适于通过本地部署或者</w:t>
      </w:r>
      <w:r w:rsidR="006C42AD">
        <w:rPr>
          <w:rFonts w:ascii="SimSun" w:hAnsi="SimSun" w:hint="eastAsia"/>
          <w:sz w:val="21"/>
        </w:rPr>
        <w:t>API</w:t>
      </w:r>
      <w:r w:rsidRPr="0034139E">
        <w:rPr>
          <w:rFonts w:ascii="SimSun" w:hAnsi="SimSun" w:hint="eastAsia"/>
          <w:sz w:val="21"/>
        </w:rPr>
        <w:t>的方式与国内处理系统整合在一起，能够生成符合WIPO标准ST.36或ST.96的输出数据，而且两种数据格式允许在后续阶段进行必要的准确转换。如果有助于申请的有效修改/修正，后续阶段的其他转换软件（ST.36或ST.96标准向DOCX转换）也应当得到考虑。</w:t>
      </w:r>
    </w:p>
    <w:p w:rsidR="008C5721" w:rsidRPr="0034139E" w:rsidRDefault="008C5721" w:rsidP="00244155">
      <w:pPr>
        <w:overflowPunct w:val="0"/>
        <w:spacing w:afterLines="50" w:after="120" w:line="340" w:lineRule="atLeast"/>
        <w:ind w:left="567"/>
        <w:jc w:val="both"/>
        <w:rPr>
          <w:rFonts w:ascii="SimSun" w:hAnsi="SimSun"/>
          <w:sz w:val="21"/>
        </w:rPr>
      </w:pPr>
      <w:r w:rsidRPr="0034139E">
        <w:rPr>
          <w:rFonts w:ascii="SimSun" w:hAnsi="SimSun" w:hint="eastAsia"/>
          <w:sz w:val="21"/>
          <w:u w:val="single"/>
        </w:rPr>
        <w:t>建议19</w:t>
      </w:r>
      <w:r w:rsidR="009102AC" w:rsidRPr="009102AC">
        <w:rPr>
          <w:rFonts w:ascii="SimSun" w:hAnsi="SimSun" w:hint="eastAsia"/>
          <w:sz w:val="21"/>
        </w:rPr>
        <w:t>：</w:t>
      </w:r>
      <w:r w:rsidRPr="0034139E">
        <w:rPr>
          <w:rFonts w:ascii="SimSun" w:hAnsi="SimSun" w:hint="eastAsia"/>
          <w:sz w:val="21"/>
        </w:rPr>
        <w:t>知识产权局和国际局应当就其在线申请系统中使用的PLT兼容</w:t>
      </w:r>
      <w:r w:rsidR="003E4502">
        <w:rPr>
          <w:rFonts w:ascii="SimSun" w:hAnsi="SimSun" w:hint="eastAsia"/>
          <w:sz w:val="21"/>
        </w:rPr>
        <w:t>著录项目</w:t>
      </w:r>
      <w:r w:rsidRPr="0034139E">
        <w:rPr>
          <w:rFonts w:ascii="SimSun" w:hAnsi="SimSun" w:hint="eastAsia"/>
          <w:sz w:val="21"/>
        </w:rPr>
        <w:t>/</w:t>
      </w:r>
      <w:r w:rsidR="003E4502">
        <w:rPr>
          <w:rFonts w:ascii="SimSun" w:hAnsi="SimSun" w:hint="eastAsia"/>
          <w:sz w:val="21"/>
        </w:rPr>
        <w:t>说明书</w:t>
      </w:r>
      <w:r w:rsidRPr="0034139E">
        <w:rPr>
          <w:rFonts w:ascii="SimSun" w:hAnsi="SimSun" w:hint="eastAsia"/>
          <w:sz w:val="21"/>
        </w:rPr>
        <w:t>数据包，以及各局特定内容通用的编码方法达成</w:t>
      </w:r>
      <w:r w:rsidRPr="00244155">
        <w:rPr>
          <w:rFonts w:ascii="SimSun" w:hAnsi="SimSun" w:hint="eastAsia"/>
          <w:sz w:val="21"/>
          <w:szCs w:val="22"/>
        </w:rPr>
        <w:t>一致</w:t>
      </w:r>
      <w:r w:rsidRPr="0034139E">
        <w:rPr>
          <w:rFonts w:ascii="SimSun" w:hAnsi="SimSun" w:hint="eastAsia"/>
          <w:sz w:val="21"/>
        </w:rPr>
        <w:t>意见，从而对已提交申请的</w:t>
      </w:r>
      <w:r w:rsidR="003E4502">
        <w:rPr>
          <w:rFonts w:ascii="SimSun" w:hAnsi="SimSun" w:hint="eastAsia"/>
          <w:sz w:val="21"/>
        </w:rPr>
        <w:t>著录项目</w:t>
      </w:r>
      <w:r w:rsidRPr="0034139E">
        <w:rPr>
          <w:rFonts w:ascii="SimSun" w:hAnsi="SimSun" w:hint="eastAsia"/>
          <w:sz w:val="21"/>
        </w:rPr>
        <w:t>/</w:t>
      </w:r>
      <w:r w:rsidR="003E4502">
        <w:rPr>
          <w:rFonts w:ascii="SimSun" w:hAnsi="SimSun" w:hint="eastAsia"/>
          <w:sz w:val="21"/>
        </w:rPr>
        <w:t>说明书</w:t>
      </w:r>
      <w:r w:rsidRPr="0034139E">
        <w:rPr>
          <w:rFonts w:ascii="SimSun" w:hAnsi="SimSun" w:hint="eastAsia"/>
          <w:sz w:val="21"/>
        </w:rPr>
        <w:t>数据进行更有效的重复使用，并开发第三方知识产权管理系统，在不需要转换或重新录入的情况下发送</w:t>
      </w:r>
      <w:r w:rsidR="003E4502">
        <w:rPr>
          <w:rFonts w:ascii="SimSun" w:hAnsi="SimSun" w:hint="eastAsia"/>
          <w:sz w:val="21"/>
        </w:rPr>
        <w:t>著录项目</w:t>
      </w:r>
      <w:r w:rsidRPr="0034139E">
        <w:rPr>
          <w:rFonts w:ascii="SimSun" w:hAnsi="SimSun" w:hint="eastAsia"/>
          <w:sz w:val="21"/>
        </w:rPr>
        <w:t>/</w:t>
      </w:r>
      <w:r w:rsidR="003E4502">
        <w:rPr>
          <w:rFonts w:ascii="SimSun" w:hAnsi="SimSun" w:hint="eastAsia"/>
          <w:sz w:val="21"/>
        </w:rPr>
        <w:t>说明书</w:t>
      </w:r>
      <w:r w:rsidRPr="0034139E">
        <w:rPr>
          <w:rFonts w:ascii="SimSun" w:hAnsi="SimSun" w:hint="eastAsia"/>
          <w:sz w:val="21"/>
        </w:rPr>
        <w:t>数据。</w:t>
      </w:r>
    </w:p>
    <w:p w:rsidR="008C5721" w:rsidRPr="0034139E" w:rsidRDefault="008C5721" w:rsidP="00244155">
      <w:pPr>
        <w:overflowPunct w:val="0"/>
        <w:spacing w:afterLines="50" w:after="120" w:line="340" w:lineRule="atLeast"/>
        <w:ind w:left="567"/>
        <w:jc w:val="both"/>
        <w:rPr>
          <w:rFonts w:ascii="SimSun" w:hAnsi="SimSun"/>
          <w:sz w:val="21"/>
        </w:rPr>
      </w:pPr>
      <w:r w:rsidRPr="0034139E">
        <w:rPr>
          <w:rFonts w:ascii="SimSun" w:hAnsi="SimSun" w:hint="eastAsia"/>
          <w:sz w:val="21"/>
          <w:u w:val="single"/>
        </w:rPr>
        <w:t>建议20</w:t>
      </w:r>
      <w:r w:rsidR="009102AC" w:rsidRPr="009102AC">
        <w:rPr>
          <w:rFonts w:ascii="SimSun" w:hAnsi="SimSun" w:hint="eastAsia"/>
          <w:sz w:val="21"/>
        </w:rPr>
        <w:t>：</w:t>
      </w:r>
      <w:r w:rsidRPr="0034139E">
        <w:rPr>
          <w:rFonts w:ascii="SimSun" w:hAnsi="SimSun" w:hint="eastAsia"/>
          <w:sz w:val="21"/>
        </w:rPr>
        <w:t>知识产权局和国际局应当就数据包的格式（对于PCT，可基于现有的PCT附件F数据包）达成一致意见，由第三方</w:t>
      </w:r>
      <w:r w:rsidRPr="00B667AB">
        <w:rPr>
          <w:rFonts w:ascii="SimSun" w:hAnsi="SimSun" w:hint="eastAsia"/>
          <w:sz w:val="21"/>
          <w:szCs w:val="22"/>
        </w:rPr>
        <w:t>软件</w:t>
      </w:r>
      <w:r w:rsidRPr="0034139E">
        <w:rPr>
          <w:rFonts w:ascii="SimSun" w:hAnsi="SimSun" w:hint="eastAsia"/>
          <w:sz w:val="21"/>
        </w:rPr>
        <w:t>准备数据包（包括从另外一个知识产权局输出已提交的申请），并推送至知识产权局的服务器，从而在网上申请系统完成申请之前，预先填好申请初稿的大部分内容。</w:t>
      </w:r>
    </w:p>
    <w:p w:rsidR="00935613" w:rsidRPr="0034139E" w:rsidRDefault="008C5721" w:rsidP="00244155">
      <w:pPr>
        <w:overflowPunct w:val="0"/>
        <w:spacing w:afterLines="50" w:after="120" w:line="340" w:lineRule="atLeast"/>
        <w:ind w:left="567"/>
        <w:jc w:val="both"/>
        <w:rPr>
          <w:rFonts w:ascii="SimSun" w:hAnsi="SimSun"/>
          <w:sz w:val="21"/>
        </w:rPr>
      </w:pPr>
      <w:r w:rsidRPr="009102AC">
        <w:rPr>
          <w:rFonts w:ascii="SimSun" w:hAnsi="SimSun" w:hint="eastAsia"/>
          <w:sz w:val="21"/>
          <w:szCs w:val="22"/>
          <w:u w:val="single"/>
        </w:rPr>
        <w:t>建议21</w:t>
      </w:r>
      <w:r w:rsidR="009102AC" w:rsidRPr="009102AC">
        <w:rPr>
          <w:rFonts w:ascii="SimSun" w:hAnsi="SimSun" w:hint="eastAsia"/>
          <w:sz w:val="21"/>
        </w:rPr>
        <w:t>：</w:t>
      </w:r>
      <w:r w:rsidRPr="0034139E">
        <w:rPr>
          <w:rFonts w:ascii="SimSun" w:hAnsi="SimSun" w:hint="eastAsia"/>
          <w:sz w:val="21"/>
          <w:szCs w:val="22"/>
        </w:rPr>
        <w:t>知识产权局应当参与</w:t>
      </w:r>
      <w:r w:rsidR="00EA50FC">
        <w:rPr>
          <w:rFonts w:ascii="SimSun" w:hAnsi="SimSun" w:hint="eastAsia"/>
          <w:sz w:val="21"/>
          <w:szCs w:val="22"/>
        </w:rPr>
        <w:t>产权组织</w:t>
      </w:r>
      <w:r w:rsidRPr="0034139E">
        <w:rPr>
          <w:rFonts w:ascii="SimSun" w:hAnsi="SimSun" w:hint="eastAsia"/>
          <w:sz w:val="21"/>
          <w:szCs w:val="22"/>
        </w:rPr>
        <w:t>的项目，使用与知识产权局</w:t>
      </w:r>
      <w:r w:rsidR="00B667AB">
        <w:rPr>
          <w:rFonts w:ascii="SimSun" w:hAnsi="SimSun" w:hint="eastAsia"/>
          <w:sz w:val="21"/>
          <w:szCs w:val="22"/>
        </w:rPr>
        <w:t>信通技术</w:t>
      </w:r>
      <w:r w:rsidRPr="0034139E">
        <w:rPr>
          <w:rFonts w:ascii="SimSun" w:hAnsi="SimSun" w:hint="eastAsia"/>
          <w:sz w:val="21"/>
          <w:szCs w:val="22"/>
        </w:rPr>
        <w:t>系统相连接的全球通用工具和平台，例如WIPO CASE以及全球知识产权注册门户网站，并根据</w:t>
      </w:r>
      <w:r w:rsidR="00EA50FC">
        <w:rPr>
          <w:rFonts w:ascii="SimSun" w:hAnsi="SimSun" w:hint="eastAsia"/>
          <w:sz w:val="21"/>
          <w:szCs w:val="22"/>
        </w:rPr>
        <w:t>产权组织</w:t>
      </w:r>
      <w:r w:rsidRPr="0034139E">
        <w:rPr>
          <w:rFonts w:ascii="SimSun" w:hAnsi="SimSun" w:hint="eastAsia"/>
          <w:sz w:val="21"/>
          <w:szCs w:val="22"/>
        </w:rPr>
        <w:t>的相关标准提供知识产权数据。</w:t>
      </w:r>
    </w:p>
    <w:p w:rsidR="000A7BC0" w:rsidRPr="00244155" w:rsidRDefault="008C5721" w:rsidP="00244155">
      <w:pPr>
        <w:keepNext/>
        <w:overflowPunct w:val="0"/>
        <w:spacing w:beforeLines="100" w:before="240" w:afterLines="50" w:after="120" w:line="340" w:lineRule="atLeast"/>
        <w:outlineLvl w:val="3"/>
        <w:rPr>
          <w:rFonts w:ascii="KaiTi" w:eastAsia="KaiTi" w:hAnsi="KaiTi"/>
          <w:bCs/>
          <w:sz w:val="21"/>
          <w:szCs w:val="28"/>
        </w:rPr>
      </w:pPr>
      <w:r w:rsidRPr="00244155">
        <w:rPr>
          <w:rFonts w:ascii="KaiTi" w:eastAsia="KaiTi" w:hAnsi="KaiTi" w:hint="eastAsia"/>
          <w:bCs/>
          <w:sz w:val="21"/>
          <w:szCs w:val="28"/>
        </w:rPr>
        <w:t>专利和PCT信息的公布以及在世界范围内的传播</w:t>
      </w:r>
    </w:p>
    <w:p w:rsidR="001A4331" w:rsidRPr="0034139E" w:rsidRDefault="000F71B9"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hint="eastAsia"/>
          <w:sz w:val="21"/>
        </w:rPr>
        <w:t>对于很多知识产权局来说，发布机制似乎运转良好，各国能够定期将相关信息输入专利信息服务系统，并发布至全世界。在历史上，知识产权文件和数据的交换是在双边基础上达成共识的，并且不收取费用。知识产权局应当继续坚持这项免费的数据交换制度，并进一步建立多边机制，从而实现知识产权数据以全球一致的方式，在全世界范围内传递。</w:t>
      </w:r>
    </w:p>
    <w:p w:rsidR="0069779D" w:rsidRPr="0034139E" w:rsidRDefault="000F71B9"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hint="eastAsia"/>
          <w:sz w:val="21"/>
        </w:rPr>
        <w:t>大多知识产权局需要访问和检索其他知识产权局的专利数据，以审查世界各地的新事物以及专利申请的新发明。此外，专利信息作为技术信息资源具有价值，可用于促进有用知识的传播，推动创新。在PCT的框架下，国际检索</w:t>
      </w:r>
      <w:r w:rsidRPr="009D0855">
        <w:rPr>
          <w:rFonts w:ascii="SimSun" w:hAnsi="SimSun" w:hint="eastAsia"/>
          <w:sz w:val="21"/>
          <w:szCs w:val="22"/>
        </w:rPr>
        <w:t>机构</w:t>
      </w:r>
      <w:r w:rsidRPr="0034139E">
        <w:rPr>
          <w:rFonts w:ascii="SimSun" w:hAnsi="SimSun" w:hint="eastAsia"/>
          <w:sz w:val="21"/>
        </w:rPr>
        <w:t>有义务检索</w:t>
      </w:r>
      <w:r w:rsidR="006D5C4B">
        <w:rPr>
          <w:rFonts w:ascii="SimSun" w:hAnsi="SimSun" w:hint="eastAsia"/>
          <w:sz w:val="21"/>
        </w:rPr>
        <w:t>PCT</w:t>
      </w:r>
      <w:r w:rsidRPr="0034139E">
        <w:rPr>
          <w:rFonts w:ascii="SimSun" w:hAnsi="SimSun" w:hint="eastAsia"/>
          <w:sz w:val="21"/>
        </w:rPr>
        <w:t>最</w:t>
      </w:r>
      <w:r w:rsidR="006D5C4B">
        <w:rPr>
          <w:rFonts w:ascii="SimSun" w:hAnsi="SimSun" w:hint="eastAsia"/>
          <w:sz w:val="21"/>
        </w:rPr>
        <w:t>低限度文献</w:t>
      </w:r>
      <w:r w:rsidRPr="0034139E">
        <w:rPr>
          <w:rFonts w:ascii="SimSun" w:hAnsi="SimSun" w:hint="eastAsia"/>
          <w:sz w:val="21"/>
        </w:rPr>
        <w:t>。虽然某些知识产权局仍对查询国</w:t>
      </w:r>
      <w:r w:rsidRPr="0034139E">
        <w:rPr>
          <w:rFonts w:ascii="SimSun" w:hAnsi="SimSun" w:hint="eastAsia"/>
          <w:sz w:val="21"/>
        </w:rPr>
        <w:lastRenderedPageBreak/>
        <w:t>家专利数据收取费用，但是，大多数知识产权局都公开发布本国的专利数据，并允许免费查询，同时将此类数据提供给</w:t>
      </w:r>
      <w:r w:rsidR="00EA50FC">
        <w:rPr>
          <w:rFonts w:ascii="SimSun" w:hAnsi="SimSun" w:hint="eastAsia"/>
          <w:sz w:val="21"/>
        </w:rPr>
        <w:t>产权组织</w:t>
      </w:r>
      <w:r w:rsidRPr="0034139E">
        <w:rPr>
          <w:rFonts w:ascii="SimSun" w:hAnsi="SimSun"/>
          <w:sz w:val="21"/>
        </w:rPr>
        <w:t>PATENTSCOPE</w:t>
      </w:r>
      <w:r w:rsidRPr="0034139E">
        <w:rPr>
          <w:rFonts w:ascii="SimSun" w:hAnsi="SimSun" w:hint="eastAsia"/>
          <w:sz w:val="21"/>
        </w:rPr>
        <w:t>数据库。</w:t>
      </w:r>
    </w:p>
    <w:p w:rsidR="00E072E5" w:rsidRPr="0034139E" w:rsidRDefault="000F71B9" w:rsidP="009D0855">
      <w:pPr>
        <w:pStyle w:val="ONUME"/>
        <w:numPr>
          <w:ilvl w:val="0"/>
          <w:numId w:val="8"/>
        </w:numPr>
        <w:overflowPunct w:val="0"/>
        <w:spacing w:afterLines="50" w:after="120" w:line="340" w:lineRule="atLeast"/>
        <w:ind w:left="0" w:firstLine="0"/>
        <w:jc w:val="both"/>
        <w:rPr>
          <w:rFonts w:ascii="SimSun" w:hAnsi="SimSun"/>
          <w:sz w:val="21"/>
          <w:szCs w:val="22"/>
        </w:rPr>
      </w:pPr>
      <w:r w:rsidRPr="0034139E">
        <w:rPr>
          <w:rFonts w:ascii="SimSun" w:hAnsi="SimSun" w:hint="eastAsia"/>
          <w:sz w:val="21"/>
          <w:szCs w:val="22"/>
        </w:rPr>
        <w:t>出于很多原因，全球专利数据的传播仍然是一个挑战。尤其是，此类数据的传播需要及时进行（也就是说，数据应当在公布后短期内就可以查询），而且不论是从历史覆盖范围还是从</w:t>
      </w:r>
      <w:r w:rsidR="00540952">
        <w:rPr>
          <w:rFonts w:ascii="SimSun" w:hAnsi="SimSun" w:hint="eastAsia"/>
          <w:sz w:val="21"/>
        </w:rPr>
        <w:t>著录项目</w:t>
      </w:r>
      <w:r w:rsidRPr="0034139E">
        <w:rPr>
          <w:rFonts w:ascii="SimSun" w:hAnsi="SimSun" w:hint="eastAsia"/>
          <w:sz w:val="21"/>
          <w:szCs w:val="22"/>
        </w:rPr>
        <w:t>和全文数据的角度，数据都应当具备完整性。数据还必须准确，特别是知识产权申请或注册的编号、申请人名称和分类代码。如果是通过光学字符识别手段获取的，全文的质量也需要得到保证。最后，理想的情况是，不论来源如何，数据都应当是</w:t>
      </w:r>
      <w:r w:rsidR="00EA50FC">
        <w:rPr>
          <w:rFonts w:ascii="SimSun" w:hAnsi="SimSun" w:hint="eastAsia"/>
          <w:sz w:val="21"/>
          <w:szCs w:val="22"/>
        </w:rPr>
        <w:t>产权组织</w:t>
      </w:r>
      <w:r w:rsidRPr="0034139E">
        <w:rPr>
          <w:rFonts w:ascii="SimSun" w:hAnsi="SimSun" w:hint="eastAsia"/>
          <w:sz w:val="21"/>
          <w:szCs w:val="22"/>
        </w:rPr>
        <w:t>现有标准或者目前正在制定的新标准确定的可互操作的格式。由于这些挑战的存在，各国需要开展国际合作，帮助规模较小、资源有限的知识产权局对知识产权数据进行数字化。</w:t>
      </w:r>
    </w:p>
    <w:p w:rsidR="003D3675" w:rsidRPr="0034139E" w:rsidRDefault="000F71B9"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hint="eastAsia"/>
          <w:sz w:val="21"/>
        </w:rPr>
        <w:t>WIPO标准</w:t>
      </w:r>
      <w:r w:rsidRPr="0034139E">
        <w:rPr>
          <w:rFonts w:ascii="SimSun" w:hAnsi="SimSun"/>
          <w:sz w:val="21"/>
        </w:rPr>
        <w:t>ST.37</w:t>
      </w:r>
      <w:r w:rsidRPr="0034139E">
        <w:rPr>
          <w:rFonts w:ascii="SimSun" w:hAnsi="SimSun" w:hint="eastAsia"/>
          <w:sz w:val="21"/>
        </w:rPr>
        <w:t>建议国家或地区知识产权局发布专利文件的权威文档，从而使其他知识产权局和其他相关方能够评估</w:t>
      </w:r>
      <w:r w:rsidRPr="009D0855">
        <w:rPr>
          <w:rFonts w:ascii="SimSun" w:hAnsi="SimSun" w:hint="eastAsia"/>
          <w:sz w:val="21"/>
          <w:szCs w:val="22"/>
        </w:rPr>
        <w:t>自</w:t>
      </w:r>
      <w:r w:rsidRPr="0034139E">
        <w:rPr>
          <w:rFonts w:ascii="SimSun" w:hAnsi="SimSun" w:hint="eastAsia"/>
          <w:sz w:val="21"/>
        </w:rPr>
        <w:t>已</w:t>
      </w:r>
      <w:r w:rsidR="006D5C4B">
        <w:rPr>
          <w:rFonts w:ascii="SimSun" w:hAnsi="SimSun" w:hint="eastAsia"/>
          <w:sz w:val="21"/>
        </w:rPr>
        <w:t>的已公布</w:t>
      </w:r>
      <w:r w:rsidRPr="0034139E">
        <w:rPr>
          <w:rFonts w:ascii="SimSun" w:hAnsi="SimSun" w:hint="eastAsia"/>
          <w:sz w:val="21"/>
        </w:rPr>
        <w:t>专利文</w:t>
      </w:r>
      <w:r w:rsidR="006D5C4B">
        <w:rPr>
          <w:rFonts w:ascii="SimSun" w:hAnsi="SimSun" w:hint="eastAsia"/>
          <w:sz w:val="21"/>
        </w:rPr>
        <w:t>献</w:t>
      </w:r>
      <w:r w:rsidRPr="0034139E">
        <w:rPr>
          <w:rFonts w:ascii="SimSun" w:hAnsi="SimSun" w:hint="eastAsia"/>
          <w:sz w:val="21"/>
        </w:rPr>
        <w:t>集的完整性。国际局目前正在开发权威文档的门户网站，届时可以通过该网站查看或访问知识产权局的权威文档。</w:t>
      </w:r>
    </w:p>
    <w:p w:rsidR="004E1AC1" w:rsidRPr="0034139E" w:rsidRDefault="000F71B9"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hint="eastAsia"/>
          <w:sz w:val="21"/>
        </w:rPr>
        <w:t xml:space="preserve">在查询知识产权信息方面，语言障碍仍然是一个重要的问题。知识产权局和公众应当利用机器翻译技术克服这个障碍。WIPO </w:t>
      </w:r>
      <w:r w:rsidRPr="0034139E">
        <w:rPr>
          <w:rFonts w:ascii="SimSun" w:hAnsi="SimSun"/>
          <w:sz w:val="21"/>
        </w:rPr>
        <w:t>Translate</w:t>
      </w:r>
      <w:r w:rsidRPr="0034139E">
        <w:rPr>
          <w:rFonts w:ascii="SimSun" w:hAnsi="SimSun" w:hint="eastAsia"/>
          <w:sz w:val="21"/>
        </w:rPr>
        <w:t>是本组织开发的一款通用翻译工具，并基于PCT数据向公众开放。在开发通用工具方面，通过多个知识产权局的共同投资与国际合作，能够开发出尽可能好的工具，以供大众使用。在升级</w:t>
      </w:r>
      <w:r w:rsidR="00EA50FC">
        <w:rPr>
          <w:rFonts w:ascii="SimSun" w:hAnsi="SimSun" w:hint="eastAsia"/>
          <w:sz w:val="21"/>
        </w:rPr>
        <w:t>产权组织</w:t>
      </w:r>
      <w:r w:rsidRPr="0034139E">
        <w:rPr>
          <w:rFonts w:ascii="SimSun" w:hAnsi="SimSun" w:hint="eastAsia"/>
          <w:sz w:val="21"/>
        </w:rPr>
        <w:t>全球数据库的过程中，知识产权局应当提供资料，用以完善机器翻译引擎。这样做能够使世界各地的市场消费者用自己的语言检索专利信息，并促进当地的创新。为了推动这项工作，一项可能的措施是成立国际性的信托基金，由知识产权局自愿出资，致力于无法获取完整文本的备份文件的数字化和校勘，从而惠及整个知识产权行业。</w:t>
      </w:r>
    </w:p>
    <w:p w:rsidR="00393F3F" w:rsidRPr="0034139E" w:rsidRDefault="00D40A28" w:rsidP="00244155">
      <w:pPr>
        <w:overflowPunct w:val="0"/>
        <w:spacing w:afterLines="50" w:after="120" w:line="340" w:lineRule="atLeast"/>
        <w:ind w:left="567"/>
        <w:jc w:val="both"/>
        <w:rPr>
          <w:rFonts w:ascii="SimSun" w:hAnsi="SimSun"/>
          <w:bCs/>
          <w:sz w:val="21"/>
          <w:szCs w:val="26"/>
          <w:u w:val="single"/>
        </w:rPr>
      </w:pPr>
      <w:r>
        <w:rPr>
          <w:rFonts w:ascii="SimSun" w:hAnsi="SimSun" w:hint="eastAsia"/>
          <w:bCs/>
          <w:sz w:val="21"/>
          <w:szCs w:val="26"/>
          <w:u w:val="single"/>
        </w:rPr>
        <w:t>建　议</w:t>
      </w:r>
    </w:p>
    <w:p w:rsidR="00393F3F" w:rsidRPr="0034139E" w:rsidRDefault="00393F3F" w:rsidP="00244155">
      <w:pPr>
        <w:overflowPunct w:val="0"/>
        <w:spacing w:afterLines="50" w:after="120" w:line="340" w:lineRule="atLeast"/>
        <w:ind w:left="567"/>
        <w:jc w:val="both"/>
        <w:rPr>
          <w:rFonts w:ascii="SimSun" w:hAnsi="SimSun"/>
          <w:sz w:val="21"/>
        </w:rPr>
      </w:pPr>
      <w:r w:rsidRPr="0034139E">
        <w:rPr>
          <w:rFonts w:ascii="SimSun" w:hAnsi="SimSun" w:hint="eastAsia"/>
          <w:sz w:val="21"/>
          <w:u w:val="single"/>
        </w:rPr>
        <w:t>建议22</w:t>
      </w:r>
      <w:r w:rsidR="009102AC" w:rsidRPr="009102AC">
        <w:rPr>
          <w:rFonts w:ascii="SimSun" w:hAnsi="SimSun" w:hint="eastAsia"/>
          <w:sz w:val="21"/>
        </w:rPr>
        <w:t>：</w:t>
      </w:r>
      <w:r w:rsidRPr="0034139E">
        <w:rPr>
          <w:rFonts w:ascii="SimSun" w:hAnsi="SimSun" w:hint="eastAsia"/>
          <w:sz w:val="21"/>
        </w:rPr>
        <w:t>知识产权局</w:t>
      </w:r>
      <w:r w:rsidRPr="00244155">
        <w:rPr>
          <w:rFonts w:ascii="SimSun" w:hAnsi="SimSun" w:hint="eastAsia"/>
          <w:sz w:val="21"/>
          <w:szCs w:val="22"/>
        </w:rPr>
        <w:t>必须</w:t>
      </w:r>
      <w:r w:rsidRPr="0034139E">
        <w:rPr>
          <w:rFonts w:ascii="SimSun" w:hAnsi="SimSun" w:hint="eastAsia"/>
          <w:sz w:val="21"/>
        </w:rPr>
        <w:t>以无障碍的方式免费分享和传播专利信息，或仅收取最低限度的费用。</w:t>
      </w:r>
    </w:p>
    <w:p w:rsidR="00393F3F" w:rsidRPr="0034139E" w:rsidRDefault="00393F3F" w:rsidP="00244155">
      <w:pPr>
        <w:overflowPunct w:val="0"/>
        <w:spacing w:afterLines="50" w:after="120" w:line="340" w:lineRule="atLeast"/>
        <w:ind w:left="567"/>
        <w:jc w:val="both"/>
        <w:rPr>
          <w:rFonts w:ascii="SimSun" w:hAnsi="SimSun"/>
          <w:sz w:val="21"/>
        </w:rPr>
      </w:pPr>
      <w:r w:rsidRPr="0034139E">
        <w:rPr>
          <w:rFonts w:ascii="SimSun" w:hAnsi="SimSun" w:hint="eastAsia"/>
          <w:sz w:val="21"/>
          <w:u w:val="single"/>
        </w:rPr>
        <w:t>建议23</w:t>
      </w:r>
      <w:r w:rsidR="009102AC" w:rsidRPr="009102AC">
        <w:rPr>
          <w:rFonts w:ascii="SimSun" w:hAnsi="SimSun" w:hint="eastAsia"/>
          <w:sz w:val="21"/>
        </w:rPr>
        <w:t>：</w:t>
      </w:r>
      <w:r w:rsidRPr="0034139E">
        <w:rPr>
          <w:rFonts w:ascii="SimSun" w:hAnsi="SimSun" w:hint="eastAsia"/>
          <w:sz w:val="21"/>
        </w:rPr>
        <w:t>鼓励知识产权局向国际局</w:t>
      </w:r>
      <w:r w:rsidRPr="00B667AB">
        <w:rPr>
          <w:rFonts w:ascii="SimSun" w:hAnsi="SimSun" w:hint="eastAsia"/>
          <w:sz w:val="21"/>
          <w:szCs w:val="22"/>
        </w:rPr>
        <w:t>提供</w:t>
      </w:r>
      <w:r w:rsidRPr="0034139E">
        <w:rPr>
          <w:rFonts w:ascii="SimSun" w:hAnsi="SimSun" w:hint="eastAsia"/>
          <w:sz w:val="21"/>
        </w:rPr>
        <w:t>权威文档，或者将各自的权威文档链接到国际局网站。</w:t>
      </w:r>
    </w:p>
    <w:p w:rsidR="003D3675" w:rsidRPr="0034139E" w:rsidRDefault="00393F3F" w:rsidP="00244155">
      <w:pPr>
        <w:overflowPunct w:val="0"/>
        <w:spacing w:afterLines="50" w:after="120" w:line="340" w:lineRule="atLeast"/>
        <w:ind w:left="567"/>
        <w:jc w:val="both"/>
        <w:rPr>
          <w:rFonts w:ascii="SimSun" w:hAnsi="SimSun"/>
          <w:sz w:val="21"/>
        </w:rPr>
      </w:pPr>
      <w:r w:rsidRPr="00AB3745">
        <w:rPr>
          <w:rFonts w:ascii="SimSun" w:hAnsi="SimSun" w:hint="eastAsia"/>
          <w:sz w:val="21"/>
          <w:u w:val="single"/>
        </w:rPr>
        <w:t>建议24</w:t>
      </w:r>
      <w:r w:rsidR="009102AC" w:rsidRPr="00AB3745">
        <w:rPr>
          <w:rFonts w:ascii="SimSun" w:hAnsi="SimSun" w:hint="eastAsia"/>
          <w:sz w:val="21"/>
        </w:rPr>
        <w:t>：</w:t>
      </w:r>
      <w:r w:rsidRPr="00AB3745">
        <w:rPr>
          <w:rFonts w:ascii="SimSun" w:hAnsi="SimSun" w:hint="eastAsia"/>
          <w:sz w:val="21"/>
        </w:rPr>
        <w:t>探索由知识产权局自愿出资成立国际信托基金的可能性，从而促进把知识产权数据作为全球公共产品进行数字化的国际合作。</w:t>
      </w:r>
    </w:p>
    <w:p w:rsidR="009F6D7F" w:rsidRPr="00244155" w:rsidRDefault="009F6D7F" w:rsidP="00244155">
      <w:pPr>
        <w:keepNext/>
        <w:overflowPunct w:val="0"/>
        <w:spacing w:beforeLines="100" w:before="240" w:afterLines="50" w:after="120" w:line="340" w:lineRule="atLeast"/>
        <w:outlineLvl w:val="3"/>
        <w:rPr>
          <w:rFonts w:ascii="KaiTi" w:eastAsia="KaiTi" w:hAnsi="KaiTi"/>
          <w:bCs/>
          <w:sz w:val="21"/>
          <w:szCs w:val="28"/>
        </w:rPr>
      </w:pPr>
      <w:r w:rsidRPr="00244155">
        <w:rPr>
          <w:rFonts w:ascii="KaiTi" w:eastAsia="KaiTi" w:hAnsi="KaiTi" w:hint="eastAsia"/>
          <w:bCs/>
          <w:sz w:val="21"/>
          <w:szCs w:val="28"/>
        </w:rPr>
        <w:t>优先权文件</w:t>
      </w:r>
    </w:p>
    <w:p w:rsidR="008C1588" w:rsidRPr="0034139E" w:rsidRDefault="009F6D7F"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hint="eastAsia"/>
          <w:sz w:val="21"/>
        </w:rPr>
        <w:t>大多数国家的知识产权局要求</w:t>
      </w:r>
      <w:r w:rsidR="006D5C4B">
        <w:rPr>
          <w:rFonts w:ascii="SimSun" w:hAnsi="SimSun" w:hint="eastAsia"/>
          <w:sz w:val="21"/>
        </w:rPr>
        <w:t>提交</w:t>
      </w:r>
      <w:r w:rsidRPr="0034139E">
        <w:rPr>
          <w:rFonts w:ascii="SimSun" w:hAnsi="SimSun" w:hint="eastAsia"/>
          <w:sz w:val="21"/>
        </w:rPr>
        <w:t>优先权文件，以支持优先权声明。即使没有这项要求，除非有引用文献要求对</w:t>
      </w:r>
      <w:r w:rsidRPr="009D0855">
        <w:rPr>
          <w:rFonts w:ascii="SimSun" w:hAnsi="SimSun" w:hint="eastAsia"/>
          <w:sz w:val="21"/>
          <w:szCs w:val="22"/>
        </w:rPr>
        <w:t>优先权</w:t>
      </w:r>
      <w:r w:rsidRPr="0034139E">
        <w:rPr>
          <w:rFonts w:ascii="SimSun" w:hAnsi="SimSun" w:hint="eastAsia"/>
          <w:sz w:val="21"/>
        </w:rPr>
        <w:t>声明的</w:t>
      </w:r>
      <w:r w:rsidR="006D5C4B">
        <w:rPr>
          <w:rFonts w:ascii="SimSun" w:hAnsi="SimSun" w:hint="eastAsia"/>
          <w:sz w:val="21"/>
        </w:rPr>
        <w:t>有效</w:t>
      </w:r>
      <w:r w:rsidRPr="0034139E">
        <w:rPr>
          <w:rFonts w:ascii="SimSun" w:hAnsi="SimSun" w:hint="eastAsia"/>
          <w:sz w:val="21"/>
        </w:rPr>
        <w:t>性进行评估，否则一般来说申请人也需要提供优先权文件。较大的知识产权局之间以及PCT受理局和国际局之间在PCT国际阶段进行的优先权文件交换</w:t>
      </w:r>
      <w:r w:rsidR="006D5C4B">
        <w:rPr>
          <w:rFonts w:ascii="SimSun" w:hAnsi="SimSun" w:hint="eastAsia"/>
          <w:sz w:val="21"/>
        </w:rPr>
        <w:t>，</w:t>
      </w:r>
      <w:r w:rsidRPr="0034139E">
        <w:rPr>
          <w:rFonts w:ascii="SimSun" w:hAnsi="SimSun" w:hint="eastAsia"/>
          <w:sz w:val="21"/>
        </w:rPr>
        <w:t>有很大一部分是自动进行的，要么通过双边交换项目，要么通过WIPO DAS系统实现。</w:t>
      </w:r>
    </w:p>
    <w:p w:rsidR="000A7BC0" w:rsidRPr="0034139E" w:rsidRDefault="009F6D7F"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hint="eastAsia"/>
          <w:sz w:val="21"/>
        </w:rPr>
        <w:t>不过，现有的优先权文件交换系统并未覆盖所有</w:t>
      </w:r>
      <w:r w:rsidR="00863B44">
        <w:rPr>
          <w:rFonts w:ascii="SimSun" w:hAnsi="SimSun" w:hint="eastAsia"/>
          <w:sz w:val="21"/>
        </w:rPr>
        <w:t>案件</w:t>
      </w:r>
      <w:r w:rsidRPr="0034139E">
        <w:rPr>
          <w:rFonts w:ascii="SimSun" w:hAnsi="SimSun" w:hint="eastAsia"/>
          <w:sz w:val="21"/>
        </w:rPr>
        <w:t>。在PCT中，优先权文件大约有13%仍然以申请人获取和提交纸质副本的方式传送。对于很多受理局来说，包括某些申请受理量庞大的知识产权局（例如欧洲专利局和国际局）来说，这一比例高达50%以上。虽然少数知识产权局已经建立了流程，通过数字签名的PDF文件提交优先权文件，但事实是，除了五局使用的优先权文件交换系统以外，大多数优先权文件仍然通过纸质副本传送。</w:t>
      </w:r>
    </w:p>
    <w:p w:rsidR="000A7BC0" w:rsidRPr="0034139E" w:rsidRDefault="009F6D7F"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hint="eastAsia"/>
          <w:sz w:val="21"/>
        </w:rPr>
        <w:t>此外，即使是以电子手段传送优先权文件，交换的内容一般都是图像格式的文件，而这对优先权文件与后期申请的对比毫无帮助。数字签名的PDF文件的普遍使用将在很大程度上更好地满足优先</w:t>
      </w:r>
      <w:r w:rsidRPr="0034139E">
        <w:rPr>
          <w:rFonts w:ascii="SimSun" w:hAnsi="SimSun" w:hint="eastAsia"/>
          <w:sz w:val="21"/>
        </w:rPr>
        <w:lastRenderedPageBreak/>
        <w:t>权文件相关的法律要求，并有助于消除生成、寄送和扫描纸质副本的必要性。理想的情况是，优先权文件应当包含最有用的信息。在以完整文本格式提交申请时，文件包里也应当包括由最有用信息构成的版本。同样，颜色信息应最好保留。优先权文件应当包含XML格式的</w:t>
      </w:r>
      <w:r w:rsidR="00540952">
        <w:rPr>
          <w:rFonts w:ascii="SimSun" w:hAnsi="SimSun" w:hint="eastAsia"/>
          <w:sz w:val="21"/>
        </w:rPr>
        <w:t>著录项目</w:t>
      </w:r>
      <w:r w:rsidRPr="0034139E">
        <w:rPr>
          <w:rFonts w:ascii="SimSun" w:hAnsi="SimSun" w:hint="eastAsia"/>
          <w:sz w:val="21"/>
        </w:rPr>
        <w:t>信息。申请人可以将此类信息上传至另外一个知识产权局的系统内，以支持知识产权局的处理工作或生成后</w:t>
      </w:r>
      <w:r w:rsidR="00ED7E11">
        <w:rPr>
          <w:rFonts w:ascii="SimSun" w:hAnsi="SimSun" w:hint="eastAsia"/>
          <w:sz w:val="21"/>
        </w:rPr>
        <w:t>续</w:t>
      </w:r>
      <w:r w:rsidRPr="0034139E">
        <w:rPr>
          <w:rFonts w:ascii="SimSun" w:hAnsi="SimSun" w:hint="eastAsia"/>
          <w:sz w:val="21"/>
        </w:rPr>
        <w:t>申请（在上传优先权文件的过程中，申请信息会作为优先权声明自动录入，申请人信息和优先权文件将有选择地添加，以作为后期申请的申请文本）。为了有效处理庞大的核苷酸和氨基酸序列，需要出台专门的规定（或许通过二次数据包、单独的</w:t>
      </w:r>
      <w:r w:rsidR="00ED7E11">
        <w:rPr>
          <w:rFonts w:ascii="SimSun" w:hAnsi="SimSun" w:hint="eastAsia"/>
          <w:sz w:val="21"/>
        </w:rPr>
        <w:t>存储</w:t>
      </w:r>
      <w:r w:rsidRPr="0034139E">
        <w:rPr>
          <w:rFonts w:ascii="SimSun" w:hAnsi="SimSun" w:hint="eastAsia"/>
          <w:sz w:val="21"/>
        </w:rPr>
        <w:t>盘或适</w:t>
      </w:r>
      <w:r w:rsidR="00ED7E11">
        <w:rPr>
          <w:rFonts w:ascii="SimSun" w:hAnsi="SimSun" w:hint="eastAsia"/>
          <w:sz w:val="21"/>
        </w:rPr>
        <w:t>当</w:t>
      </w:r>
      <w:r w:rsidRPr="0034139E">
        <w:rPr>
          <w:rFonts w:ascii="SimSun" w:hAnsi="SimSun" w:hint="eastAsia"/>
          <w:sz w:val="21"/>
        </w:rPr>
        <w:t>的</w:t>
      </w:r>
      <w:r w:rsidR="00ED7E11">
        <w:rPr>
          <w:rFonts w:ascii="SimSun" w:hAnsi="SimSun" w:hint="eastAsia"/>
          <w:sz w:val="21"/>
        </w:rPr>
        <w:t>保藏机构</w:t>
      </w:r>
      <w:r w:rsidRPr="0034139E">
        <w:rPr>
          <w:rFonts w:ascii="SimSun" w:hAnsi="SimSun" w:hint="eastAsia"/>
          <w:sz w:val="21"/>
        </w:rPr>
        <w:t>等），但这些在数量上非常小，因此</w:t>
      </w:r>
      <w:r w:rsidR="00ED7E11">
        <w:rPr>
          <w:rFonts w:ascii="SimSun" w:hAnsi="SimSun" w:hint="eastAsia"/>
          <w:sz w:val="21"/>
        </w:rPr>
        <w:t>不能妨碍</w:t>
      </w:r>
      <w:r w:rsidRPr="0034139E">
        <w:rPr>
          <w:rFonts w:ascii="SimSun" w:hAnsi="SimSun" w:hint="eastAsia"/>
          <w:sz w:val="21"/>
        </w:rPr>
        <w:t>开发</w:t>
      </w:r>
      <w:r w:rsidR="00ED7E11">
        <w:rPr>
          <w:rFonts w:ascii="SimSun" w:hAnsi="SimSun" w:hint="eastAsia"/>
          <w:sz w:val="21"/>
        </w:rPr>
        <w:t>用</w:t>
      </w:r>
      <w:r w:rsidRPr="0034139E">
        <w:rPr>
          <w:rFonts w:ascii="SimSun" w:hAnsi="SimSun" w:hint="eastAsia"/>
          <w:sz w:val="21"/>
        </w:rPr>
        <w:t>来处理普通申请</w:t>
      </w:r>
      <w:r w:rsidR="00ED7E11">
        <w:rPr>
          <w:rFonts w:ascii="SimSun" w:hAnsi="SimSun" w:hint="eastAsia"/>
          <w:sz w:val="21"/>
        </w:rPr>
        <w:t>的</w:t>
      </w:r>
      <w:r w:rsidR="00ED7E11" w:rsidRPr="0034139E">
        <w:rPr>
          <w:rFonts w:ascii="SimSun" w:hAnsi="SimSun" w:hint="eastAsia"/>
          <w:sz w:val="21"/>
        </w:rPr>
        <w:t>更有效的系统</w:t>
      </w:r>
      <w:r w:rsidRPr="0034139E">
        <w:rPr>
          <w:rFonts w:ascii="SimSun" w:hAnsi="SimSun" w:hint="eastAsia"/>
          <w:sz w:val="21"/>
        </w:rPr>
        <w:t>。</w:t>
      </w:r>
    </w:p>
    <w:p w:rsidR="002876A5" w:rsidRPr="0034139E" w:rsidRDefault="009F6D7F"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sz w:val="21"/>
        </w:rPr>
        <w:t>WIPO DAS</w:t>
      </w:r>
      <w:r w:rsidRPr="0034139E">
        <w:rPr>
          <w:rFonts w:ascii="SimSun" w:hAnsi="SimSun" w:hint="eastAsia"/>
          <w:sz w:val="21"/>
        </w:rPr>
        <w:t>系统提供了一个通用的交换机制，但是目前为止只有17个知识产权局（包括国际局）采用了这个机制。此外，在这17个知识产权局之间，该机制的使用也非常有限。事实上，该服务主要是为巴黎</w:t>
      </w:r>
      <w:r w:rsidR="0037612A">
        <w:rPr>
          <w:rFonts w:ascii="SimSun" w:hAnsi="SimSun" w:hint="eastAsia"/>
          <w:sz w:val="21"/>
        </w:rPr>
        <w:t>路径</w:t>
      </w:r>
      <w:r w:rsidRPr="0034139E">
        <w:rPr>
          <w:rFonts w:ascii="SimSun" w:hAnsi="SimSun" w:hint="eastAsia"/>
          <w:sz w:val="21"/>
        </w:rPr>
        <w:t>建立的，尽管如此，该系统仍然主要</w:t>
      </w:r>
      <w:r w:rsidR="00ED7E11">
        <w:rPr>
          <w:rFonts w:ascii="SimSun" w:hAnsi="SimSun" w:hint="eastAsia"/>
          <w:sz w:val="21"/>
        </w:rPr>
        <w:t>仅</w:t>
      </w:r>
      <w:r w:rsidRPr="0034139E">
        <w:rPr>
          <w:rFonts w:ascii="SimSun" w:hAnsi="SimSun" w:hint="eastAsia"/>
          <w:sz w:val="21"/>
        </w:rPr>
        <w:t>被两个知识产权局用于传送与PCT相关的文件。对于较小的知识产权局来说，</w:t>
      </w:r>
      <w:r w:rsidRPr="009D0855">
        <w:rPr>
          <w:rFonts w:ascii="SimSun" w:hAnsi="SimSun" w:hint="eastAsia"/>
          <w:sz w:val="21"/>
          <w:szCs w:val="22"/>
        </w:rPr>
        <w:t>通过</w:t>
      </w:r>
      <w:r w:rsidR="00B667AB">
        <w:rPr>
          <w:rFonts w:ascii="SimSun" w:hAnsi="SimSun" w:hint="eastAsia"/>
          <w:sz w:val="21"/>
        </w:rPr>
        <w:t>信通技术</w:t>
      </w:r>
      <w:r w:rsidRPr="0034139E">
        <w:rPr>
          <w:rFonts w:ascii="SimSun" w:hAnsi="SimSun" w:hint="eastAsia"/>
          <w:sz w:val="21"/>
        </w:rPr>
        <w:t>系统</w:t>
      </w:r>
      <w:r w:rsidR="00ED7E11">
        <w:rPr>
          <w:rFonts w:ascii="SimSun" w:hAnsi="SimSun" w:hint="eastAsia"/>
          <w:sz w:val="21"/>
        </w:rPr>
        <w:t>支持</w:t>
      </w:r>
      <w:r w:rsidRPr="0034139E">
        <w:rPr>
          <w:rFonts w:ascii="SimSun" w:hAnsi="SimSun" w:hint="eastAsia"/>
          <w:sz w:val="21"/>
        </w:rPr>
        <w:t>DAS会产生可观的成本，而且这项工作与其他优先事项发生冲突。有时候，申请人会选择大量使用DAS。在这种情况下，数据显示，他们的动机是因为该服务不需要任何成本，而知识产权局提供的纸质文件则往往需要收取费用。知识产权局应当考虑，仅仅根据需求提供标准化XML格式的电子优先权文件是否更加有效。这样，申请人在提出后续申请时只需上传这些文件，而无需任何交换系统。</w:t>
      </w:r>
    </w:p>
    <w:p w:rsidR="009F6D7F" w:rsidRPr="0034139E" w:rsidRDefault="00D40A28" w:rsidP="00244155">
      <w:pPr>
        <w:overflowPunct w:val="0"/>
        <w:spacing w:afterLines="50" w:after="120" w:line="340" w:lineRule="atLeast"/>
        <w:ind w:left="567"/>
        <w:jc w:val="both"/>
        <w:rPr>
          <w:rFonts w:ascii="SimSun" w:hAnsi="SimSun"/>
          <w:bCs/>
          <w:sz w:val="21"/>
          <w:szCs w:val="26"/>
          <w:u w:val="single"/>
        </w:rPr>
      </w:pPr>
      <w:r>
        <w:rPr>
          <w:rFonts w:ascii="SimSun" w:hAnsi="SimSun" w:hint="eastAsia"/>
          <w:bCs/>
          <w:sz w:val="21"/>
          <w:szCs w:val="26"/>
          <w:u w:val="single"/>
        </w:rPr>
        <w:t>建　议</w:t>
      </w:r>
    </w:p>
    <w:p w:rsidR="009F6D7F" w:rsidRPr="0034139E" w:rsidRDefault="009F6D7F" w:rsidP="00244155">
      <w:pPr>
        <w:overflowPunct w:val="0"/>
        <w:spacing w:afterLines="50" w:after="120" w:line="340" w:lineRule="atLeast"/>
        <w:ind w:left="567"/>
        <w:jc w:val="both"/>
        <w:rPr>
          <w:rFonts w:ascii="SimSun" w:hAnsi="SimSun"/>
          <w:sz w:val="21"/>
        </w:rPr>
      </w:pPr>
      <w:r w:rsidRPr="0034139E">
        <w:rPr>
          <w:rFonts w:ascii="SimSun" w:hAnsi="SimSun" w:hint="eastAsia"/>
          <w:sz w:val="21"/>
          <w:u w:val="single"/>
        </w:rPr>
        <w:t>建议25</w:t>
      </w:r>
      <w:r w:rsidR="00B442DC" w:rsidRPr="009102AC">
        <w:rPr>
          <w:rFonts w:ascii="SimSun" w:hAnsi="SimSun" w:hint="eastAsia"/>
          <w:sz w:val="21"/>
        </w:rPr>
        <w:t>：</w:t>
      </w:r>
      <w:r w:rsidRPr="0034139E">
        <w:rPr>
          <w:rFonts w:ascii="SimSun" w:hAnsi="SimSun" w:hint="eastAsia"/>
          <w:sz w:val="21"/>
        </w:rPr>
        <w:t>知识产权局应当考虑使用</w:t>
      </w:r>
      <w:r w:rsidRPr="0034139E">
        <w:rPr>
          <w:rFonts w:ascii="SimSun" w:hAnsi="SimSun"/>
          <w:sz w:val="21"/>
        </w:rPr>
        <w:t>WIPO DAS</w:t>
      </w:r>
      <w:r w:rsidRPr="0034139E">
        <w:rPr>
          <w:rFonts w:ascii="SimSun" w:hAnsi="SimSun" w:hint="eastAsia"/>
          <w:sz w:val="21"/>
        </w:rPr>
        <w:t>，特别是在处理专利和外观设计申请的时候。</w:t>
      </w:r>
    </w:p>
    <w:p w:rsidR="000A7BC0" w:rsidRPr="0034139E" w:rsidRDefault="009F6D7F" w:rsidP="00244155">
      <w:pPr>
        <w:overflowPunct w:val="0"/>
        <w:spacing w:afterLines="50" w:after="120" w:line="340" w:lineRule="atLeast"/>
        <w:ind w:left="567"/>
        <w:jc w:val="both"/>
        <w:rPr>
          <w:rFonts w:ascii="SimSun" w:hAnsi="SimSun"/>
          <w:sz w:val="21"/>
        </w:rPr>
      </w:pPr>
      <w:r w:rsidRPr="00AB3745">
        <w:rPr>
          <w:rFonts w:ascii="SimSun" w:hAnsi="SimSun" w:hint="eastAsia"/>
          <w:sz w:val="21"/>
          <w:u w:val="single"/>
        </w:rPr>
        <w:t>建议26</w:t>
      </w:r>
      <w:r w:rsidR="00B442DC" w:rsidRPr="009102AC">
        <w:rPr>
          <w:rFonts w:ascii="SimSun" w:hAnsi="SimSun" w:hint="eastAsia"/>
          <w:sz w:val="21"/>
        </w:rPr>
        <w:t>：</w:t>
      </w:r>
      <w:r w:rsidRPr="0034139E">
        <w:rPr>
          <w:rFonts w:ascii="SimSun" w:hAnsi="SimSun" w:hint="eastAsia"/>
          <w:sz w:val="21"/>
        </w:rPr>
        <w:t>就优先权</w:t>
      </w:r>
      <w:r w:rsidRPr="00B667AB">
        <w:rPr>
          <w:rFonts w:ascii="SimSun" w:hAnsi="SimSun" w:hint="eastAsia"/>
          <w:sz w:val="21"/>
          <w:szCs w:val="22"/>
        </w:rPr>
        <w:t>文件</w:t>
      </w:r>
      <w:r w:rsidRPr="0034139E">
        <w:rPr>
          <w:rFonts w:ascii="SimSun" w:hAnsi="SimSun" w:hint="eastAsia"/>
          <w:sz w:val="21"/>
        </w:rPr>
        <w:t>的签名电子文件包格式进一步提出新的建议，包括</w:t>
      </w:r>
      <w:r w:rsidR="00ED7E11">
        <w:rPr>
          <w:rFonts w:ascii="SimSun" w:hAnsi="SimSun" w:hint="eastAsia"/>
          <w:sz w:val="21"/>
        </w:rPr>
        <w:t>全</w:t>
      </w:r>
      <w:r w:rsidRPr="0034139E">
        <w:rPr>
          <w:rFonts w:ascii="SimSun" w:hAnsi="SimSun" w:hint="eastAsia"/>
          <w:sz w:val="21"/>
        </w:rPr>
        <w:t>文格式（如果有的话）申请</w:t>
      </w:r>
      <w:r w:rsidR="00ED7E11">
        <w:rPr>
          <w:rFonts w:ascii="SimSun" w:hAnsi="SimSun" w:hint="eastAsia"/>
          <w:sz w:val="21"/>
        </w:rPr>
        <w:t>主体</w:t>
      </w:r>
      <w:r w:rsidRPr="0034139E">
        <w:rPr>
          <w:rFonts w:ascii="SimSun" w:hAnsi="SimSun" w:hint="eastAsia"/>
          <w:sz w:val="21"/>
        </w:rPr>
        <w:t>和XML格式的</w:t>
      </w:r>
      <w:r w:rsidR="00540952">
        <w:rPr>
          <w:rFonts w:ascii="SimSun" w:hAnsi="SimSun" w:hint="eastAsia"/>
          <w:sz w:val="21"/>
        </w:rPr>
        <w:t>著录项目</w:t>
      </w:r>
      <w:r w:rsidRPr="0034139E">
        <w:rPr>
          <w:rFonts w:ascii="SimSun" w:hAnsi="SimSun" w:hint="eastAsia"/>
          <w:sz w:val="21"/>
        </w:rPr>
        <w:t>数据，并纳入WIPO标准。新格式应当可以通过WIPO DAS交换或直接在申请人和知识产权局之间交换。</w:t>
      </w:r>
    </w:p>
    <w:p w:rsidR="000A7BC0" w:rsidRPr="0034139E" w:rsidRDefault="009F6D7F" w:rsidP="00ED7E11">
      <w:pPr>
        <w:pStyle w:val="Heading3"/>
        <w:spacing w:beforeLines="100" w:afterLines="50" w:after="120" w:line="340" w:lineRule="atLeast"/>
        <w:rPr>
          <w:rFonts w:ascii="SimSun" w:hAnsi="SimSun"/>
          <w:sz w:val="21"/>
        </w:rPr>
      </w:pPr>
      <w:r w:rsidRPr="0034139E">
        <w:rPr>
          <w:rFonts w:ascii="SimSun" w:hAnsi="SimSun"/>
          <w:sz w:val="21"/>
        </w:rPr>
        <w:t>马德里体系</w:t>
      </w:r>
    </w:p>
    <w:p w:rsidR="00FC71C6" w:rsidRPr="0034139E" w:rsidRDefault="00AB3745" w:rsidP="00AB3745">
      <w:pPr>
        <w:spacing w:afterLines="50" w:after="120" w:line="340" w:lineRule="atLeast"/>
        <w:jc w:val="center"/>
        <w:rPr>
          <w:rFonts w:ascii="SimSun" w:hAnsi="SimSun"/>
          <w:sz w:val="21"/>
        </w:rPr>
      </w:pPr>
      <w:r w:rsidRPr="00AB3745">
        <w:rPr>
          <w:noProof/>
          <w:lang w:eastAsia="en-US"/>
        </w:rPr>
        <w:drawing>
          <wp:inline distT="0" distB="0" distL="0" distR="0" wp14:anchorId="31E07A55" wp14:editId="0BC1DC6F">
            <wp:extent cx="5083200" cy="3603600"/>
            <wp:effectExtent l="0" t="0" r="317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83200" cy="3603600"/>
                    </a:xfrm>
                    <a:prstGeom prst="rect">
                      <a:avLst/>
                    </a:prstGeom>
                    <a:noFill/>
                    <a:ln>
                      <a:noFill/>
                    </a:ln>
                  </pic:spPr>
                </pic:pic>
              </a:graphicData>
            </a:graphic>
          </wp:inline>
        </w:drawing>
      </w:r>
    </w:p>
    <w:p w:rsidR="00330C73" w:rsidRPr="0034139E" w:rsidRDefault="009F6D7F"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hint="eastAsia"/>
          <w:sz w:val="21"/>
        </w:rPr>
        <w:lastRenderedPageBreak/>
        <w:t>当前，国际注册簿中有634,600项有效的国际注册。这些注册大约相当于缔约方的5,700,000项有效商标注册。2016年，国际局收到52,550件新国际申请、</w:t>
      </w:r>
      <w:r w:rsidR="00ED7E11">
        <w:rPr>
          <w:rFonts w:ascii="SimSun" w:hAnsi="SimSun" w:hint="eastAsia"/>
          <w:sz w:val="21"/>
        </w:rPr>
        <w:t>每月5</w:t>
      </w:r>
      <w:r w:rsidRPr="0034139E">
        <w:rPr>
          <w:rFonts w:ascii="SimSun" w:hAnsi="SimSun" w:hint="eastAsia"/>
          <w:sz w:val="21"/>
        </w:rPr>
        <w:t>万多项请求或其他需要处理的文件。申请和请求从各国/各地区知识产权局以不同的格式和通信手段批量发至国际局。这是由于各国/各地区知识产权局的信息技术系统、法律要求和机制形式多样。知识产权局的申请和信函仍有很多通过纸质文件或PDF扫描文件发送，因此必须利用光学字符识别和人工手段进行合理处理，这必然会增加成本和发生错误的几率。国际局与知识产权局之间的通信手段也非常类似：需要的数据根据既定的规则、需求和各局的不同能力通过多种手段批量传送。</w:t>
      </w:r>
    </w:p>
    <w:p w:rsidR="00B137CD" w:rsidRPr="0034139E" w:rsidRDefault="00EA50FC" w:rsidP="009D0855">
      <w:pPr>
        <w:pStyle w:val="ONUME"/>
        <w:numPr>
          <w:ilvl w:val="0"/>
          <w:numId w:val="8"/>
        </w:numPr>
        <w:overflowPunct w:val="0"/>
        <w:spacing w:afterLines="50" w:after="120" w:line="340" w:lineRule="atLeast"/>
        <w:ind w:left="0" w:firstLine="0"/>
        <w:jc w:val="both"/>
        <w:rPr>
          <w:rFonts w:ascii="SimSun" w:hAnsi="SimSun"/>
          <w:sz w:val="21"/>
        </w:rPr>
      </w:pPr>
      <w:r>
        <w:rPr>
          <w:rFonts w:ascii="SimSun" w:hAnsi="SimSun" w:hint="eastAsia"/>
          <w:sz w:val="21"/>
        </w:rPr>
        <w:t>产权组织</w:t>
      </w:r>
      <w:r w:rsidR="009F6D7F" w:rsidRPr="0034139E">
        <w:rPr>
          <w:rFonts w:ascii="SimSun" w:hAnsi="SimSun" w:hint="eastAsia"/>
          <w:sz w:val="21"/>
        </w:rPr>
        <w:t>已经建立了数据传送的电子手段，但是这些手段未能在各成员主管局得到一致化的应用或支持，而且缺乏明确和有保障的</w:t>
      </w:r>
      <w:r w:rsidR="009F6D7F" w:rsidRPr="009D0855">
        <w:rPr>
          <w:rFonts w:ascii="SimSun" w:hAnsi="SimSun" w:hint="eastAsia"/>
          <w:sz w:val="21"/>
          <w:szCs w:val="22"/>
        </w:rPr>
        <w:t>数据格式</w:t>
      </w:r>
      <w:r w:rsidR="009F6D7F" w:rsidRPr="0034139E">
        <w:rPr>
          <w:rFonts w:ascii="SimSun" w:hAnsi="SimSun" w:hint="eastAsia"/>
          <w:sz w:val="21"/>
        </w:rPr>
        <w:t>和</w:t>
      </w:r>
      <w:r w:rsidR="00ED7E11">
        <w:rPr>
          <w:rFonts w:ascii="SimSun" w:hAnsi="SimSun" w:hint="eastAsia"/>
          <w:sz w:val="21"/>
        </w:rPr>
        <w:t>验证</w:t>
      </w:r>
      <w:r w:rsidR="009F6D7F" w:rsidRPr="0034139E">
        <w:rPr>
          <w:rFonts w:ascii="SimSun" w:hAnsi="SimSun" w:hint="eastAsia"/>
          <w:sz w:val="21"/>
        </w:rPr>
        <w:t>系统。在各成员主管局和国际局，电子表格和申请系统缺乏一致性，这就导致知识产权局必须各自开发能支持通用功能的系统。</w:t>
      </w:r>
      <w:r>
        <w:rPr>
          <w:rFonts w:ascii="SimSun" w:hAnsi="SimSun" w:hint="eastAsia"/>
          <w:sz w:val="21"/>
        </w:rPr>
        <w:t>产权组织</w:t>
      </w:r>
      <w:r w:rsidR="009F6D7F" w:rsidRPr="0034139E">
        <w:rPr>
          <w:rFonts w:ascii="SimSun" w:hAnsi="SimSun" w:hint="eastAsia"/>
          <w:sz w:val="21"/>
        </w:rPr>
        <w:t>已经开发并向各成员主管局提供了</w:t>
      </w:r>
      <w:r w:rsidR="009F6D7F" w:rsidRPr="0034139E">
        <w:rPr>
          <w:rFonts w:ascii="SimSun" w:hAnsi="SimSun"/>
          <w:sz w:val="21"/>
        </w:rPr>
        <w:t>eFiling</w:t>
      </w:r>
      <w:r w:rsidR="009F6D7F" w:rsidRPr="0034139E">
        <w:rPr>
          <w:rFonts w:ascii="SimSun" w:hAnsi="SimSun" w:hint="eastAsia"/>
          <w:sz w:val="21"/>
        </w:rPr>
        <w:t>应用系统，但是该系统目前仅在少数几个知识产权局得到了应用。</w:t>
      </w:r>
    </w:p>
    <w:p w:rsidR="0016143E" w:rsidRPr="0034139E" w:rsidRDefault="00D40A28" w:rsidP="00244155">
      <w:pPr>
        <w:overflowPunct w:val="0"/>
        <w:spacing w:afterLines="50" w:after="120" w:line="340" w:lineRule="atLeast"/>
        <w:ind w:left="567"/>
        <w:jc w:val="both"/>
        <w:rPr>
          <w:rFonts w:ascii="SimSun" w:hAnsi="SimSun"/>
          <w:bCs/>
          <w:sz w:val="21"/>
          <w:szCs w:val="26"/>
          <w:u w:val="single"/>
        </w:rPr>
      </w:pPr>
      <w:r>
        <w:rPr>
          <w:rFonts w:ascii="SimSun" w:hAnsi="SimSun" w:hint="eastAsia"/>
          <w:bCs/>
          <w:sz w:val="21"/>
          <w:szCs w:val="26"/>
          <w:u w:val="single"/>
        </w:rPr>
        <w:t>建　议</w:t>
      </w:r>
    </w:p>
    <w:p w:rsidR="0016143E" w:rsidRPr="0034139E" w:rsidRDefault="0016143E" w:rsidP="00244155">
      <w:pPr>
        <w:overflowPunct w:val="0"/>
        <w:spacing w:afterLines="50" w:after="120" w:line="340" w:lineRule="atLeast"/>
        <w:ind w:left="567"/>
        <w:jc w:val="both"/>
        <w:rPr>
          <w:rFonts w:ascii="SimSun" w:hAnsi="SimSun"/>
          <w:sz w:val="21"/>
        </w:rPr>
      </w:pPr>
      <w:r w:rsidRPr="0034139E">
        <w:rPr>
          <w:rFonts w:ascii="SimSun" w:hAnsi="SimSun" w:hint="eastAsia"/>
          <w:sz w:val="21"/>
          <w:u w:val="single"/>
        </w:rPr>
        <w:t>建议27</w:t>
      </w:r>
      <w:r w:rsidR="00B442DC" w:rsidRPr="009102AC">
        <w:rPr>
          <w:rFonts w:ascii="SimSun" w:hAnsi="SimSun" w:hint="eastAsia"/>
          <w:sz w:val="21"/>
        </w:rPr>
        <w:t>：</w:t>
      </w:r>
      <w:r w:rsidR="00ED7E11">
        <w:rPr>
          <w:rFonts w:ascii="SimSun" w:hAnsi="SimSun" w:hint="eastAsia"/>
          <w:sz w:val="21"/>
        </w:rPr>
        <w:t>鼓励</w:t>
      </w:r>
      <w:r w:rsidR="00ED7E11" w:rsidRPr="0034139E">
        <w:rPr>
          <w:rFonts w:ascii="SimSun" w:hAnsi="SimSun" w:hint="eastAsia"/>
          <w:sz w:val="21"/>
        </w:rPr>
        <w:t>更广泛</w:t>
      </w:r>
      <w:r w:rsidR="00ED7E11">
        <w:rPr>
          <w:rFonts w:ascii="SimSun" w:hAnsi="SimSun" w:hint="eastAsia"/>
          <w:sz w:val="21"/>
        </w:rPr>
        <w:t>地</w:t>
      </w:r>
      <w:r w:rsidR="00ED7E11" w:rsidRPr="0034139E">
        <w:rPr>
          <w:rFonts w:ascii="SimSun" w:hAnsi="SimSun" w:hint="eastAsia"/>
          <w:sz w:val="21"/>
        </w:rPr>
        <w:t>使用</w:t>
      </w:r>
      <w:r w:rsidRPr="0034139E">
        <w:rPr>
          <w:rFonts w:ascii="SimSun" w:hAnsi="SimSun" w:hint="eastAsia"/>
          <w:sz w:val="21"/>
        </w:rPr>
        <w:t>现有的标准化数据交换机制</w:t>
      </w:r>
      <w:r w:rsidR="00ED7E11">
        <w:rPr>
          <w:rFonts w:ascii="SimSun" w:hAnsi="SimSun" w:hint="eastAsia"/>
          <w:sz w:val="21"/>
        </w:rPr>
        <w:t>，推动</w:t>
      </w:r>
      <w:r w:rsidR="00ED7E11" w:rsidRPr="0034139E">
        <w:rPr>
          <w:rFonts w:ascii="SimSun" w:hAnsi="SimSun" w:hint="eastAsia"/>
          <w:sz w:val="21"/>
        </w:rPr>
        <w:t>更广泛</w:t>
      </w:r>
      <w:r w:rsidR="00FE0224">
        <w:rPr>
          <w:rFonts w:ascii="SimSun" w:hAnsi="SimSun" w:hint="eastAsia"/>
          <w:sz w:val="21"/>
        </w:rPr>
        <w:t>地</w:t>
      </w:r>
      <w:r w:rsidR="00ED7E11" w:rsidRPr="0034139E">
        <w:rPr>
          <w:rFonts w:ascii="SimSun" w:hAnsi="SimSun" w:hint="eastAsia"/>
          <w:sz w:val="21"/>
        </w:rPr>
        <w:t>使用</w:t>
      </w:r>
      <w:r w:rsidRPr="0034139E">
        <w:rPr>
          <w:rFonts w:ascii="SimSun" w:hAnsi="SimSun" w:hint="eastAsia"/>
          <w:sz w:val="21"/>
        </w:rPr>
        <w:t>电子申请，优先创建额外的电子表格，以提高申请人所提交数据的质量和可靠性，从而减少数据内容和格式不一致性导致的错误。</w:t>
      </w:r>
    </w:p>
    <w:p w:rsidR="00B137CD" w:rsidRPr="0034139E" w:rsidRDefault="0016143E" w:rsidP="00244155">
      <w:pPr>
        <w:overflowPunct w:val="0"/>
        <w:spacing w:afterLines="50" w:after="120" w:line="340" w:lineRule="atLeast"/>
        <w:ind w:left="567"/>
        <w:jc w:val="both"/>
        <w:rPr>
          <w:rFonts w:ascii="SimSun" w:hAnsi="SimSun"/>
          <w:sz w:val="21"/>
        </w:rPr>
      </w:pPr>
      <w:r w:rsidRPr="00AB3745">
        <w:rPr>
          <w:rFonts w:ascii="SimSun" w:hAnsi="SimSun" w:hint="eastAsia"/>
          <w:sz w:val="21"/>
          <w:u w:val="single"/>
        </w:rPr>
        <w:t>建议28</w:t>
      </w:r>
      <w:r w:rsidR="00B442DC" w:rsidRPr="009102AC">
        <w:rPr>
          <w:rFonts w:ascii="SimSun" w:hAnsi="SimSun" w:hint="eastAsia"/>
          <w:sz w:val="21"/>
        </w:rPr>
        <w:t>：</w:t>
      </w:r>
      <w:r w:rsidRPr="0034139E">
        <w:rPr>
          <w:rFonts w:ascii="SimSun" w:hAnsi="SimSun" w:hint="eastAsia"/>
          <w:sz w:val="21"/>
        </w:rPr>
        <w:t>建立自助式的</w:t>
      </w:r>
      <w:r w:rsidRPr="00B667AB">
        <w:rPr>
          <w:rFonts w:ascii="SimSun" w:hAnsi="SimSun" w:hint="eastAsia"/>
          <w:sz w:val="21"/>
          <w:szCs w:val="22"/>
        </w:rPr>
        <w:t>集中</w:t>
      </w:r>
      <w:r w:rsidRPr="0034139E">
        <w:rPr>
          <w:rFonts w:ascii="SimSun" w:hAnsi="SimSun" w:hint="eastAsia"/>
          <w:sz w:val="21"/>
        </w:rPr>
        <w:t>交易处理</w:t>
      </w:r>
      <w:r w:rsidR="00FE0224">
        <w:rPr>
          <w:rFonts w:ascii="SimSun" w:hAnsi="SimSun" w:hint="eastAsia"/>
          <w:sz w:val="21"/>
        </w:rPr>
        <w:t>模式</w:t>
      </w:r>
      <w:r w:rsidRPr="0034139E">
        <w:rPr>
          <w:rFonts w:ascii="SimSun" w:hAnsi="SimSun" w:hint="eastAsia"/>
          <w:sz w:val="21"/>
        </w:rPr>
        <w:t>，用户和知识产权局可以通过这个</w:t>
      </w:r>
      <w:r w:rsidR="00FE0224">
        <w:rPr>
          <w:rFonts w:ascii="SimSun" w:hAnsi="SimSun" w:hint="eastAsia"/>
          <w:sz w:val="21"/>
        </w:rPr>
        <w:t>模式</w:t>
      </w:r>
      <w:r w:rsidRPr="0034139E">
        <w:rPr>
          <w:rFonts w:ascii="SimSun" w:hAnsi="SimSun" w:hint="eastAsia"/>
          <w:sz w:val="21"/>
        </w:rPr>
        <w:t>连接国际局的数据服务中央平台。</w:t>
      </w:r>
      <w:r w:rsidRPr="00244155">
        <w:rPr>
          <w:rFonts w:ascii="SimSun" w:hAnsi="SimSun" w:hint="eastAsia"/>
          <w:sz w:val="21"/>
          <w:szCs w:val="22"/>
        </w:rPr>
        <w:t>这样</w:t>
      </w:r>
      <w:r w:rsidRPr="0034139E">
        <w:rPr>
          <w:rFonts w:ascii="SimSun" w:hAnsi="SimSun" w:hint="eastAsia"/>
          <w:sz w:val="21"/>
        </w:rPr>
        <w:t>做可以把表格和响应批量传输的模式变成由相关各方直接在国际注册簿中输入信息进行实时更新的新模式。</w:t>
      </w:r>
    </w:p>
    <w:p w:rsidR="00A706C4" w:rsidRPr="00244155" w:rsidRDefault="00A706C4" w:rsidP="00244155">
      <w:pPr>
        <w:keepNext/>
        <w:overflowPunct w:val="0"/>
        <w:spacing w:beforeLines="100" w:before="240" w:afterLines="50" w:after="120" w:line="340" w:lineRule="atLeast"/>
        <w:outlineLvl w:val="3"/>
        <w:rPr>
          <w:rFonts w:ascii="KaiTi" w:eastAsia="KaiTi" w:hAnsi="KaiTi"/>
          <w:bCs/>
          <w:sz w:val="21"/>
          <w:szCs w:val="28"/>
        </w:rPr>
      </w:pPr>
      <w:r w:rsidRPr="00244155">
        <w:rPr>
          <w:rFonts w:ascii="KaiTi" w:eastAsia="KaiTi" w:hAnsi="KaiTi" w:hint="eastAsia"/>
          <w:bCs/>
          <w:sz w:val="21"/>
          <w:szCs w:val="28"/>
        </w:rPr>
        <w:t>商品和服务描述</w:t>
      </w:r>
    </w:p>
    <w:p w:rsidR="00B25823" w:rsidRPr="0034139E" w:rsidRDefault="00A706C4"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hint="eastAsia"/>
          <w:sz w:val="21"/>
        </w:rPr>
        <w:t>通过马德里体系提交的国际申请必须包括寻求保护的商品和服务清单。国际申请必须通过原属局提交，而原属局必须证明所涉商品和服务清单被包括在国家/地区申请或注册的范围内，因为后者是国际申请的基础。</w:t>
      </w:r>
    </w:p>
    <w:p w:rsidR="00B25823" w:rsidRPr="0034139E" w:rsidRDefault="00A706C4"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hint="eastAsia"/>
          <w:sz w:val="21"/>
        </w:rPr>
        <w:t>国际申请里的商品和服务必须用准确的名称说明，并根据尼斯分类放入适当的类别。如果</w:t>
      </w:r>
      <w:r w:rsidR="00EA50FC">
        <w:rPr>
          <w:rFonts w:ascii="SimSun" w:hAnsi="SimSun" w:hint="eastAsia"/>
          <w:sz w:val="21"/>
        </w:rPr>
        <w:t>产权组织</w:t>
      </w:r>
      <w:r w:rsidRPr="0034139E">
        <w:rPr>
          <w:rFonts w:ascii="SimSun" w:hAnsi="SimSun" w:hint="eastAsia"/>
          <w:sz w:val="21"/>
        </w:rPr>
        <w:t>发现未能达到具体的要求，审查</w:t>
      </w:r>
      <w:r w:rsidR="00FE0224">
        <w:rPr>
          <w:rFonts w:ascii="SimSun" w:hAnsi="SimSun" w:hint="eastAsia"/>
          <w:sz w:val="21"/>
        </w:rPr>
        <w:t>进程</w:t>
      </w:r>
      <w:r w:rsidRPr="0034139E">
        <w:rPr>
          <w:rFonts w:ascii="SimSun" w:hAnsi="SimSun" w:hint="eastAsia"/>
          <w:sz w:val="21"/>
        </w:rPr>
        <w:t>会</w:t>
      </w:r>
      <w:r w:rsidR="00FE0224">
        <w:rPr>
          <w:rFonts w:ascii="SimSun" w:hAnsi="SimSun" w:hint="eastAsia"/>
          <w:sz w:val="21"/>
        </w:rPr>
        <w:t>生成</w:t>
      </w:r>
      <w:r w:rsidRPr="0034139E">
        <w:rPr>
          <w:rFonts w:ascii="SimSun" w:hAnsi="SimSun" w:hint="eastAsia"/>
          <w:sz w:val="21"/>
        </w:rPr>
        <w:t>不规范，并通报申请人和原属局。在进行适当修改后，申请才能注册。</w:t>
      </w:r>
      <w:r w:rsidRPr="009D0855">
        <w:rPr>
          <w:rFonts w:ascii="SimSun" w:hAnsi="SimSun" w:hint="eastAsia"/>
          <w:sz w:val="21"/>
          <w:szCs w:val="22"/>
        </w:rPr>
        <w:t>尼斯协</w:t>
      </w:r>
      <w:r w:rsidR="00FE0224">
        <w:rPr>
          <w:rFonts w:ascii="SimSun" w:hAnsi="SimSun" w:hint="eastAsia"/>
          <w:sz w:val="21"/>
          <w:szCs w:val="22"/>
        </w:rPr>
        <w:t>定</w:t>
      </w:r>
      <w:r w:rsidRPr="0034139E">
        <w:rPr>
          <w:rFonts w:ascii="SimSun" w:hAnsi="SimSun" w:hint="eastAsia"/>
          <w:sz w:val="21"/>
        </w:rPr>
        <w:t>专家委员会每年对尼斯分类进行更新。申请人可以用他们认为适宜的任何名称来命名清单内的商品和服务，不限于尼斯分类商品和服务清单上的名称。</w:t>
      </w:r>
    </w:p>
    <w:p w:rsidR="00FE0224" w:rsidRDefault="00A706C4"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hint="eastAsia"/>
          <w:sz w:val="21"/>
        </w:rPr>
        <w:t>每个成员主管局对商品和服务名称都有特定的要求，并且有权根据自己的惯例接受或驳回某个名称。为了帮助申请人编写国际申请中的商品和服务清单，</w:t>
      </w:r>
      <w:r w:rsidR="00EA50FC">
        <w:rPr>
          <w:rFonts w:ascii="SimSun" w:hAnsi="SimSun" w:hint="eastAsia"/>
          <w:sz w:val="21"/>
        </w:rPr>
        <w:t>产权组织</w:t>
      </w:r>
      <w:r w:rsidRPr="0034139E">
        <w:rPr>
          <w:rFonts w:ascii="SimSun" w:hAnsi="SimSun" w:hint="eastAsia"/>
          <w:sz w:val="21"/>
        </w:rPr>
        <w:t>开发了马德里体系商品和服务管理</w:t>
      </w:r>
      <w:r w:rsidR="00FE0224">
        <w:rPr>
          <w:rFonts w:ascii="SimSun" w:hAnsi="SimSun" w:hint="eastAsia"/>
          <w:sz w:val="21"/>
        </w:rPr>
        <w:t>器</w:t>
      </w:r>
      <w:r w:rsidRPr="0034139E">
        <w:rPr>
          <w:rFonts w:ascii="SimSun" w:hAnsi="SimSun" w:hint="eastAsia"/>
          <w:sz w:val="21"/>
        </w:rPr>
        <w:t>（MGS），建立了与当前版本尼斯分类一致的商品和服务名称中央数据库。MGS还包含了35个参与该项目的知识产权局关于名称可接受性的相关信息（截至2017年）。</w:t>
      </w:r>
      <w:r w:rsidR="00FE0224">
        <w:rPr>
          <w:rFonts w:ascii="SimSun" w:hAnsi="SimSun" w:hint="eastAsia"/>
          <w:sz w:val="21"/>
        </w:rPr>
        <w:t>申请人通过</w:t>
      </w:r>
      <w:r w:rsidRPr="0034139E">
        <w:rPr>
          <w:rFonts w:ascii="SimSun" w:hAnsi="SimSun" w:hint="eastAsia"/>
          <w:sz w:val="21"/>
        </w:rPr>
        <w:t>查询数据库</w:t>
      </w:r>
      <w:r w:rsidR="00FE0224">
        <w:rPr>
          <w:rFonts w:ascii="SimSun" w:hAnsi="SimSun" w:hint="eastAsia"/>
          <w:sz w:val="21"/>
        </w:rPr>
        <w:t>来检查</w:t>
      </w:r>
      <w:r w:rsidRPr="0034139E">
        <w:rPr>
          <w:rFonts w:ascii="SimSun" w:hAnsi="SimSun" w:hint="eastAsia"/>
          <w:sz w:val="21"/>
        </w:rPr>
        <w:t>名称是否得到接受，可以减少</w:t>
      </w:r>
      <w:r w:rsidR="00FE0224">
        <w:rPr>
          <w:rFonts w:ascii="SimSun" w:hAnsi="SimSun" w:hint="eastAsia"/>
          <w:sz w:val="21"/>
        </w:rPr>
        <w:t>从</w:t>
      </w:r>
      <w:r w:rsidR="00EA50FC">
        <w:rPr>
          <w:rFonts w:ascii="SimSun" w:hAnsi="SimSun" w:hint="eastAsia"/>
          <w:sz w:val="21"/>
        </w:rPr>
        <w:t>产权组织</w:t>
      </w:r>
      <w:r w:rsidR="00FE0224">
        <w:rPr>
          <w:rFonts w:ascii="SimSun" w:hAnsi="SimSun" w:hint="eastAsia"/>
          <w:sz w:val="21"/>
        </w:rPr>
        <w:t>收到</w:t>
      </w:r>
      <w:r w:rsidRPr="0034139E">
        <w:rPr>
          <w:rFonts w:ascii="SimSun" w:hAnsi="SimSun" w:hint="eastAsia"/>
          <w:sz w:val="21"/>
        </w:rPr>
        <w:t>不规范或者</w:t>
      </w:r>
      <w:r w:rsidR="00FE0224">
        <w:rPr>
          <w:rFonts w:ascii="SimSun" w:hAnsi="SimSun" w:hint="eastAsia"/>
          <w:sz w:val="21"/>
        </w:rPr>
        <w:t>从</w:t>
      </w:r>
      <w:r w:rsidRPr="0034139E">
        <w:rPr>
          <w:rFonts w:ascii="SimSun" w:hAnsi="SimSun" w:hint="eastAsia"/>
          <w:sz w:val="21"/>
        </w:rPr>
        <w:t>被参与MGS的</w:t>
      </w:r>
      <w:r w:rsidR="00FE0224">
        <w:rPr>
          <w:rFonts w:ascii="SimSun" w:hAnsi="SimSun" w:hint="eastAsia"/>
          <w:sz w:val="21"/>
        </w:rPr>
        <w:t>被指定</w:t>
      </w:r>
      <w:r w:rsidRPr="0034139E">
        <w:rPr>
          <w:rFonts w:ascii="SimSun" w:hAnsi="SimSun" w:hint="eastAsia"/>
          <w:sz w:val="21"/>
        </w:rPr>
        <w:t>缔约方主管局</w:t>
      </w:r>
      <w:r w:rsidR="00FE0224">
        <w:rPr>
          <w:rFonts w:ascii="SimSun" w:hAnsi="SimSun" w:hint="eastAsia"/>
          <w:sz w:val="21"/>
        </w:rPr>
        <w:t>收到</w:t>
      </w:r>
      <w:r w:rsidRPr="0034139E">
        <w:rPr>
          <w:rFonts w:ascii="SimSun" w:hAnsi="SimSun" w:hint="eastAsia"/>
          <w:sz w:val="21"/>
        </w:rPr>
        <w:t>临时驳回的可能性。</w:t>
      </w:r>
    </w:p>
    <w:p w:rsidR="003A3923" w:rsidRPr="0034139E" w:rsidRDefault="00A706C4"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hint="eastAsia"/>
          <w:sz w:val="21"/>
        </w:rPr>
        <w:t>国际局正在探索</w:t>
      </w:r>
      <w:r w:rsidR="00FE0224">
        <w:rPr>
          <w:rFonts w:ascii="SimSun" w:hAnsi="SimSun" w:hint="eastAsia"/>
          <w:sz w:val="21"/>
        </w:rPr>
        <w:t>能否</w:t>
      </w:r>
      <w:r w:rsidRPr="0034139E">
        <w:rPr>
          <w:rFonts w:ascii="SimSun" w:hAnsi="SimSun" w:hint="eastAsia"/>
          <w:sz w:val="21"/>
        </w:rPr>
        <w:t>利用人工智能协助申请人</w:t>
      </w:r>
      <w:r w:rsidR="00FE0224">
        <w:rPr>
          <w:rFonts w:ascii="SimSun" w:hAnsi="SimSun" w:hint="eastAsia"/>
          <w:sz w:val="21"/>
        </w:rPr>
        <w:t>为其希望包括在申请中的</w:t>
      </w:r>
      <w:r w:rsidRPr="0034139E">
        <w:rPr>
          <w:rFonts w:ascii="SimSun" w:hAnsi="SimSun" w:hint="eastAsia"/>
          <w:sz w:val="21"/>
        </w:rPr>
        <w:t>商品和服务名称</w:t>
      </w:r>
      <w:r w:rsidR="00FE0224">
        <w:rPr>
          <w:rFonts w:ascii="SimSun" w:hAnsi="SimSun" w:hint="eastAsia"/>
          <w:sz w:val="21"/>
        </w:rPr>
        <w:t>找到正确的</w:t>
      </w:r>
      <w:r w:rsidR="00FE0224" w:rsidRPr="0034139E">
        <w:rPr>
          <w:rFonts w:ascii="SimSun" w:hAnsi="SimSun" w:hint="eastAsia"/>
          <w:sz w:val="21"/>
        </w:rPr>
        <w:t>尼斯分类</w:t>
      </w:r>
      <w:r w:rsidR="00FE0224">
        <w:rPr>
          <w:rFonts w:ascii="SimSun" w:hAnsi="SimSun" w:hint="eastAsia"/>
          <w:sz w:val="21"/>
        </w:rPr>
        <w:t>类别</w:t>
      </w:r>
      <w:r w:rsidRPr="0034139E">
        <w:rPr>
          <w:rFonts w:ascii="SimSun" w:hAnsi="SimSun" w:hint="eastAsia"/>
          <w:sz w:val="21"/>
        </w:rPr>
        <w:t>。在MGS的支持下，与商品和服务以及尼斯分类</w:t>
      </w:r>
      <w:r w:rsidR="00FE0224">
        <w:rPr>
          <w:rFonts w:ascii="SimSun" w:hAnsi="SimSun" w:hint="eastAsia"/>
          <w:sz w:val="21"/>
        </w:rPr>
        <w:t>类别</w:t>
      </w:r>
      <w:r w:rsidRPr="0034139E">
        <w:rPr>
          <w:rFonts w:ascii="SimSun" w:hAnsi="SimSun" w:hint="eastAsia"/>
          <w:sz w:val="21"/>
        </w:rPr>
        <w:t>相关的不规范情况有望减少，</w:t>
      </w:r>
      <w:r w:rsidR="00FE0224">
        <w:rPr>
          <w:rFonts w:ascii="SimSun" w:hAnsi="SimSun" w:hint="eastAsia"/>
          <w:sz w:val="21"/>
        </w:rPr>
        <w:t>被</w:t>
      </w:r>
      <w:r w:rsidRPr="0034139E">
        <w:rPr>
          <w:rFonts w:ascii="SimSun" w:hAnsi="SimSun" w:hint="eastAsia"/>
          <w:sz w:val="21"/>
        </w:rPr>
        <w:t>指定缔约方对某些名称的可接受性也将得到进一步明确。分享大量与商品和服务名称数据组和尼斯分类相应的类别</w:t>
      </w:r>
      <w:r w:rsidR="00FE0224">
        <w:rPr>
          <w:rFonts w:ascii="SimSun" w:hAnsi="SimSun" w:hint="eastAsia"/>
          <w:sz w:val="21"/>
        </w:rPr>
        <w:t>，</w:t>
      </w:r>
      <w:r w:rsidRPr="0034139E">
        <w:rPr>
          <w:rFonts w:ascii="SimSun" w:hAnsi="SimSun" w:hint="eastAsia"/>
          <w:sz w:val="21"/>
        </w:rPr>
        <w:t>应</w:t>
      </w:r>
      <w:r w:rsidR="00FE0224">
        <w:rPr>
          <w:rFonts w:ascii="SimSun" w:hAnsi="SimSun" w:hint="eastAsia"/>
          <w:sz w:val="21"/>
        </w:rPr>
        <w:t>能</w:t>
      </w:r>
      <w:r w:rsidRPr="0034139E">
        <w:rPr>
          <w:rFonts w:ascii="SimSun" w:hAnsi="SimSun" w:hint="eastAsia"/>
          <w:sz w:val="21"/>
        </w:rPr>
        <w:t>促进人工智能助手工具和自动化分类系统的开发，</w:t>
      </w:r>
      <w:r w:rsidR="00FE0224">
        <w:rPr>
          <w:rFonts w:ascii="SimSun" w:hAnsi="SimSun" w:hint="eastAsia"/>
          <w:sz w:val="21"/>
        </w:rPr>
        <w:t>用亦</w:t>
      </w:r>
      <w:r w:rsidRPr="0034139E">
        <w:rPr>
          <w:rFonts w:ascii="SimSun" w:hAnsi="SimSun" w:hint="eastAsia"/>
          <w:sz w:val="21"/>
        </w:rPr>
        <w:t>对新提出</w:t>
      </w:r>
      <w:r w:rsidR="00FE0224">
        <w:rPr>
          <w:rFonts w:ascii="SimSun" w:hAnsi="SimSun" w:hint="eastAsia"/>
          <w:sz w:val="21"/>
        </w:rPr>
        <w:t>的</w:t>
      </w:r>
      <w:r w:rsidRPr="0034139E">
        <w:rPr>
          <w:rFonts w:ascii="SimSun" w:hAnsi="SimSun" w:hint="eastAsia"/>
          <w:sz w:val="21"/>
        </w:rPr>
        <w:t>名称</w:t>
      </w:r>
      <w:r w:rsidR="00FE0224">
        <w:rPr>
          <w:rFonts w:ascii="SimSun" w:hAnsi="SimSun" w:hint="eastAsia"/>
          <w:sz w:val="21"/>
        </w:rPr>
        <w:t>作出</w:t>
      </w:r>
      <w:r w:rsidRPr="0034139E">
        <w:rPr>
          <w:rFonts w:ascii="SimSun" w:hAnsi="SimSun" w:hint="eastAsia"/>
          <w:sz w:val="21"/>
        </w:rPr>
        <w:t>分类建议。</w:t>
      </w:r>
    </w:p>
    <w:p w:rsidR="00A706C4" w:rsidRPr="0034139E" w:rsidRDefault="00D40A28" w:rsidP="00244155">
      <w:pPr>
        <w:overflowPunct w:val="0"/>
        <w:spacing w:afterLines="50" w:after="120" w:line="340" w:lineRule="atLeast"/>
        <w:ind w:left="567"/>
        <w:jc w:val="both"/>
        <w:rPr>
          <w:rFonts w:ascii="SimSun" w:hAnsi="SimSun"/>
          <w:bCs/>
          <w:sz w:val="21"/>
          <w:szCs w:val="26"/>
          <w:u w:val="single"/>
        </w:rPr>
      </w:pPr>
      <w:r>
        <w:rPr>
          <w:rFonts w:ascii="SimSun" w:hAnsi="SimSun" w:hint="eastAsia"/>
          <w:bCs/>
          <w:sz w:val="21"/>
          <w:szCs w:val="26"/>
          <w:u w:val="single"/>
        </w:rPr>
        <w:lastRenderedPageBreak/>
        <w:t>建　议</w:t>
      </w:r>
    </w:p>
    <w:p w:rsidR="00A706C4" w:rsidRPr="0034139E" w:rsidRDefault="00A706C4" w:rsidP="00244155">
      <w:pPr>
        <w:overflowPunct w:val="0"/>
        <w:spacing w:afterLines="50" w:after="120" w:line="340" w:lineRule="atLeast"/>
        <w:ind w:left="567"/>
        <w:jc w:val="both"/>
        <w:rPr>
          <w:rFonts w:ascii="SimSun" w:hAnsi="SimSun"/>
          <w:sz w:val="21"/>
        </w:rPr>
      </w:pPr>
      <w:r w:rsidRPr="0034139E">
        <w:rPr>
          <w:rFonts w:ascii="SimSun" w:hAnsi="SimSun" w:hint="eastAsia"/>
          <w:sz w:val="21"/>
          <w:u w:val="single"/>
        </w:rPr>
        <w:t>建议29</w:t>
      </w:r>
      <w:r w:rsidR="00B442DC" w:rsidRPr="009102AC">
        <w:rPr>
          <w:rFonts w:ascii="SimSun" w:hAnsi="SimSun" w:hint="eastAsia"/>
          <w:sz w:val="21"/>
        </w:rPr>
        <w:t>：</w:t>
      </w:r>
      <w:r w:rsidRPr="0034139E">
        <w:rPr>
          <w:rFonts w:ascii="SimSun" w:hAnsi="SimSun" w:hint="eastAsia"/>
          <w:sz w:val="21"/>
        </w:rPr>
        <w:t>推动</w:t>
      </w:r>
      <w:r w:rsidR="00FE0224">
        <w:rPr>
          <w:rFonts w:ascii="SimSun" w:hAnsi="SimSun" w:hint="eastAsia"/>
          <w:sz w:val="21"/>
        </w:rPr>
        <w:t>在更大范围共享</w:t>
      </w:r>
      <w:r w:rsidRPr="00B667AB">
        <w:rPr>
          <w:rFonts w:ascii="SimSun" w:hAnsi="SimSun" w:hint="eastAsia"/>
          <w:sz w:val="21"/>
          <w:szCs w:val="22"/>
        </w:rPr>
        <w:t>知识产权</w:t>
      </w:r>
      <w:r w:rsidRPr="0034139E">
        <w:rPr>
          <w:rFonts w:ascii="SimSun" w:hAnsi="SimSun" w:hint="eastAsia"/>
          <w:sz w:val="21"/>
        </w:rPr>
        <w:t>局接受或不接受的商品和服务名称数据，进一步降低时间和费用成本</w:t>
      </w:r>
      <w:r w:rsidR="00FE0224">
        <w:rPr>
          <w:rFonts w:ascii="SimSun" w:hAnsi="SimSun" w:hint="eastAsia"/>
          <w:sz w:val="21"/>
        </w:rPr>
        <w:t>高昂的流程</w:t>
      </w:r>
      <w:r w:rsidR="00FE0224" w:rsidRPr="0034139E">
        <w:rPr>
          <w:rFonts w:ascii="SimSun" w:hAnsi="SimSun" w:hint="eastAsia"/>
          <w:sz w:val="21"/>
        </w:rPr>
        <w:t>（不规范和驳回</w:t>
      </w:r>
      <w:r w:rsidR="00FE0224">
        <w:rPr>
          <w:rFonts w:ascii="SimSun" w:hAnsi="SimSun" w:hint="eastAsia"/>
          <w:sz w:val="21"/>
        </w:rPr>
        <w:t>流程</w:t>
      </w:r>
      <w:r w:rsidR="00FE0224" w:rsidRPr="0034139E">
        <w:rPr>
          <w:rFonts w:ascii="SimSun" w:hAnsi="SimSun" w:hint="eastAsia"/>
          <w:sz w:val="21"/>
        </w:rPr>
        <w:t>）</w:t>
      </w:r>
      <w:r w:rsidR="00FE0224">
        <w:rPr>
          <w:rFonts w:ascii="SimSun" w:hAnsi="SimSun" w:hint="eastAsia"/>
          <w:sz w:val="21"/>
        </w:rPr>
        <w:t>的必要性</w:t>
      </w:r>
      <w:r w:rsidRPr="0034139E">
        <w:rPr>
          <w:rFonts w:ascii="SimSun" w:hAnsi="SimSun" w:hint="eastAsia"/>
          <w:sz w:val="21"/>
        </w:rPr>
        <w:t>。</w:t>
      </w:r>
    </w:p>
    <w:p w:rsidR="003A3923" w:rsidRPr="0034139E" w:rsidRDefault="00A706C4" w:rsidP="00244155">
      <w:pPr>
        <w:overflowPunct w:val="0"/>
        <w:spacing w:afterLines="50" w:after="120" w:line="340" w:lineRule="atLeast"/>
        <w:ind w:left="567"/>
        <w:jc w:val="both"/>
        <w:rPr>
          <w:rFonts w:ascii="SimSun" w:hAnsi="SimSun"/>
          <w:sz w:val="21"/>
        </w:rPr>
      </w:pPr>
      <w:r w:rsidRPr="00AB3745">
        <w:rPr>
          <w:rFonts w:ascii="SimSun" w:hAnsi="SimSun" w:hint="eastAsia"/>
          <w:sz w:val="21"/>
          <w:u w:val="single"/>
        </w:rPr>
        <w:t>建议30</w:t>
      </w:r>
      <w:r w:rsidR="00B442DC" w:rsidRPr="009102AC">
        <w:rPr>
          <w:rFonts w:ascii="SimSun" w:hAnsi="SimSun" w:hint="eastAsia"/>
          <w:sz w:val="21"/>
        </w:rPr>
        <w:t>：</w:t>
      </w:r>
      <w:r w:rsidRPr="0034139E">
        <w:rPr>
          <w:rFonts w:ascii="SimSun" w:hAnsi="SimSun" w:hint="eastAsia"/>
          <w:sz w:val="21"/>
        </w:rPr>
        <w:t>建立更加全面、</w:t>
      </w:r>
      <w:r w:rsidRPr="00B667AB">
        <w:rPr>
          <w:rFonts w:ascii="SimSun" w:hAnsi="SimSun" w:hint="eastAsia"/>
          <w:sz w:val="21"/>
          <w:szCs w:val="22"/>
        </w:rPr>
        <w:t>用户友好</w:t>
      </w:r>
      <w:r w:rsidRPr="0034139E">
        <w:rPr>
          <w:rFonts w:ascii="SimSun" w:hAnsi="SimSun" w:hint="eastAsia"/>
          <w:sz w:val="21"/>
        </w:rPr>
        <w:t>和机器可访问的商品和服务名称数据库，减少不规范。</w:t>
      </w:r>
    </w:p>
    <w:p w:rsidR="001A4331" w:rsidRPr="0034139E" w:rsidRDefault="004C2B77" w:rsidP="00ED7E11">
      <w:pPr>
        <w:pStyle w:val="Heading3"/>
        <w:spacing w:beforeLines="100" w:afterLines="50" w:after="120" w:line="340" w:lineRule="atLeast"/>
        <w:rPr>
          <w:rFonts w:ascii="SimSun" w:hAnsi="SimSun"/>
          <w:sz w:val="21"/>
        </w:rPr>
      </w:pPr>
      <w:r w:rsidRPr="0034139E">
        <w:rPr>
          <w:rFonts w:ascii="SimSun" w:hAnsi="SimSun"/>
          <w:sz w:val="21"/>
        </w:rPr>
        <w:t>海牙体系</w:t>
      </w:r>
    </w:p>
    <w:p w:rsidR="006579FC" w:rsidRPr="0034139E" w:rsidRDefault="000B6B01" w:rsidP="000B6B01">
      <w:pPr>
        <w:spacing w:afterLines="50" w:after="120" w:line="340" w:lineRule="atLeast"/>
        <w:jc w:val="center"/>
        <w:rPr>
          <w:rFonts w:ascii="SimSun" w:hAnsi="SimSun"/>
          <w:sz w:val="21"/>
        </w:rPr>
      </w:pPr>
      <w:r w:rsidRPr="000B6B01">
        <w:rPr>
          <w:noProof/>
          <w:lang w:eastAsia="en-US"/>
        </w:rPr>
        <w:drawing>
          <wp:inline distT="0" distB="0" distL="0" distR="0" wp14:anchorId="1D7B2893" wp14:editId="18D04A86">
            <wp:extent cx="5220000" cy="3596400"/>
            <wp:effectExtent l="0" t="0" r="0" b="444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20000" cy="3596400"/>
                    </a:xfrm>
                    <a:prstGeom prst="rect">
                      <a:avLst/>
                    </a:prstGeom>
                    <a:noFill/>
                    <a:ln>
                      <a:noFill/>
                    </a:ln>
                  </pic:spPr>
                </pic:pic>
              </a:graphicData>
            </a:graphic>
          </wp:inline>
        </w:drawing>
      </w:r>
    </w:p>
    <w:p w:rsidR="00F77A6F" w:rsidRPr="0034139E" w:rsidRDefault="00EA50FC" w:rsidP="009D0855">
      <w:pPr>
        <w:pStyle w:val="ONUME"/>
        <w:numPr>
          <w:ilvl w:val="0"/>
          <w:numId w:val="8"/>
        </w:numPr>
        <w:overflowPunct w:val="0"/>
        <w:spacing w:afterLines="50" w:after="120" w:line="340" w:lineRule="atLeast"/>
        <w:ind w:left="0" w:firstLine="0"/>
        <w:jc w:val="both"/>
        <w:rPr>
          <w:rFonts w:ascii="SimSun" w:hAnsi="SimSun"/>
          <w:sz w:val="21"/>
        </w:rPr>
      </w:pPr>
      <w:r>
        <w:rPr>
          <w:rFonts w:ascii="SimSun" w:hAnsi="SimSun" w:hint="eastAsia"/>
          <w:sz w:val="21"/>
        </w:rPr>
        <w:t>产权组织</w:t>
      </w:r>
      <w:r w:rsidR="003C3C9D" w:rsidRPr="0034139E">
        <w:rPr>
          <w:rFonts w:ascii="SimSun" w:hAnsi="SimSun" w:hint="eastAsia"/>
          <w:sz w:val="21"/>
        </w:rPr>
        <w:t>目前正在开发新的海牙</w:t>
      </w:r>
      <w:r w:rsidR="00B667AB">
        <w:rPr>
          <w:rFonts w:ascii="SimSun" w:hAnsi="SimSun" w:hint="eastAsia"/>
          <w:sz w:val="21"/>
        </w:rPr>
        <w:t>信通技术</w:t>
      </w:r>
      <w:r w:rsidR="003C3C9D" w:rsidRPr="0034139E">
        <w:rPr>
          <w:rFonts w:ascii="SimSun" w:hAnsi="SimSun" w:hint="eastAsia"/>
          <w:sz w:val="21"/>
        </w:rPr>
        <w:t>平台，以支持内向和外向业务功能的现代化和流畅性，从而提高业务的质量。与PCT和</w:t>
      </w:r>
      <w:r w:rsidR="003C3C9D" w:rsidRPr="009D0855">
        <w:rPr>
          <w:rFonts w:ascii="SimSun" w:hAnsi="SimSun" w:hint="eastAsia"/>
          <w:sz w:val="21"/>
          <w:szCs w:val="22"/>
        </w:rPr>
        <w:t>马德里</w:t>
      </w:r>
      <w:r w:rsidR="003C3C9D" w:rsidRPr="0034139E">
        <w:rPr>
          <w:rFonts w:ascii="SimSun" w:hAnsi="SimSun" w:hint="eastAsia"/>
          <w:sz w:val="21"/>
        </w:rPr>
        <w:t>体系相关的所有策略因素原则上都适用于新体系的开发。</w:t>
      </w:r>
    </w:p>
    <w:p w:rsidR="001A4331" w:rsidRPr="0034139E" w:rsidRDefault="003C3C9D"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hint="eastAsia"/>
          <w:sz w:val="21"/>
        </w:rPr>
        <w:t>一项潜在的改善是，知识产权局采用标准化的驳回理由。有些知识产权局已经率先采用了标准的驳回理由，并带来了以下好处：</w:t>
      </w:r>
    </w:p>
    <w:p w:rsidR="003C3C9D" w:rsidRPr="0034139E" w:rsidRDefault="000B6B01" w:rsidP="00244155">
      <w:pPr>
        <w:overflowPunct w:val="0"/>
        <w:spacing w:afterLines="50" w:after="120" w:line="340" w:lineRule="atLeast"/>
        <w:ind w:left="567"/>
        <w:jc w:val="both"/>
        <w:rPr>
          <w:rFonts w:ascii="SimSun" w:hAnsi="SimSun"/>
          <w:sz w:val="21"/>
        </w:rPr>
      </w:pPr>
      <w:r>
        <w:rPr>
          <w:rFonts w:ascii="SimSun" w:hAnsi="SimSun" w:hint="eastAsia"/>
          <w:sz w:val="21"/>
        </w:rPr>
        <w:t>a)</w:t>
      </w:r>
      <w:r>
        <w:rPr>
          <w:rFonts w:ascii="SimSun" w:hAnsi="SimSun" w:hint="eastAsia"/>
          <w:sz w:val="21"/>
        </w:rPr>
        <w:tab/>
      </w:r>
      <w:r w:rsidR="003C3C9D" w:rsidRPr="0034139E">
        <w:rPr>
          <w:rFonts w:ascii="SimSun" w:hAnsi="SimSun" w:hint="eastAsia"/>
          <w:sz w:val="21"/>
        </w:rPr>
        <w:t>知识产权局的</w:t>
      </w:r>
      <w:r w:rsidR="003C3C9D" w:rsidRPr="00244155">
        <w:rPr>
          <w:rFonts w:ascii="SimSun" w:hAnsi="SimSun" w:hint="eastAsia"/>
          <w:sz w:val="21"/>
          <w:szCs w:val="22"/>
        </w:rPr>
        <w:t>工作效率</w:t>
      </w:r>
      <w:r w:rsidR="003C3C9D" w:rsidRPr="0034139E">
        <w:rPr>
          <w:rFonts w:ascii="SimSun" w:hAnsi="SimSun" w:hint="eastAsia"/>
          <w:sz w:val="21"/>
        </w:rPr>
        <w:t>得到提升，审查员只需要勾选事先设定的理由，并填写文件可编辑的部分，而不用</w:t>
      </w:r>
      <w:r w:rsidR="003C3C9D" w:rsidRPr="00B667AB">
        <w:rPr>
          <w:rFonts w:ascii="SimSun" w:hAnsi="SimSun" w:hint="eastAsia"/>
          <w:sz w:val="21"/>
          <w:szCs w:val="22"/>
        </w:rPr>
        <w:t>起草</w:t>
      </w:r>
      <w:r w:rsidR="003C3C9D" w:rsidRPr="0034139E">
        <w:rPr>
          <w:rFonts w:ascii="SimSun" w:hAnsi="SimSun" w:hint="eastAsia"/>
          <w:sz w:val="21"/>
        </w:rPr>
        <w:t>整份文件；</w:t>
      </w:r>
    </w:p>
    <w:p w:rsidR="003C3C9D" w:rsidRPr="0034139E" w:rsidRDefault="000B6B01" w:rsidP="00244155">
      <w:pPr>
        <w:overflowPunct w:val="0"/>
        <w:spacing w:afterLines="50" w:after="120" w:line="340" w:lineRule="atLeast"/>
        <w:ind w:left="567"/>
        <w:jc w:val="both"/>
        <w:rPr>
          <w:rFonts w:ascii="SimSun" w:hAnsi="SimSun"/>
          <w:sz w:val="21"/>
        </w:rPr>
      </w:pPr>
      <w:r>
        <w:rPr>
          <w:rFonts w:ascii="SimSun" w:hAnsi="SimSun" w:hint="eastAsia"/>
          <w:sz w:val="21"/>
        </w:rPr>
        <w:t>b)</w:t>
      </w:r>
      <w:r>
        <w:rPr>
          <w:rFonts w:ascii="SimSun" w:hAnsi="SimSun" w:hint="eastAsia"/>
          <w:sz w:val="21"/>
        </w:rPr>
        <w:tab/>
      </w:r>
      <w:r w:rsidR="003C3C9D" w:rsidRPr="0034139E">
        <w:rPr>
          <w:rFonts w:ascii="SimSun" w:hAnsi="SimSun" w:hint="eastAsia"/>
          <w:sz w:val="21"/>
        </w:rPr>
        <w:t>这是迈向</w:t>
      </w:r>
      <w:r w:rsidR="00FE0224">
        <w:rPr>
          <w:rFonts w:ascii="SimSun" w:hAnsi="SimSun" w:hint="eastAsia"/>
          <w:sz w:val="21"/>
        </w:rPr>
        <w:t>全文</w:t>
      </w:r>
      <w:r w:rsidR="003C3C9D" w:rsidRPr="00244155">
        <w:rPr>
          <w:rFonts w:ascii="SimSun" w:hAnsi="SimSun" w:hint="eastAsia"/>
          <w:sz w:val="21"/>
          <w:szCs w:val="22"/>
        </w:rPr>
        <w:t>数据</w:t>
      </w:r>
      <w:r w:rsidR="003C3C9D" w:rsidRPr="0034139E">
        <w:rPr>
          <w:rFonts w:ascii="SimSun" w:hAnsi="SimSun" w:hint="eastAsia"/>
          <w:sz w:val="21"/>
        </w:rPr>
        <w:t>交换的重要一步；</w:t>
      </w:r>
    </w:p>
    <w:p w:rsidR="003C3C9D" w:rsidRPr="0034139E" w:rsidRDefault="000B6B01" w:rsidP="00244155">
      <w:pPr>
        <w:overflowPunct w:val="0"/>
        <w:spacing w:afterLines="50" w:after="120" w:line="340" w:lineRule="atLeast"/>
        <w:ind w:left="567"/>
        <w:jc w:val="both"/>
        <w:rPr>
          <w:rFonts w:ascii="SimSun" w:hAnsi="SimSun"/>
          <w:sz w:val="21"/>
        </w:rPr>
      </w:pPr>
      <w:r>
        <w:rPr>
          <w:rFonts w:ascii="SimSun" w:hAnsi="SimSun" w:hint="eastAsia"/>
          <w:sz w:val="21"/>
        </w:rPr>
        <w:t>c)</w:t>
      </w:r>
      <w:r>
        <w:rPr>
          <w:rFonts w:ascii="SimSun" w:hAnsi="SimSun" w:hint="eastAsia"/>
          <w:sz w:val="21"/>
        </w:rPr>
        <w:tab/>
      </w:r>
      <w:r w:rsidR="003C3C9D" w:rsidRPr="0034139E">
        <w:rPr>
          <w:rFonts w:ascii="SimSun" w:hAnsi="SimSun" w:hint="eastAsia"/>
          <w:sz w:val="21"/>
        </w:rPr>
        <w:t>标准化理由更容易被国际注册的注册人预见和理解；</w:t>
      </w:r>
    </w:p>
    <w:p w:rsidR="001A4331" w:rsidRPr="0034139E" w:rsidRDefault="000B6B01" w:rsidP="00244155">
      <w:pPr>
        <w:overflowPunct w:val="0"/>
        <w:spacing w:afterLines="50" w:after="120" w:line="340" w:lineRule="atLeast"/>
        <w:ind w:left="567"/>
        <w:jc w:val="both"/>
        <w:rPr>
          <w:rFonts w:ascii="SimSun" w:hAnsi="SimSun"/>
          <w:sz w:val="21"/>
        </w:rPr>
      </w:pPr>
      <w:r>
        <w:rPr>
          <w:rFonts w:ascii="SimSun" w:hAnsi="SimSun" w:hint="eastAsia"/>
          <w:sz w:val="21"/>
        </w:rPr>
        <w:t>d)</w:t>
      </w:r>
      <w:r>
        <w:rPr>
          <w:rFonts w:ascii="SimSun" w:hAnsi="SimSun" w:hint="eastAsia"/>
          <w:sz w:val="21"/>
        </w:rPr>
        <w:tab/>
      </w:r>
      <w:r w:rsidR="003C3C9D" w:rsidRPr="0034139E">
        <w:rPr>
          <w:rFonts w:ascii="SimSun" w:hAnsi="SimSun" w:hint="eastAsia"/>
          <w:sz w:val="21"/>
        </w:rPr>
        <w:t>更容易获得可靠的</w:t>
      </w:r>
      <w:r w:rsidR="003C3C9D" w:rsidRPr="00244155">
        <w:rPr>
          <w:rFonts w:ascii="SimSun" w:hAnsi="SimSun" w:hint="eastAsia"/>
          <w:sz w:val="21"/>
          <w:szCs w:val="22"/>
        </w:rPr>
        <w:t>数据</w:t>
      </w:r>
      <w:r w:rsidR="003C3C9D" w:rsidRPr="0034139E">
        <w:rPr>
          <w:rFonts w:ascii="SimSun" w:hAnsi="SimSun" w:hint="eastAsia"/>
          <w:sz w:val="21"/>
        </w:rPr>
        <w:t>，了解最常见的驳回理由，并指导海牙体系的用户。</w:t>
      </w:r>
    </w:p>
    <w:p w:rsidR="001A4331" w:rsidRPr="0034139E" w:rsidRDefault="003C3C9D"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hint="eastAsia"/>
          <w:sz w:val="21"/>
        </w:rPr>
        <w:t>此外，标准委员会在标准ST.96（版本3.0）中对与知识产权局交换海牙体系相关的XML组件进行了规定。该标准是一个概要文件，旨在提高知识产权局的数据交换质量。可以预见的是，通过验证的XML文件将</w:t>
      </w:r>
      <w:r w:rsidRPr="009D0855">
        <w:rPr>
          <w:rFonts w:ascii="SimSun" w:hAnsi="SimSun" w:hint="eastAsia"/>
          <w:sz w:val="21"/>
          <w:szCs w:val="22"/>
        </w:rPr>
        <w:t>提高</w:t>
      </w:r>
      <w:r w:rsidRPr="0034139E">
        <w:rPr>
          <w:rFonts w:ascii="SimSun" w:hAnsi="SimSun" w:hint="eastAsia"/>
          <w:sz w:val="21"/>
        </w:rPr>
        <w:t>数据的完整性和粒度。这个版本囊括了海牙体系中知识产权局和</w:t>
      </w:r>
      <w:r w:rsidR="00EA50FC">
        <w:rPr>
          <w:rFonts w:ascii="SimSun" w:hAnsi="SimSun" w:hint="eastAsia"/>
          <w:sz w:val="21"/>
        </w:rPr>
        <w:t>产权组织</w:t>
      </w:r>
      <w:r w:rsidRPr="0034139E">
        <w:rPr>
          <w:rFonts w:ascii="SimSun" w:hAnsi="SimSun" w:hint="eastAsia"/>
          <w:sz w:val="21"/>
        </w:rPr>
        <w:t>之间的所有业务。考虑到海牙数据服务将于2021年转换为WIPO标准ST.96的格式，海牙体系计划在2018年将《公报》的电子版升级至ST.96标准，并邀请知识产权局使用ST.96标准，从而与</w:t>
      </w:r>
      <w:r w:rsidR="00EA50FC">
        <w:rPr>
          <w:rFonts w:ascii="SimSun" w:hAnsi="SimSun" w:hint="eastAsia"/>
          <w:sz w:val="21"/>
        </w:rPr>
        <w:t>产权组织</w:t>
      </w:r>
      <w:r w:rsidRPr="0034139E">
        <w:rPr>
          <w:rFonts w:ascii="SimSun" w:hAnsi="SimSun" w:hint="eastAsia"/>
          <w:sz w:val="21"/>
        </w:rPr>
        <w:t>进行更高效和更有效的通信。</w:t>
      </w:r>
    </w:p>
    <w:p w:rsidR="001A4331" w:rsidRPr="0034139E" w:rsidRDefault="003C3C9D"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hint="eastAsia"/>
          <w:sz w:val="21"/>
        </w:rPr>
        <w:lastRenderedPageBreak/>
        <w:t>知识产权局还应当考虑存储、检索和显示活动图像文件的能力。国际局正在评估在其新的</w:t>
      </w:r>
      <w:r w:rsidR="00B667AB">
        <w:rPr>
          <w:rFonts w:ascii="SimSun" w:hAnsi="SimSun" w:hint="eastAsia"/>
          <w:sz w:val="21"/>
        </w:rPr>
        <w:t>信通技术</w:t>
      </w:r>
      <w:r w:rsidRPr="0034139E">
        <w:rPr>
          <w:rFonts w:ascii="SimSun" w:hAnsi="SimSun" w:hint="eastAsia"/>
          <w:sz w:val="21"/>
        </w:rPr>
        <w:t>平台上处理此类文件的相关情况，并</w:t>
      </w:r>
      <w:r w:rsidRPr="009D0855">
        <w:rPr>
          <w:rFonts w:ascii="SimSun" w:hAnsi="SimSun" w:hint="eastAsia"/>
          <w:sz w:val="21"/>
          <w:szCs w:val="22"/>
        </w:rPr>
        <w:t>假定</w:t>
      </w:r>
      <w:r w:rsidRPr="0034139E">
        <w:rPr>
          <w:rFonts w:ascii="SimSun" w:hAnsi="SimSun" w:hint="eastAsia"/>
          <w:sz w:val="21"/>
        </w:rPr>
        <w:t>海牙体系的法律框架朝这个方向发展。如果的确如此，未来在《国际外观设计公报》发布的国际注册正式公告就可以包含此类活动图像文件。虽然《公报》足以满足条约规定的公告要求，但是仍有一些知识产权局从《公报》/全球外观设计数据库</w:t>
      </w:r>
      <w:r w:rsidR="003779AF">
        <w:rPr>
          <w:rFonts w:ascii="SimSun" w:hAnsi="SimSun" w:hint="eastAsia"/>
          <w:sz w:val="21"/>
        </w:rPr>
        <w:t>中</w:t>
      </w:r>
      <w:r w:rsidRPr="0034139E">
        <w:rPr>
          <w:rFonts w:ascii="SimSun" w:hAnsi="SimSun" w:hint="eastAsia"/>
          <w:sz w:val="21"/>
        </w:rPr>
        <w:t>把数据和图像导入其后台办公系统，这主要是为了进行实质审查或本地再次公告。如果这些知识产权局有机会调整其后台办公系统的文件管理机制，它们就不会将获得许可的图像文件限制在传统的图像类型和格式，而是在技术上做好容纳活动图像文件，以及处理相关的数据存储和安全问题的准备。</w:t>
      </w:r>
    </w:p>
    <w:p w:rsidR="001A4331" w:rsidRPr="0034139E" w:rsidRDefault="003C3C9D"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hint="eastAsia"/>
          <w:sz w:val="21"/>
        </w:rPr>
        <w:t>通过国际局交换优先权文件不属于海牙体系下的国际程序。但是，优先权文件的提交有时候可能对相关工业品外观设计是否有资格获得保护具有重要意义。因此，2014年7月对法律框架进行了修改，使申请人能够提供DAS的访问代码，并以此支持参与DAS的指定知识产权局能够获取通过认证的优先权文件电子副本。在这方面，需要注意的是，即使指定的知识产权局通常并不要求提交优先权文件，但是其作为交存局参与DAS将有助于申请人根据向该局首次提交的申请提出优先权要求。</w:t>
      </w:r>
    </w:p>
    <w:p w:rsidR="00CC43BC" w:rsidRPr="0034139E" w:rsidRDefault="00D40A28" w:rsidP="00244155">
      <w:pPr>
        <w:overflowPunct w:val="0"/>
        <w:spacing w:afterLines="50" w:after="120" w:line="340" w:lineRule="atLeast"/>
        <w:ind w:left="567"/>
        <w:jc w:val="both"/>
        <w:rPr>
          <w:rFonts w:ascii="SimSun" w:hAnsi="SimSun"/>
          <w:bCs/>
          <w:sz w:val="21"/>
          <w:szCs w:val="26"/>
          <w:u w:val="single"/>
        </w:rPr>
      </w:pPr>
      <w:r>
        <w:rPr>
          <w:rFonts w:ascii="SimSun" w:hAnsi="SimSun" w:hint="eastAsia"/>
          <w:bCs/>
          <w:sz w:val="21"/>
          <w:szCs w:val="26"/>
          <w:u w:val="single"/>
        </w:rPr>
        <w:t>建　议</w:t>
      </w:r>
    </w:p>
    <w:p w:rsidR="00CC43BC" w:rsidRPr="0034139E" w:rsidRDefault="00CC43BC" w:rsidP="00244155">
      <w:pPr>
        <w:overflowPunct w:val="0"/>
        <w:spacing w:afterLines="50" w:after="120" w:line="340" w:lineRule="atLeast"/>
        <w:ind w:left="567"/>
        <w:jc w:val="both"/>
        <w:rPr>
          <w:rFonts w:ascii="SimSun" w:hAnsi="SimSun"/>
          <w:sz w:val="21"/>
        </w:rPr>
      </w:pPr>
      <w:r w:rsidRPr="0034139E">
        <w:rPr>
          <w:rFonts w:ascii="SimSun" w:hAnsi="SimSun" w:hint="eastAsia"/>
          <w:sz w:val="21"/>
          <w:u w:val="single"/>
        </w:rPr>
        <w:t>建议31</w:t>
      </w:r>
      <w:r w:rsidR="00B442DC" w:rsidRPr="009102AC">
        <w:rPr>
          <w:rFonts w:ascii="SimSun" w:hAnsi="SimSun" w:hint="eastAsia"/>
          <w:sz w:val="21"/>
        </w:rPr>
        <w:t>：</w:t>
      </w:r>
      <w:r w:rsidRPr="0034139E">
        <w:rPr>
          <w:rFonts w:ascii="SimSun" w:hAnsi="SimSun" w:hint="eastAsia"/>
          <w:sz w:val="21"/>
        </w:rPr>
        <w:t>知识产权局应当</w:t>
      </w:r>
      <w:r w:rsidRPr="00B667AB">
        <w:rPr>
          <w:rFonts w:ascii="SimSun" w:hAnsi="SimSun" w:hint="eastAsia"/>
          <w:sz w:val="21"/>
          <w:szCs w:val="22"/>
        </w:rPr>
        <w:t>继续</w:t>
      </w:r>
      <w:r w:rsidRPr="0034139E">
        <w:rPr>
          <w:rFonts w:ascii="SimSun" w:hAnsi="SimSun" w:hint="eastAsia"/>
          <w:sz w:val="21"/>
        </w:rPr>
        <w:t>并扩大对标准驳回理由的使用。</w:t>
      </w:r>
    </w:p>
    <w:p w:rsidR="00CC43BC" w:rsidRPr="0034139E" w:rsidRDefault="00CC43BC" w:rsidP="00244155">
      <w:pPr>
        <w:overflowPunct w:val="0"/>
        <w:spacing w:afterLines="50" w:after="120" w:line="340" w:lineRule="atLeast"/>
        <w:ind w:left="567"/>
        <w:jc w:val="both"/>
        <w:rPr>
          <w:rFonts w:ascii="SimSun" w:hAnsi="SimSun"/>
          <w:sz w:val="21"/>
        </w:rPr>
      </w:pPr>
      <w:r w:rsidRPr="0034139E">
        <w:rPr>
          <w:rFonts w:ascii="SimSun" w:hAnsi="SimSun" w:hint="eastAsia"/>
          <w:sz w:val="21"/>
          <w:u w:val="single"/>
        </w:rPr>
        <w:t>建议32</w:t>
      </w:r>
      <w:r w:rsidR="00B442DC" w:rsidRPr="009102AC">
        <w:rPr>
          <w:rFonts w:ascii="SimSun" w:hAnsi="SimSun" w:hint="eastAsia"/>
          <w:sz w:val="21"/>
        </w:rPr>
        <w:t>：</w:t>
      </w:r>
      <w:r w:rsidRPr="0034139E">
        <w:rPr>
          <w:rFonts w:ascii="SimSun" w:hAnsi="SimSun" w:hint="eastAsia"/>
          <w:sz w:val="21"/>
        </w:rPr>
        <w:t>如果知识产权局将WIPO标准ST.96用于与海牙体系相关的XML组件，知识产权局和国际局的数据交换质量将得到提升。</w:t>
      </w:r>
    </w:p>
    <w:p w:rsidR="00CC43BC" w:rsidRPr="0034139E" w:rsidRDefault="00CC43BC" w:rsidP="00244155">
      <w:pPr>
        <w:overflowPunct w:val="0"/>
        <w:spacing w:afterLines="50" w:after="120" w:line="340" w:lineRule="atLeast"/>
        <w:ind w:left="567"/>
        <w:jc w:val="both"/>
        <w:rPr>
          <w:rFonts w:ascii="SimSun" w:hAnsi="SimSun"/>
          <w:sz w:val="21"/>
        </w:rPr>
      </w:pPr>
      <w:r w:rsidRPr="0034139E">
        <w:rPr>
          <w:rFonts w:ascii="SimSun" w:hAnsi="SimSun" w:hint="eastAsia"/>
          <w:sz w:val="21"/>
          <w:u w:val="single"/>
        </w:rPr>
        <w:t>建议33</w:t>
      </w:r>
      <w:r w:rsidR="00B442DC" w:rsidRPr="009102AC">
        <w:rPr>
          <w:rFonts w:ascii="SimSun" w:hAnsi="SimSun" w:hint="eastAsia"/>
          <w:sz w:val="21"/>
        </w:rPr>
        <w:t>：</w:t>
      </w:r>
      <w:r w:rsidR="00940A15" w:rsidRPr="0034139E">
        <w:rPr>
          <w:rFonts w:ascii="SimSun" w:hAnsi="SimSun" w:hint="eastAsia"/>
          <w:sz w:val="21"/>
        </w:rPr>
        <w:t>需要考虑与</w:t>
      </w:r>
      <w:r w:rsidR="00172B80" w:rsidRPr="0034139E">
        <w:rPr>
          <w:rFonts w:ascii="SimSun" w:hAnsi="SimSun" w:hint="eastAsia"/>
          <w:sz w:val="21"/>
        </w:rPr>
        <w:t>受理</w:t>
      </w:r>
      <w:r w:rsidRPr="0034139E">
        <w:rPr>
          <w:rFonts w:ascii="SimSun" w:hAnsi="SimSun" w:hint="eastAsia"/>
          <w:sz w:val="21"/>
        </w:rPr>
        <w:t>活动图像相关的技术问题，以及与数据传输、存储、发布和</w:t>
      </w:r>
      <w:r w:rsidR="003779AF">
        <w:rPr>
          <w:rFonts w:ascii="SimSun" w:hAnsi="SimSun" w:hint="eastAsia"/>
          <w:sz w:val="21"/>
        </w:rPr>
        <w:t>共</w:t>
      </w:r>
      <w:r w:rsidRPr="0034139E">
        <w:rPr>
          <w:rFonts w:ascii="SimSun" w:hAnsi="SimSun" w:hint="eastAsia"/>
          <w:sz w:val="21"/>
        </w:rPr>
        <w:t>享时的完整性相关的准备工作。</w:t>
      </w:r>
    </w:p>
    <w:p w:rsidR="006579FC" w:rsidRPr="0034139E" w:rsidRDefault="00CC43BC" w:rsidP="00244155">
      <w:pPr>
        <w:overflowPunct w:val="0"/>
        <w:spacing w:afterLines="50" w:after="120" w:line="340" w:lineRule="atLeast"/>
        <w:ind w:left="567"/>
        <w:jc w:val="both"/>
        <w:rPr>
          <w:rFonts w:ascii="SimSun" w:hAnsi="SimSun"/>
          <w:sz w:val="21"/>
        </w:rPr>
      </w:pPr>
      <w:r w:rsidRPr="000B6B01">
        <w:rPr>
          <w:rFonts w:ascii="SimSun" w:hAnsi="SimSun" w:hint="eastAsia"/>
          <w:sz w:val="21"/>
          <w:u w:val="single"/>
        </w:rPr>
        <w:t>建议34</w:t>
      </w:r>
      <w:r w:rsidR="00B442DC" w:rsidRPr="009102AC">
        <w:rPr>
          <w:rFonts w:ascii="SimSun" w:hAnsi="SimSun" w:hint="eastAsia"/>
          <w:sz w:val="21"/>
        </w:rPr>
        <w:t>：</w:t>
      </w:r>
      <w:r w:rsidRPr="0034139E">
        <w:rPr>
          <w:rFonts w:ascii="SimSun" w:hAnsi="SimSun" w:hint="eastAsia"/>
          <w:sz w:val="21"/>
        </w:rPr>
        <w:t>鼓励知识产权局考虑作为外观设计优先权文件的</w:t>
      </w:r>
      <w:r w:rsidR="003779AF">
        <w:rPr>
          <w:rFonts w:ascii="SimSun" w:hAnsi="SimSun" w:hint="eastAsia"/>
          <w:sz w:val="21"/>
        </w:rPr>
        <w:t>交存</w:t>
      </w:r>
      <w:r w:rsidRPr="0034139E">
        <w:rPr>
          <w:rFonts w:ascii="SimSun" w:hAnsi="SimSun" w:hint="eastAsia"/>
          <w:sz w:val="21"/>
        </w:rPr>
        <w:t>方和查询方参与DAS，</w:t>
      </w:r>
      <w:r w:rsidRPr="00244155">
        <w:rPr>
          <w:rFonts w:ascii="SimSun" w:hAnsi="SimSun" w:hint="eastAsia"/>
          <w:sz w:val="21"/>
          <w:szCs w:val="22"/>
        </w:rPr>
        <w:t>尽可能</w:t>
      </w:r>
      <w:r w:rsidRPr="0034139E">
        <w:rPr>
          <w:rFonts w:ascii="SimSun" w:hAnsi="SimSun" w:hint="eastAsia"/>
          <w:sz w:val="21"/>
        </w:rPr>
        <w:t>减少提供海牙国际注册相关认证副本的成本和风险。</w:t>
      </w:r>
    </w:p>
    <w:p w:rsidR="00CC43BC" w:rsidRPr="006575B1" w:rsidRDefault="00CC43BC" w:rsidP="006575B1">
      <w:pPr>
        <w:pStyle w:val="Heading1"/>
        <w:overflowPunct w:val="0"/>
        <w:spacing w:beforeLines="100" w:afterLines="50" w:after="120" w:line="340" w:lineRule="atLeast"/>
        <w:rPr>
          <w:rFonts w:ascii="SimSun" w:hAnsi="SimSun"/>
          <w:sz w:val="21"/>
        </w:rPr>
      </w:pPr>
      <w:r w:rsidRPr="006575B1">
        <w:rPr>
          <w:rFonts w:ascii="SimSun" w:hAnsi="SimSun" w:hint="eastAsia"/>
          <w:sz w:val="21"/>
        </w:rPr>
        <w:t>国际局和知识产权局之间的财</w:t>
      </w:r>
      <w:r w:rsidR="000B6B01">
        <w:rPr>
          <w:rFonts w:ascii="SimSun" w:hAnsi="SimSun" w:hint="eastAsia"/>
          <w:sz w:val="21"/>
        </w:rPr>
        <w:t>务</w:t>
      </w:r>
      <w:r w:rsidRPr="006575B1">
        <w:rPr>
          <w:rFonts w:ascii="SimSun" w:hAnsi="SimSun" w:hint="eastAsia"/>
          <w:sz w:val="21"/>
        </w:rPr>
        <w:t>数据转移/支付</w:t>
      </w:r>
    </w:p>
    <w:p w:rsidR="0024141F" w:rsidRPr="0034139E" w:rsidRDefault="00CC43BC"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hint="eastAsia"/>
          <w:sz w:val="21"/>
        </w:rPr>
        <w:t>在当前的模式下，国际局和知识产权局之间存在多种结算方式、数据格式和经常性的双向支付。这些支付可能跨越多个知识产权体系（PCT</w:t>
      </w:r>
      <w:r w:rsidR="000B6B01">
        <w:rPr>
          <w:rFonts w:ascii="SimSun" w:hAnsi="SimSun" w:hint="eastAsia"/>
          <w:sz w:val="21"/>
        </w:rPr>
        <w:t>、</w:t>
      </w:r>
      <w:r w:rsidRPr="0034139E">
        <w:rPr>
          <w:rFonts w:ascii="SimSun" w:hAnsi="SimSun" w:hint="eastAsia"/>
          <w:sz w:val="21"/>
        </w:rPr>
        <w:t>马德里及海牙），在每个</w:t>
      </w:r>
      <w:r w:rsidR="003779AF">
        <w:rPr>
          <w:rFonts w:ascii="SimSun" w:hAnsi="SimSun" w:hint="eastAsia"/>
          <w:sz w:val="21"/>
        </w:rPr>
        <w:t>知识</w:t>
      </w:r>
      <w:r w:rsidRPr="0034139E">
        <w:rPr>
          <w:rFonts w:ascii="SimSun" w:hAnsi="SimSun" w:hint="eastAsia"/>
          <w:sz w:val="21"/>
        </w:rPr>
        <w:t>产权体系中还可能以多个方向进行。例如，</w:t>
      </w:r>
      <w:r w:rsidRPr="009D0855">
        <w:rPr>
          <w:rFonts w:ascii="SimSun" w:hAnsi="SimSun" w:hint="eastAsia"/>
          <w:sz w:val="21"/>
          <w:szCs w:val="22"/>
        </w:rPr>
        <w:t>美国专利商标局</w:t>
      </w:r>
      <w:r w:rsidRPr="0034139E">
        <w:rPr>
          <w:rFonts w:ascii="SimSun" w:hAnsi="SimSun" w:hint="eastAsia"/>
          <w:sz w:val="21"/>
        </w:rPr>
        <w:t>（</w:t>
      </w:r>
      <w:r w:rsidR="005F4FED" w:rsidRPr="009D0855">
        <w:rPr>
          <w:rFonts w:ascii="SimSun" w:hAnsi="SimSun" w:hint="eastAsia"/>
          <w:sz w:val="21"/>
          <w:szCs w:val="22"/>
        </w:rPr>
        <w:t>美国专商局</w:t>
      </w:r>
      <w:r w:rsidRPr="0034139E">
        <w:rPr>
          <w:rFonts w:ascii="SimSun" w:hAnsi="SimSun" w:hint="eastAsia"/>
          <w:sz w:val="21"/>
        </w:rPr>
        <w:t>）向国际局批量支付PCT规费，而国际局每月向</w:t>
      </w:r>
      <w:r w:rsidR="005F4FED">
        <w:rPr>
          <w:rFonts w:ascii="SimSun" w:hAnsi="SimSun" w:hint="eastAsia"/>
          <w:sz w:val="21"/>
        </w:rPr>
        <w:t>美国专商局</w:t>
      </w:r>
      <w:r w:rsidRPr="0034139E">
        <w:rPr>
          <w:rFonts w:ascii="SimSun" w:hAnsi="SimSun" w:hint="eastAsia"/>
          <w:sz w:val="21"/>
        </w:rPr>
        <w:t>支付马德里体系和海牙体系规费。此外，这一模式会对国际局和知识产权局之间业务流的能力、安全性和规模造成影响，例如，扣留马德里体系和海牙体系的费用，或将其计入较小的知识产权局的往来</w:t>
      </w:r>
      <w:r w:rsidR="009E0EAE">
        <w:rPr>
          <w:rFonts w:ascii="SimSun" w:hAnsi="SimSun" w:hint="eastAsia"/>
          <w:sz w:val="21"/>
        </w:rPr>
        <w:t>帐户</w:t>
      </w:r>
      <w:r w:rsidRPr="0034139E">
        <w:rPr>
          <w:rFonts w:ascii="SimSun" w:hAnsi="SimSun" w:hint="eastAsia"/>
          <w:sz w:val="21"/>
        </w:rPr>
        <w:t>中。不同知识产权局的报告格式也不尽相同，有XML文件，有Excel文件，也有PDF格式的记录说明。</w:t>
      </w:r>
    </w:p>
    <w:p w:rsidR="0024141F" w:rsidRPr="0034139E" w:rsidRDefault="00CC43BC"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hint="eastAsia"/>
          <w:sz w:val="21"/>
        </w:rPr>
        <w:t>在本质上，业务单位之间的流量鲜有主动合并或净额结算的，这就导致实际的业务成本、结算时间和业务量均高于从经济性</w:t>
      </w:r>
      <w:r w:rsidRPr="009D0855">
        <w:rPr>
          <w:rFonts w:ascii="SimSun" w:hAnsi="SimSun" w:hint="eastAsia"/>
          <w:sz w:val="21"/>
          <w:szCs w:val="22"/>
        </w:rPr>
        <w:t>角度</w:t>
      </w:r>
      <w:r w:rsidRPr="0034139E">
        <w:rPr>
          <w:rFonts w:ascii="SimSun" w:hAnsi="SimSun" w:hint="eastAsia"/>
          <w:sz w:val="21"/>
        </w:rPr>
        <w:t>来看所需的水平。</w:t>
      </w:r>
    </w:p>
    <w:p w:rsidR="0024141F" w:rsidRPr="0034139E" w:rsidRDefault="00CC43BC"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hint="eastAsia"/>
          <w:sz w:val="21"/>
        </w:rPr>
        <w:t>考虑到上述不足，国际局将试行开发一个净额结算软件系统，以集中处理国际局和知识产权局之间的业务流量。这个净额结算系统将把多种货币的双向支付合并成单向支付，同时把每个参与方的多货币支付合并成单一货币支付。此外，未来这个净额结算方案还能够</w:t>
      </w:r>
      <w:r w:rsidR="00172B80" w:rsidRPr="0034139E">
        <w:rPr>
          <w:rFonts w:ascii="SimSun" w:hAnsi="SimSun" w:hint="eastAsia"/>
          <w:sz w:val="21"/>
        </w:rPr>
        <w:t>受理</w:t>
      </w:r>
      <w:r w:rsidRPr="0034139E">
        <w:rPr>
          <w:rFonts w:ascii="SimSun" w:hAnsi="SimSun" w:hint="eastAsia"/>
          <w:sz w:val="21"/>
        </w:rPr>
        <w:t>和传送支付支持信息，例如申请编号。</w:t>
      </w:r>
    </w:p>
    <w:p w:rsidR="0024141F" w:rsidRPr="0034139E" w:rsidRDefault="00CC43BC"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hint="eastAsia"/>
          <w:sz w:val="21"/>
        </w:rPr>
        <w:t>不过，上述系统仍然面临一些挑战：参与方用于支持支付交易的申请信息的安全性；不同系统之间的身份识别和验证；通过人工或纸质系统提交申请时，时差可能导致的延迟和错误处理等。此</w:t>
      </w:r>
      <w:r w:rsidRPr="0034139E">
        <w:rPr>
          <w:rFonts w:ascii="SimSun" w:hAnsi="SimSun" w:hint="eastAsia"/>
          <w:sz w:val="21"/>
        </w:rPr>
        <w:lastRenderedPageBreak/>
        <w:t>外，目前知识产权局提交的文件格式多样，因此数据文件格式的标准化，以安全的电子格式提交数据对于确保单个系统平稳运转，并处理大量支付结算业务就具有至关重要的意义。</w:t>
      </w:r>
    </w:p>
    <w:p w:rsidR="0024141F" w:rsidRPr="0034139E" w:rsidRDefault="00CC43BC"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hint="eastAsia"/>
          <w:sz w:val="21"/>
        </w:rPr>
        <w:t>国际局已经开始与关键的知识产权局进行有限的试点。试点的范围也很有限，目前仅涉及PCT交易。在未来，将尝试扩大到更多参与方，这就要求知识产权局的合作，遵守协商一致的结算时间表，同意使用网页表格进行数据收集，采用标准化的电子申请系统，例如马德里体系的在线申请系统。此外还需要开展多次培训，内容是在申请系统和净额结算系统中生成安全文件格式，并将其传送到知识产权局财务和记录系统。</w:t>
      </w:r>
    </w:p>
    <w:p w:rsidR="00CC43BC" w:rsidRPr="0034139E" w:rsidRDefault="00D40A28" w:rsidP="00244155">
      <w:pPr>
        <w:overflowPunct w:val="0"/>
        <w:spacing w:afterLines="50" w:after="120" w:line="340" w:lineRule="atLeast"/>
        <w:ind w:left="567"/>
        <w:jc w:val="both"/>
        <w:rPr>
          <w:rFonts w:ascii="SimSun" w:hAnsi="SimSun"/>
          <w:bCs/>
          <w:sz w:val="21"/>
          <w:szCs w:val="26"/>
          <w:u w:val="single"/>
        </w:rPr>
      </w:pPr>
      <w:r>
        <w:rPr>
          <w:rFonts w:ascii="SimSun" w:hAnsi="SimSun" w:hint="eastAsia"/>
          <w:bCs/>
          <w:sz w:val="21"/>
          <w:szCs w:val="26"/>
          <w:u w:val="single"/>
        </w:rPr>
        <w:t>建　议</w:t>
      </w:r>
    </w:p>
    <w:p w:rsidR="007914C3" w:rsidRPr="0034139E" w:rsidRDefault="00CC43BC" w:rsidP="00244155">
      <w:pPr>
        <w:overflowPunct w:val="0"/>
        <w:spacing w:afterLines="50" w:after="120" w:line="340" w:lineRule="atLeast"/>
        <w:ind w:left="567"/>
        <w:jc w:val="both"/>
        <w:rPr>
          <w:rFonts w:ascii="SimSun" w:hAnsi="SimSun"/>
          <w:sz w:val="21"/>
        </w:rPr>
      </w:pPr>
      <w:r w:rsidRPr="005F4FED">
        <w:rPr>
          <w:rFonts w:ascii="SimSun" w:hAnsi="SimSun" w:hint="eastAsia"/>
          <w:sz w:val="21"/>
          <w:u w:val="single"/>
        </w:rPr>
        <w:t>建议35</w:t>
      </w:r>
      <w:r w:rsidR="00B442DC" w:rsidRPr="009102AC">
        <w:rPr>
          <w:rFonts w:ascii="SimSun" w:hAnsi="SimSun" w:hint="eastAsia"/>
          <w:sz w:val="21"/>
        </w:rPr>
        <w:t>：</w:t>
      </w:r>
      <w:r w:rsidRPr="0034139E">
        <w:rPr>
          <w:rFonts w:ascii="SimSun" w:hAnsi="SimSun" w:hint="eastAsia"/>
          <w:sz w:val="21"/>
        </w:rPr>
        <w:t>加强知识产权局与</w:t>
      </w:r>
      <w:r w:rsidRPr="00B667AB">
        <w:rPr>
          <w:rFonts w:ascii="SimSun" w:hAnsi="SimSun" w:hint="eastAsia"/>
          <w:sz w:val="21"/>
          <w:szCs w:val="22"/>
        </w:rPr>
        <w:t>国际</w:t>
      </w:r>
      <w:r w:rsidRPr="0034139E">
        <w:rPr>
          <w:rFonts w:ascii="SimSun" w:hAnsi="SimSun" w:hint="eastAsia"/>
          <w:sz w:val="21"/>
        </w:rPr>
        <w:t>局之间的国际合作，遵守协商一致的结算时间表，使用网页表格进行数据收集，采用</w:t>
      </w:r>
      <w:r w:rsidRPr="00244155">
        <w:rPr>
          <w:rFonts w:ascii="SimSun" w:hAnsi="SimSun" w:hint="eastAsia"/>
          <w:sz w:val="21"/>
          <w:szCs w:val="22"/>
        </w:rPr>
        <w:t>标准化</w:t>
      </w:r>
      <w:r w:rsidRPr="0034139E">
        <w:rPr>
          <w:rFonts w:ascii="SimSun" w:hAnsi="SimSun" w:hint="eastAsia"/>
          <w:sz w:val="21"/>
        </w:rPr>
        <w:t>的电子申请系统。</w:t>
      </w:r>
    </w:p>
    <w:p w:rsidR="00AC6CEA" w:rsidRPr="0034139E" w:rsidRDefault="00CC43BC" w:rsidP="006575B1">
      <w:pPr>
        <w:pStyle w:val="Heading1"/>
        <w:overflowPunct w:val="0"/>
        <w:spacing w:beforeLines="100" w:afterLines="50" w:after="120" w:line="340" w:lineRule="atLeast"/>
        <w:rPr>
          <w:rFonts w:ascii="SimSun" w:hAnsi="SimSun"/>
          <w:sz w:val="21"/>
        </w:rPr>
      </w:pPr>
      <w:r w:rsidRPr="0034139E">
        <w:rPr>
          <w:rFonts w:ascii="SimSun" w:hAnsi="SimSun" w:hint="eastAsia"/>
          <w:sz w:val="21"/>
        </w:rPr>
        <w:t>全球知识产权平台</w:t>
      </w:r>
    </w:p>
    <w:p w:rsidR="00B47F96" w:rsidRPr="0034139E" w:rsidRDefault="00EA50FC" w:rsidP="009D0855">
      <w:pPr>
        <w:pStyle w:val="ONUME"/>
        <w:numPr>
          <w:ilvl w:val="0"/>
          <w:numId w:val="8"/>
        </w:numPr>
        <w:overflowPunct w:val="0"/>
        <w:spacing w:afterLines="50" w:after="120" w:line="340" w:lineRule="atLeast"/>
        <w:ind w:left="0" w:firstLine="0"/>
        <w:jc w:val="both"/>
        <w:rPr>
          <w:rFonts w:ascii="SimSun" w:hAnsi="SimSun"/>
          <w:sz w:val="21"/>
        </w:rPr>
      </w:pPr>
      <w:r>
        <w:rPr>
          <w:rFonts w:ascii="SimSun" w:hAnsi="SimSun" w:hint="eastAsia"/>
          <w:sz w:val="21"/>
        </w:rPr>
        <w:t>产权组织</w:t>
      </w:r>
      <w:r w:rsidR="00CC43BC" w:rsidRPr="0034139E">
        <w:rPr>
          <w:rFonts w:ascii="SimSun" w:hAnsi="SimSun" w:hint="eastAsia"/>
          <w:sz w:val="21"/>
        </w:rPr>
        <w:t>已经启动了一项旨在引入单一通用信息技术平台（以下称为“全球知识产权平台”）的倡议。该平台连接多个向</w:t>
      </w:r>
      <w:r>
        <w:rPr>
          <w:rFonts w:ascii="SimSun" w:hAnsi="SimSun" w:hint="eastAsia"/>
          <w:sz w:val="21"/>
          <w:szCs w:val="22"/>
        </w:rPr>
        <w:t>产权组织</w:t>
      </w:r>
      <w:r w:rsidR="00CC43BC" w:rsidRPr="0034139E">
        <w:rPr>
          <w:rFonts w:ascii="SimSun" w:hAnsi="SimSun" w:hint="eastAsia"/>
          <w:sz w:val="21"/>
        </w:rPr>
        <w:t>全球知识产权体系以及</w:t>
      </w:r>
      <w:r>
        <w:rPr>
          <w:rFonts w:ascii="SimSun" w:hAnsi="SimSun" w:hint="eastAsia"/>
          <w:sz w:val="21"/>
        </w:rPr>
        <w:t>产权组织</w:t>
      </w:r>
      <w:r w:rsidR="00CC43BC" w:rsidRPr="0034139E">
        <w:rPr>
          <w:rFonts w:ascii="SimSun" w:hAnsi="SimSun" w:hint="eastAsia"/>
          <w:sz w:val="21"/>
        </w:rPr>
        <w:t>仲裁和调解中心（AMC）的服务提供支持的信息技术平台。全球知识产权平台将成为单一的门户，用户可以通过单一的</w:t>
      </w:r>
      <w:r>
        <w:rPr>
          <w:rFonts w:ascii="SimSun" w:hAnsi="SimSun" w:hint="eastAsia"/>
          <w:sz w:val="21"/>
        </w:rPr>
        <w:t>产权组织</w:t>
      </w:r>
      <w:r w:rsidR="009E0EAE">
        <w:rPr>
          <w:rFonts w:ascii="SimSun" w:hAnsi="SimSun" w:hint="eastAsia"/>
          <w:sz w:val="21"/>
        </w:rPr>
        <w:t>帐号</w:t>
      </w:r>
      <w:r w:rsidR="00CC43BC" w:rsidRPr="0034139E">
        <w:rPr>
          <w:rFonts w:ascii="SimSun" w:hAnsi="SimSun" w:hint="eastAsia"/>
          <w:sz w:val="21"/>
        </w:rPr>
        <w:t>获取</w:t>
      </w:r>
      <w:r>
        <w:rPr>
          <w:rFonts w:ascii="SimSun" w:hAnsi="SimSun" w:hint="eastAsia"/>
          <w:sz w:val="21"/>
        </w:rPr>
        <w:t>产权组织</w:t>
      </w:r>
      <w:r w:rsidR="00CC43BC" w:rsidRPr="0034139E">
        <w:rPr>
          <w:rFonts w:ascii="SimSun" w:hAnsi="SimSun" w:hint="eastAsia"/>
          <w:sz w:val="21"/>
        </w:rPr>
        <w:t>全球保护系统服务以及仲裁和调解中心服务。平台采取用户友好的导航政策，设置了通用的用户界面，并利用新的全球支付系统建立了集中式的支付门户。从长远来看，平台将提供一个访问</w:t>
      </w:r>
      <w:r>
        <w:rPr>
          <w:rFonts w:ascii="SimSun" w:hAnsi="SimSun" w:hint="eastAsia"/>
          <w:sz w:val="21"/>
        </w:rPr>
        <w:t>产权组织</w:t>
      </w:r>
      <w:r w:rsidR="00CC43BC" w:rsidRPr="0034139E">
        <w:rPr>
          <w:rFonts w:ascii="SimSun" w:hAnsi="SimSun" w:hint="eastAsia"/>
          <w:sz w:val="21"/>
        </w:rPr>
        <w:t>数据资产的聚合环境，并提供分析和</w:t>
      </w:r>
      <w:r w:rsidR="00015B3A">
        <w:rPr>
          <w:rFonts w:ascii="SimSun" w:hAnsi="SimSun" w:hint="eastAsia"/>
          <w:sz w:val="21"/>
        </w:rPr>
        <w:t>API</w:t>
      </w:r>
      <w:r w:rsidR="00CC43BC" w:rsidRPr="0034139E">
        <w:rPr>
          <w:rFonts w:ascii="SimSun" w:hAnsi="SimSun" w:hint="eastAsia"/>
          <w:sz w:val="21"/>
        </w:rPr>
        <w:t>等</w:t>
      </w:r>
      <w:r w:rsidR="00B667AB">
        <w:rPr>
          <w:rFonts w:ascii="SimSun" w:hAnsi="SimSun" w:hint="eastAsia"/>
          <w:sz w:val="21"/>
        </w:rPr>
        <w:t>信通技术</w:t>
      </w:r>
      <w:r w:rsidR="00CC43BC" w:rsidRPr="0034139E">
        <w:rPr>
          <w:rFonts w:ascii="SimSun" w:hAnsi="SimSun" w:hint="eastAsia"/>
          <w:sz w:val="21"/>
        </w:rPr>
        <w:t>增值服务。用户可以通过单点登录（SSO）</w:t>
      </w:r>
      <w:r w:rsidR="009E0EAE">
        <w:rPr>
          <w:rFonts w:ascii="SimSun" w:hAnsi="SimSun" w:hint="eastAsia"/>
          <w:sz w:val="21"/>
        </w:rPr>
        <w:t>帐号</w:t>
      </w:r>
      <w:r w:rsidR="00CC43BC" w:rsidRPr="0034139E">
        <w:rPr>
          <w:rFonts w:ascii="SimSun" w:hAnsi="SimSun" w:hint="eastAsia"/>
          <w:sz w:val="21"/>
        </w:rPr>
        <w:t>进入系统，然后规划自己机构所需的</w:t>
      </w:r>
      <w:r>
        <w:rPr>
          <w:rFonts w:ascii="SimSun" w:hAnsi="SimSun" w:hint="eastAsia"/>
          <w:sz w:val="21"/>
        </w:rPr>
        <w:t>产权组织</w:t>
      </w:r>
      <w:r w:rsidR="00CC43BC" w:rsidRPr="0034139E">
        <w:rPr>
          <w:rFonts w:ascii="SimSun" w:hAnsi="SimSun" w:hint="eastAsia"/>
          <w:sz w:val="21"/>
        </w:rPr>
        <w:t>全球知识产权保护服务。</w:t>
      </w:r>
    </w:p>
    <w:p w:rsidR="007914C3" w:rsidRPr="0034139E" w:rsidRDefault="00CC43BC"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hint="eastAsia"/>
          <w:sz w:val="21"/>
        </w:rPr>
        <w:t>作为全球知识产权平台的关键</w:t>
      </w:r>
      <w:r w:rsidR="009E0EAE">
        <w:rPr>
          <w:rFonts w:ascii="SimSun" w:hAnsi="SimSun" w:hint="eastAsia"/>
          <w:sz w:val="21"/>
        </w:rPr>
        <w:t>利益攸关方</w:t>
      </w:r>
      <w:r w:rsidRPr="0034139E">
        <w:rPr>
          <w:rFonts w:ascii="SimSun" w:hAnsi="SimSun" w:hint="eastAsia"/>
          <w:sz w:val="21"/>
        </w:rPr>
        <w:t>，知识产权局需要摸索相关手段，以支持其</w:t>
      </w:r>
      <w:r w:rsidR="009E0EAE">
        <w:rPr>
          <w:rFonts w:ascii="SimSun" w:hAnsi="SimSun" w:hint="eastAsia"/>
          <w:sz w:val="21"/>
        </w:rPr>
        <w:t>帐户</w:t>
      </w:r>
      <w:r w:rsidRPr="0034139E">
        <w:rPr>
          <w:rFonts w:ascii="SimSun" w:hAnsi="SimSun" w:hint="eastAsia"/>
          <w:sz w:val="21"/>
        </w:rPr>
        <w:t>管理和身份验证系统的互操作性。此外，还应当鼓励交换意见，规划和制定相关战略，使知识产权局能够为数据资产、</w:t>
      </w:r>
      <w:r w:rsidR="00015B3A">
        <w:rPr>
          <w:rFonts w:ascii="SimSun" w:hAnsi="SimSun" w:hint="eastAsia"/>
          <w:sz w:val="21"/>
        </w:rPr>
        <w:t>API</w:t>
      </w:r>
      <w:r w:rsidRPr="0034139E">
        <w:rPr>
          <w:rFonts w:ascii="SimSun" w:hAnsi="SimSun" w:hint="eastAsia"/>
          <w:sz w:val="21"/>
        </w:rPr>
        <w:t>以及全球知识产权平台提供的其他增值服务聚合环境优化预期收益。</w:t>
      </w:r>
    </w:p>
    <w:p w:rsidR="00D95A63" w:rsidRPr="006575B1" w:rsidRDefault="00165641" w:rsidP="006575B1">
      <w:pPr>
        <w:pStyle w:val="Heading1"/>
        <w:overflowPunct w:val="0"/>
        <w:spacing w:beforeLines="100" w:afterLines="50" w:after="120" w:line="340" w:lineRule="atLeast"/>
        <w:rPr>
          <w:rFonts w:ascii="SimHei" w:eastAsia="SimHei" w:hAnsi="SimHei"/>
          <w:b w:val="0"/>
          <w:sz w:val="21"/>
        </w:rPr>
      </w:pPr>
      <w:r w:rsidRPr="006575B1">
        <w:rPr>
          <w:rFonts w:ascii="SimHei" w:eastAsia="SimHei" w:hAnsi="SimHei"/>
          <w:b w:val="0"/>
          <w:sz w:val="21"/>
        </w:rPr>
        <w:t>第三部分</w:t>
      </w:r>
      <w:r w:rsidR="005F4FED">
        <w:rPr>
          <w:rFonts w:ascii="SimHei" w:eastAsia="SimHei" w:hAnsi="SimHei"/>
          <w:b w:val="0"/>
          <w:sz w:val="21"/>
        </w:rPr>
        <w:t>：</w:t>
      </w:r>
      <w:r w:rsidRPr="006575B1">
        <w:rPr>
          <w:rFonts w:ascii="SimHei" w:eastAsia="SimHei" w:hAnsi="SimHei" w:hint="eastAsia"/>
          <w:b w:val="0"/>
          <w:sz w:val="21"/>
        </w:rPr>
        <w:t>一般</w:t>
      </w:r>
      <w:r w:rsidR="00B667AB">
        <w:rPr>
          <w:rFonts w:ascii="SimHei" w:eastAsia="SimHei" w:hAnsi="SimHei" w:hint="eastAsia"/>
          <w:b w:val="0"/>
          <w:sz w:val="21"/>
        </w:rPr>
        <w:t>信通技术</w:t>
      </w:r>
      <w:r w:rsidRPr="006575B1">
        <w:rPr>
          <w:rFonts w:ascii="SimHei" w:eastAsia="SimHei" w:hAnsi="SimHei" w:hint="eastAsia"/>
          <w:b w:val="0"/>
          <w:sz w:val="21"/>
        </w:rPr>
        <w:t>战略</w:t>
      </w:r>
    </w:p>
    <w:p w:rsidR="00E966E8" w:rsidRPr="0034139E" w:rsidRDefault="00DA0F78" w:rsidP="006575B1">
      <w:pPr>
        <w:pStyle w:val="Heading1"/>
        <w:overflowPunct w:val="0"/>
        <w:spacing w:beforeLines="100" w:afterLines="50" w:after="120" w:line="340" w:lineRule="atLeast"/>
        <w:rPr>
          <w:rFonts w:ascii="SimSun" w:hAnsi="SimSun"/>
          <w:sz w:val="21"/>
        </w:rPr>
      </w:pPr>
      <w:r w:rsidRPr="0034139E">
        <w:rPr>
          <w:rFonts w:ascii="SimSun" w:hAnsi="SimSun"/>
          <w:sz w:val="21"/>
        </w:rPr>
        <w:t>信息安全与知识产权数据保障</w:t>
      </w:r>
    </w:p>
    <w:p w:rsidR="00DA0F78" w:rsidRPr="0034139E" w:rsidRDefault="00DA0F78"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sz w:val="21"/>
        </w:rPr>
        <w:t>随着知识产权局、国际局及第三方</w:t>
      </w:r>
      <w:r w:rsidRPr="0034139E">
        <w:rPr>
          <w:rFonts w:ascii="SimSun" w:hAnsi="SimSun" w:hint="eastAsia"/>
          <w:sz w:val="21"/>
        </w:rPr>
        <w:t>提供商</w:t>
      </w:r>
      <w:r w:rsidRPr="0034139E">
        <w:rPr>
          <w:rFonts w:ascii="SimSun" w:hAnsi="SimSun"/>
          <w:sz w:val="21"/>
        </w:rPr>
        <w:t>越来越多地应用</w:t>
      </w:r>
      <w:r w:rsidR="00B667AB">
        <w:rPr>
          <w:rFonts w:ascii="SimSun" w:hAnsi="SimSun"/>
          <w:sz w:val="21"/>
        </w:rPr>
        <w:t>信通技术</w:t>
      </w:r>
      <w:r w:rsidRPr="0034139E">
        <w:rPr>
          <w:rFonts w:ascii="SimSun" w:hAnsi="SimSun"/>
          <w:sz w:val="21"/>
        </w:rPr>
        <w:t>系统形成高度联动和全球性的知识产权体系，网络攻击和数据外泄问题</w:t>
      </w:r>
      <w:r w:rsidRPr="0034139E">
        <w:rPr>
          <w:rFonts w:ascii="SimSun" w:hAnsi="SimSun" w:hint="eastAsia"/>
          <w:sz w:val="21"/>
        </w:rPr>
        <w:t>更加</w:t>
      </w:r>
      <w:r w:rsidRPr="0034139E">
        <w:rPr>
          <w:rFonts w:ascii="SimSun" w:hAnsi="SimSun"/>
          <w:sz w:val="21"/>
        </w:rPr>
        <w:t>值得</w:t>
      </w:r>
      <w:r w:rsidRPr="0034139E">
        <w:rPr>
          <w:rFonts w:ascii="SimSun" w:hAnsi="SimSun" w:hint="eastAsia"/>
          <w:sz w:val="21"/>
        </w:rPr>
        <w:t>重视</w:t>
      </w:r>
      <w:r w:rsidRPr="0034139E">
        <w:rPr>
          <w:rFonts w:ascii="SimSun" w:hAnsi="SimSun"/>
          <w:sz w:val="21"/>
        </w:rPr>
        <w:t>。</w:t>
      </w:r>
      <w:r w:rsidRPr="0034139E">
        <w:rPr>
          <w:rFonts w:ascii="SimSun" w:hAnsi="SimSun" w:cs="Times New Roman"/>
          <w:color w:val="000000"/>
          <w:kern w:val="2"/>
          <w:sz w:val="21"/>
          <w:szCs w:val="22"/>
        </w:rPr>
        <w:t>申请人</w:t>
      </w:r>
      <w:r w:rsidRPr="0034139E">
        <w:rPr>
          <w:rFonts w:ascii="SimSun" w:hAnsi="SimSun" w:cs="Times New Roman" w:hint="eastAsia"/>
          <w:color w:val="000000"/>
          <w:kern w:val="2"/>
          <w:sz w:val="21"/>
          <w:szCs w:val="22"/>
        </w:rPr>
        <w:t>在</w:t>
      </w:r>
      <w:r w:rsidRPr="0034139E">
        <w:rPr>
          <w:rFonts w:ascii="SimSun" w:hAnsi="SimSun" w:cs="Times New Roman"/>
          <w:color w:val="000000"/>
          <w:kern w:val="2"/>
          <w:sz w:val="21"/>
          <w:szCs w:val="22"/>
        </w:rPr>
        <w:t>向知识产权局</w:t>
      </w:r>
      <w:r w:rsidR="005919B9" w:rsidRPr="0034139E">
        <w:rPr>
          <w:rFonts w:ascii="SimSun" w:hAnsi="SimSun" w:cs="Times New Roman" w:hint="eastAsia"/>
          <w:color w:val="000000"/>
          <w:kern w:val="2"/>
          <w:sz w:val="21"/>
          <w:szCs w:val="22"/>
        </w:rPr>
        <w:t>提交</w:t>
      </w:r>
      <w:r w:rsidRPr="0034139E">
        <w:rPr>
          <w:rFonts w:ascii="SimSun" w:hAnsi="SimSun" w:cs="Times New Roman" w:hint="eastAsia"/>
          <w:color w:val="000000"/>
          <w:kern w:val="2"/>
          <w:sz w:val="21"/>
          <w:szCs w:val="22"/>
        </w:rPr>
        <w:t>申</w:t>
      </w:r>
      <w:r w:rsidR="005919B9" w:rsidRPr="0034139E">
        <w:rPr>
          <w:rFonts w:ascii="SimSun" w:hAnsi="SimSun" w:cs="Times New Roman" w:hint="eastAsia"/>
          <w:color w:val="000000"/>
          <w:kern w:val="2"/>
          <w:sz w:val="21"/>
          <w:szCs w:val="22"/>
        </w:rPr>
        <w:t>请</w:t>
      </w:r>
      <w:r w:rsidRPr="0034139E">
        <w:rPr>
          <w:rFonts w:ascii="SimSun" w:hAnsi="SimSun" w:cs="Times New Roman" w:hint="eastAsia"/>
          <w:color w:val="000000"/>
          <w:kern w:val="2"/>
          <w:sz w:val="21"/>
          <w:szCs w:val="22"/>
        </w:rPr>
        <w:t>时</w:t>
      </w:r>
      <w:r w:rsidRPr="0034139E">
        <w:rPr>
          <w:rFonts w:ascii="SimSun" w:hAnsi="SimSun" w:cs="Times New Roman"/>
          <w:color w:val="000000"/>
          <w:kern w:val="2"/>
          <w:sz w:val="21"/>
          <w:szCs w:val="22"/>
        </w:rPr>
        <w:t>，都希望自己提交的信息具有高度的保密性、完整性、可用性和隐私性。知识产权局处理的知识产权信息具有固在的价值，可为网络罪犯、企业间谍等各类威胁缘起方所利用。有的时候，对于未公布</w:t>
      </w:r>
      <w:r w:rsidR="009E0EAE">
        <w:rPr>
          <w:rFonts w:ascii="SimSun" w:hAnsi="SimSun" w:cs="Times New Roman" w:hint="eastAsia"/>
          <w:color w:val="000000"/>
          <w:kern w:val="2"/>
          <w:sz w:val="21"/>
          <w:szCs w:val="22"/>
        </w:rPr>
        <w:t>的</w:t>
      </w:r>
      <w:r w:rsidRPr="0034139E">
        <w:rPr>
          <w:rFonts w:ascii="SimSun" w:hAnsi="SimSun" w:cs="Times New Roman"/>
          <w:color w:val="000000"/>
          <w:kern w:val="2"/>
          <w:sz w:val="21"/>
          <w:szCs w:val="22"/>
        </w:rPr>
        <w:t>知识产权</w:t>
      </w:r>
      <w:r w:rsidRPr="0034139E">
        <w:rPr>
          <w:rFonts w:ascii="SimSun" w:hAnsi="SimSun" w:cs="Times New Roman" w:hint="eastAsia"/>
          <w:color w:val="000000"/>
          <w:kern w:val="2"/>
          <w:sz w:val="21"/>
          <w:szCs w:val="22"/>
        </w:rPr>
        <w:t>申</w:t>
      </w:r>
      <w:r w:rsidR="009E0EAE">
        <w:rPr>
          <w:rFonts w:ascii="SimSun" w:hAnsi="SimSun" w:cs="Times New Roman" w:hint="eastAsia"/>
          <w:color w:val="000000"/>
          <w:kern w:val="2"/>
          <w:sz w:val="21"/>
          <w:szCs w:val="22"/>
        </w:rPr>
        <w:t>请</w:t>
      </w:r>
      <w:r w:rsidRPr="0034139E">
        <w:rPr>
          <w:rFonts w:ascii="SimSun" w:hAnsi="SimSun" w:cs="Times New Roman"/>
          <w:color w:val="000000"/>
          <w:kern w:val="2"/>
          <w:sz w:val="21"/>
          <w:szCs w:val="22"/>
        </w:rPr>
        <w:t>，一经泄密，就可能使申请人</w:t>
      </w:r>
      <w:r w:rsidRPr="0034139E">
        <w:rPr>
          <w:rFonts w:ascii="SimSun" w:hAnsi="SimSun" w:cs="Times New Roman" w:hint="eastAsia"/>
          <w:color w:val="000000"/>
          <w:kern w:val="2"/>
          <w:sz w:val="21"/>
          <w:szCs w:val="22"/>
        </w:rPr>
        <w:t>蒙受</w:t>
      </w:r>
      <w:r w:rsidRPr="0034139E">
        <w:rPr>
          <w:rFonts w:ascii="SimSun" w:hAnsi="SimSun" w:cs="Times New Roman"/>
          <w:color w:val="000000"/>
          <w:kern w:val="2"/>
          <w:sz w:val="21"/>
          <w:szCs w:val="22"/>
        </w:rPr>
        <w:t>经济损失，使当事知识产权局名誉受损，同时还会影响知识产权的完整性。不幸的是，媒体</w:t>
      </w:r>
      <w:r w:rsidR="009E0EAE">
        <w:rPr>
          <w:rFonts w:ascii="SimSun" w:hAnsi="SimSun" w:cs="Times New Roman" w:hint="eastAsia"/>
          <w:color w:val="000000"/>
          <w:kern w:val="2"/>
          <w:sz w:val="21"/>
          <w:szCs w:val="22"/>
        </w:rPr>
        <w:t>的</w:t>
      </w:r>
      <w:r w:rsidRPr="0034139E">
        <w:rPr>
          <w:rFonts w:ascii="SimSun" w:hAnsi="SimSun" w:cs="Times New Roman"/>
          <w:color w:val="000000"/>
          <w:kern w:val="2"/>
          <w:sz w:val="21"/>
          <w:szCs w:val="22"/>
        </w:rPr>
        <w:t>数据外泄</w:t>
      </w:r>
      <w:r w:rsidR="009E0EAE">
        <w:rPr>
          <w:rFonts w:ascii="SimSun" w:hAnsi="SimSun" w:cs="Times New Roman" w:hint="eastAsia"/>
          <w:color w:val="000000"/>
          <w:kern w:val="2"/>
          <w:sz w:val="21"/>
          <w:szCs w:val="22"/>
        </w:rPr>
        <w:t>报道</w:t>
      </w:r>
      <w:r w:rsidRPr="0034139E">
        <w:rPr>
          <w:rFonts w:ascii="SimSun" w:hAnsi="SimSun" w:cs="Times New Roman"/>
          <w:color w:val="000000"/>
          <w:kern w:val="2"/>
          <w:sz w:val="21"/>
          <w:szCs w:val="22"/>
        </w:rPr>
        <w:t>的越来越</w:t>
      </w:r>
      <w:r w:rsidR="00711026">
        <w:rPr>
          <w:rFonts w:ascii="SimSun" w:hAnsi="SimSun" w:cs="Times New Roman" w:hint="eastAsia"/>
          <w:color w:val="000000"/>
          <w:kern w:val="2"/>
          <w:sz w:val="21"/>
          <w:szCs w:val="22"/>
        </w:rPr>
        <w:t>多、越来越频繁</w:t>
      </w:r>
      <w:r w:rsidRPr="0034139E">
        <w:rPr>
          <w:rFonts w:ascii="SimSun" w:hAnsi="SimSun" w:cs="Times New Roman"/>
          <w:color w:val="000000"/>
          <w:kern w:val="2"/>
          <w:sz w:val="21"/>
          <w:szCs w:val="22"/>
        </w:rPr>
        <w:t>，人们已经司空见惯</w:t>
      </w:r>
      <w:r w:rsidR="00711026">
        <w:rPr>
          <w:rFonts w:ascii="SimSun" w:hAnsi="SimSun" w:cs="Times New Roman" w:hint="eastAsia"/>
          <w:color w:val="000000"/>
          <w:kern w:val="2"/>
          <w:sz w:val="21"/>
          <w:szCs w:val="22"/>
        </w:rPr>
        <w:t>，</w:t>
      </w:r>
      <w:r w:rsidRPr="0034139E">
        <w:rPr>
          <w:rFonts w:ascii="SimSun" w:hAnsi="SimSun" w:cs="Times New Roman"/>
          <w:color w:val="000000"/>
          <w:kern w:val="2"/>
          <w:sz w:val="21"/>
          <w:szCs w:val="22"/>
        </w:rPr>
        <w:t>不少知识产权局都缺乏投入信息安全、防范威胁缘起方的知识、技能和资源</w:t>
      </w:r>
      <w:r w:rsidRPr="0034139E">
        <w:rPr>
          <w:rFonts w:ascii="SimSun" w:hAnsi="SimSun" w:cs="Times New Roman" w:hint="eastAsia"/>
          <w:color w:val="000000"/>
          <w:kern w:val="2"/>
          <w:sz w:val="21"/>
          <w:szCs w:val="22"/>
        </w:rPr>
        <w:t>，</w:t>
      </w:r>
      <w:r w:rsidRPr="0034139E">
        <w:rPr>
          <w:rFonts w:ascii="SimSun" w:hAnsi="SimSun" w:cs="Times New Roman"/>
          <w:color w:val="000000"/>
          <w:kern w:val="2"/>
          <w:sz w:val="21"/>
          <w:szCs w:val="22"/>
        </w:rPr>
        <w:t>无论是在战术上、技能上、还是在投资能力上都远非威胁缘起方的对手。</w:t>
      </w:r>
    </w:p>
    <w:p w:rsidR="00DA0F78" w:rsidRPr="0034139E" w:rsidRDefault="00DA0F78"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sz w:val="21"/>
        </w:rPr>
        <w:t>为此，较为审慎的做法是，知识产权局加大投入，尽量满足信息安全的某些基本标准，以显示自身具备内部控制效力的合理保障。</w:t>
      </w:r>
      <w:r w:rsidRPr="0034139E">
        <w:rPr>
          <w:rFonts w:ascii="SimSun" w:hAnsi="SimSun" w:cs="Times New Roman"/>
          <w:color w:val="000000"/>
          <w:kern w:val="2"/>
          <w:sz w:val="21"/>
          <w:szCs w:val="22"/>
        </w:rPr>
        <w:t>尽管国际上不乏诸如ISO/IEC 27001之类的信息安全标准，但有些知识产权局还可能需要尽量满足其所在国的国内信息安全标准。鉴于知识产权局要求知识产权数据的传输</w:t>
      </w:r>
      <w:r w:rsidRPr="009D0855">
        <w:rPr>
          <w:rFonts w:ascii="SimSun" w:hAnsi="SimSun"/>
          <w:sz w:val="21"/>
          <w:szCs w:val="22"/>
        </w:rPr>
        <w:t>必须</w:t>
      </w:r>
      <w:r w:rsidRPr="0034139E">
        <w:rPr>
          <w:rFonts w:ascii="SimSun" w:hAnsi="SimSun" w:cs="Times New Roman"/>
          <w:color w:val="000000"/>
          <w:kern w:val="2"/>
          <w:sz w:val="21"/>
          <w:szCs w:val="22"/>
        </w:rPr>
        <w:t>实现高度联动化，因此</w:t>
      </w:r>
      <w:r w:rsidRPr="0034139E">
        <w:rPr>
          <w:rFonts w:ascii="SimSun" w:hAnsi="SimSun" w:cs="Times New Roman" w:hint="eastAsia"/>
          <w:color w:val="000000"/>
          <w:kern w:val="2"/>
          <w:sz w:val="21"/>
          <w:szCs w:val="22"/>
        </w:rPr>
        <w:t>，</w:t>
      </w:r>
      <w:r w:rsidRPr="0034139E">
        <w:rPr>
          <w:rFonts w:ascii="SimSun" w:hAnsi="SimSun" w:cs="Times New Roman"/>
          <w:color w:val="000000"/>
          <w:kern w:val="2"/>
          <w:sz w:val="21"/>
          <w:szCs w:val="22"/>
        </w:rPr>
        <w:t>受理局还需要对此数据进行确认和验证。没有信息安全控制措施的保障，受理局就难以信赖传送局发送的</w:t>
      </w:r>
      <w:r w:rsidR="0076121E" w:rsidRPr="0034139E">
        <w:rPr>
          <w:rFonts w:ascii="SimSun" w:hAnsi="SimSun" w:cs="Times New Roman"/>
          <w:color w:val="000000"/>
          <w:kern w:val="2"/>
          <w:sz w:val="21"/>
          <w:szCs w:val="22"/>
        </w:rPr>
        <w:t>信息</w:t>
      </w:r>
      <w:r w:rsidRPr="0034139E">
        <w:rPr>
          <w:rFonts w:ascii="SimSun" w:hAnsi="SimSun" w:cs="Times New Roman"/>
          <w:color w:val="000000"/>
          <w:kern w:val="2"/>
          <w:sz w:val="21"/>
          <w:szCs w:val="22"/>
        </w:rPr>
        <w:t>，因为这种</w:t>
      </w:r>
      <w:r w:rsidR="0076121E" w:rsidRPr="0034139E">
        <w:rPr>
          <w:rFonts w:ascii="SimSun" w:hAnsi="SimSun" w:cs="Times New Roman"/>
          <w:color w:val="000000"/>
          <w:kern w:val="2"/>
          <w:sz w:val="21"/>
          <w:szCs w:val="22"/>
        </w:rPr>
        <w:t>信息</w:t>
      </w:r>
      <w:r w:rsidRPr="0034139E">
        <w:rPr>
          <w:rFonts w:ascii="SimSun" w:hAnsi="SimSun" w:cs="Times New Roman"/>
          <w:color w:val="000000"/>
          <w:kern w:val="2"/>
          <w:sz w:val="21"/>
          <w:szCs w:val="22"/>
        </w:rPr>
        <w:t>可能是某种传染源，最终会导致系统和</w:t>
      </w:r>
      <w:r w:rsidRPr="0034139E">
        <w:rPr>
          <w:rFonts w:ascii="SimSun" w:hAnsi="SimSun" w:cs="Times New Roman"/>
          <w:color w:val="000000"/>
          <w:kern w:val="2"/>
          <w:sz w:val="21"/>
          <w:szCs w:val="22"/>
        </w:rPr>
        <w:lastRenderedPageBreak/>
        <w:t>数据外泄。</w:t>
      </w:r>
      <w:r w:rsidR="00EA50FC">
        <w:rPr>
          <w:rFonts w:ascii="SimSun" w:hAnsi="SimSun" w:cs="Times New Roman"/>
          <w:color w:val="000000"/>
          <w:kern w:val="2"/>
          <w:sz w:val="21"/>
          <w:szCs w:val="22"/>
        </w:rPr>
        <w:t>产权组织</w:t>
      </w:r>
      <w:r w:rsidRPr="0034139E">
        <w:rPr>
          <w:rFonts w:ascii="SimSun" w:hAnsi="SimSun" w:cs="Times New Roman"/>
          <w:color w:val="000000"/>
          <w:kern w:val="2"/>
          <w:sz w:val="21"/>
          <w:szCs w:val="22"/>
        </w:rPr>
        <w:t>的</w:t>
      </w:r>
      <w:r w:rsidR="00711026">
        <w:rPr>
          <w:rFonts w:ascii="SimSun" w:hAnsi="SimSun" w:cs="Times New Roman" w:hint="eastAsia"/>
          <w:color w:val="000000"/>
          <w:kern w:val="2"/>
          <w:sz w:val="21"/>
          <w:szCs w:val="22"/>
        </w:rPr>
        <w:t>各个</w:t>
      </w:r>
      <w:r w:rsidRPr="0034139E">
        <w:rPr>
          <w:rFonts w:ascii="SimSun" w:hAnsi="SimSun" w:cs="Times New Roman"/>
          <w:color w:val="000000"/>
          <w:kern w:val="2"/>
          <w:sz w:val="21"/>
          <w:szCs w:val="22"/>
        </w:rPr>
        <w:t>全球知识产权体系已独立通过ISO/IEC 27001</w:t>
      </w:r>
      <w:r w:rsidR="0076121E" w:rsidRPr="0034139E">
        <w:rPr>
          <w:rFonts w:ascii="SimSun" w:hAnsi="SimSun" w:cs="Times New Roman"/>
          <w:color w:val="000000"/>
          <w:kern w:val="2"/>
          <w:sz w:val="21"/>
          <w:szCs w:val="22"/>
        </w:rPr>
        <w:t>标准认证。尽管该认证并不等同于安全担保，但仍能合理保障已经建立了</w:t>
      </w:r>
      <w:r w:rsidRPr="0034139E">
        <w:rPr>
          <w:rFonts w:ascii="SimSun" w:hAnsi="SimSun" w:cs="Times New Roman"/>
          <w:color w:val="000000"/>
          <w:kern w:val="2"/>
          <w:sz w:val="21"/>
          <w:szCs w:val="22"/>
        </w:rPr>
        <w:t>管理控制手段，用于持续监控、评价和减轻信息风险。</w:t>
      </w:r>
    </w:p>
    <w:p w:rsidR="00DA0F78" w:rsidRPr="0034139E" w:rsidRDefault="00DA0F78"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sz w:val="21"/>
        </w:rPr>
        <w:t>如知识产权局采用云技术管理其</w:t>
      </w:r>
      <w:r w:rsidR="00B667AB">
        <w:rPr>
          <w:rFonts w:ascii="SimSun" w:hAnsi="SimSun"/>
          <w:sz w:val="21"/>
        </w:rPr>
        <w:t>信通技术</w:t>
      </w:r>
      <w:r w:rsidRPr="0034139E">
        <w:rPr>
          <w:rFonts w:ascii="SimSun" w:hAnsi="SimSun" w:hint="eastAsia"/>
          <w:sz w:val="21"/>
        </w:rPr>
        <w:t>基础</w:t>
      </w:r>
      <w:r w:rsidRPr="0034139E">
        <w:rPr>
          <w:rFonts w:ascii="SimSun" w:hAnsi="SimSun"/>
          <w:sz w:val="21"/>
        </w:rPr>
        <w:t>设施和知识产权申</w:t>
      </w:r>
      <w:r w:rsidR="0076121E" w:rsidRPr="0034139E">
        <w:rPr>
          <w:rFonts w:ascii="SimSun" w:hAnsi="SimSun" w:hint="eastAsia"/>
          <w:sz w:val="21"/>
        </w:rPr>
        <w:t>请</w:t>
      </w:r>
      <w:r w:rsidRPr="0034139E">
        <w:rPr>
          <w:rFonts w:ascii="SimSun" w:hAnsi="SimSun"/>
          <w:sz w:val="21"/>
        </w:rPr>
        <w:t>，则云服务提供商也同样面临类似的信息安全风险，</w:t>
      </w:r>
      <w:r w:rsidRPr="0034139E">
        <w:rPr>
          <w:rFonts w:ascii="SimSun" w:hAnsi="SimSun" w:hint="eastAsia"/>
          <w:sz w:val="21"/>
        </w:rPr>
        <w:t>也</w:t>
      </w:r>
      <w:r w:rsidRPr="0034139E">
        <w:rPr>
          <w:rFonts w:ascii="SimSun" w:hAnsi="SimSun"/>
          <w:sz w:val="21"/>
        </w:rPr>
        <w:t>可能成为网络攻击的标靶，或者</w:t>
      </w:r>
      <w:r w:rsidRPr="0034139E">
        <w:rPr>
          <w:rFonts w:ascii="SimSun" w:hAnsi="SimSun" w:hint="eastAsia"/>
          <w:sz w:val="21"/>
        </w:rPr>
        <w:t>沦</w:t>
      </w:r>
      <w:r w:rsidRPr="0034139E">
        <w:rPr>
          <w:rFonts w:ascii="SimSun" w:hAnsi="SimSun"/>
          <w:sz w:val="21"/>
        </w:rPr>
        <w:t>为威胁缘起方进入知识产权局的通道。</w:t>
      </w:r>
      <w:r w:rsidRPr="0034139E">
        <w:rPr>
          <w:rFonts w:ascii="SimSun" w:hAnsi="SimSun" w:cs="Times New Roman"/>
          <w:color w:val="000000"/>
          <w:kern w:val="2"/>
          <w:sz w:val="21"/>
          <w:szCs w:val="22"/>
        </w:rPr>
        <w:t>因此，云服务提供商在</w:t>
      </w:r>
      <w:r w:rsidRPr="0034139E">
        <w:rPr>
          <w:rFonts w:ascii="SimSun" w:hAnsi="SimSun" w:cs="Times New Roman" w:hint="eastAsia"/>
          <w:color w:val="000000"/>
          <w:kern w:val="2"/>
          <w:sz w:val="21"/>
          <w:szCs w:val="22"/>
        </w:rPr>
        <w:t>签订</w:t>
      </w:r>
      <w:r w:rsidRPr="0034139E">
        <w:rPr>
          <w:rFonts w:ascii="SimSun" w:hAnsi="SimSun" w:cs="Times New Roman"/>
          <w:color w:val="000000"/>
          <w:kern w:val="2"/>
          <w:sz w:val="21"/>
          <w:szCs w:val="22"/>
        </w:rPr>
        <w:t>合约关系前及合同履行期间，同样应该满足与知识产权局相同（或更高）的信息安全标准。</w:t>
      </w:r>
    </w:p>
    <w:p w:rsidR="00DA0F78" w:rsidRPr="0034139E" w:rsidRDefault="00DA0F78"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cs="Times New Roman"/>
          <w:color w:val="000000"/>
          <w:kern w:val="2"/>
          <w:sz w:val="21"/>
          <w:szCs w:val="22"/>
        </w:rPr>
        <w:t>与国际和区域系统整合，用于知识产权申报项目、个案文档信息、</w:t>
      </w:r>
      <w:r w:rsidR="00540952">
        <w:rPr>
          <w:rFonts w:ascii="SimSun" w:hAnsi="SimSun" w:hint="eastAsia"/>
          <w:sz w:val="21"/>
        </w:rPr>
        <w:t>著录项目</w:t>
      </w:r>
      <w:r w:rsidRPr="0034139E">
        <w:rPr>
          <w:rFonts w:ascii="SimSun" w:hAnsi="SimSun" w:cs="Times New Roman"/>
          <w:color w:val="000000"/>
          <w:kern w:val="2"/>
          <w:sz w:val="21"/>
          <w:szCs w:val="22"/>
        </w:rPr>
        <w:t>数据或优先权文件等知识产权信息的电子交换时，不同的知识产权局采用不同的安全文档传输机制，有时还是用</w:t>
      </w:r>
      <w:r w:rsidR="00015B3A">
        <w:rPr>
          <w:rFonts w:ascii="SimSun" w:hAnsi="SimSun" w:cs="Times New Roman" w:hint="eastAsia"/>
          <w:color w:val="000000"/>
          <w:kern w:val="2"/>
          <w:sz w:val="21"/>
          <w:szCs w:val="22"/>
        </w:rPr>
        <w:t>API</w:t>
      </w:r>
      <w:r w:rsidRPr="0034139E">
        <w:rPr>
          <w:rFonts w:ascii="SimSun" w:hAnsi="SimSun" w:cs="Times New Roman"/>
          <w:color w:val="000000"/>
          <w:kern w:val="2"/>
          <w:sz w:val="21"/>
          <w:szCs w:val="22"/>
        </w:rPr>
        <w:t>进行传输，导致各局之间信息传输不统一的现象。除此以外，对于这些机制的采用，不同的知识产权局之间也各相迥异。其中有的机制在手动重新键入信息时可能产生信息重叠和误差；如果共享加密信息丢失或盗用，还会造成相应损失。有</w:t>
      </w:r>
      <w:r w:rsidR="00711026">
        <w:rPr>
          <w:rFonts w:ascii="SimSun" w:hAnsi="SimSun" w:cs="Times New Roman" w:hint="eastAsia"/>
          <w:color w:val="000000"/>
          <w:kern w:val="2"/>
          <w:sz w:val="21"/>
          <w:szCs w:val="22"/>
        </w:rPr>
        <w:t>可</w:t>
      </w:r>
      <w:r w:rsidRPr="0034139E">
        <w:rPr>
          <w:rFonts w:ascii="SimSun" w:hAnsi="SimSun" w:cs="Times New Roman"/>
          <w:color w:val="000000"/>
          <w:kern w:val="2"/>
          <w:sz w:val="21"/>
          <w:szCs w:val="22"/>
        </w:rPr>
        <w:t>能规范现代安全手段和协议，在无需人力干预的情况下，实现不同知识产权局之间经认证</w:t>
      </w:r>
      <w:r w:rsidR="00711026">
        <w:rPr>
          <w:rFonts w:ascii="SimSun" w:hAnsi="SimSun" w:cs="Times New Roman" w:hint="eastAsia"/>
          <w:color w:val="000000"/>
          <w:kern w:val="2"/>
          <w:sz w:val="21"/>
          <w:szCs w:val="22"/>
        </w:rPr>
        <w:t>的</w:t>
      </w:r>
      <w:r w:rsidRPr="0034139E">
        <w:rPr>
          <w:rFonts w:ascii="SimSun" w:hAnsi="SimSun" w:cs="Times New Roman"/>
          <w:color w:val="000000"/>
          <w:kern w:val="2"/>
          <w:sz w:val="21"/>
          <w:szCs w:val="22"/>
        </w:rPr>
        <w:t>机到机信息传输。利用</w:t>
      </w:r>
      <w:r w:rsidR="005F4FED">
        <w:rPr>
          <w:rFonts w:ascii="SimSun" w:hAnsi="SimSun" w:cs="Times New Roman"/>
          <w:color w:val="000000"/>
          <w:kern w:val="2"/>
          <w:sz w:val="21"/>
          <w:szCs w:val="22"/>
        </w:rPr>
        <w:t>Web</w:t>
      </w:r>
      <w:r w:rsidRPr="0034139E">
        <w:rPr>
          <w:rFonts w:ascii="SimSun" w:hAnsi="SimSun" w:cs="Times New Roman"/>
          <w:color w:val="000000"/>
          <w:kern w:val="2"/>
          <w:sz w:val="21"/>
          <w:szCs w:val="22"/>
        </w:rPr>
        <w:t>安全服务和</w:t>
      </w:r>
      <w:r w:rsidR="00015B3A">
        <w:rPr>
          <w:rFonts w:ascii="SimSun" w:hAnsi="SimSun" w:cs="Times New Roman" w:hint="eastAsia"/>
          <w:color w:val="000000"/>
          <w:kern w:val="2"/>
          <w:sz w:val="21"/>
          <w:szCs w:val="22"/>
        </w:rPr>
        <w:t>API</w:t>
      </w:r>
      <w:r w:rsidRPr="0034139E">
        <w:rPr>
          <w:rFonts w:ascii="SimSun" w:hAnsi="SimSun" w:cs="Times New Roman"/>
          <w:color w:val="000000"/>
          <w:kern w:val="2"/>
          <w:sz w:val="21"/>
          <w:szCs w:val="22"/>
        </w:rPr>
        <w:t>，能确保信息传输的真实性（通过数字签名和</w:t>
      </w:r>
      <w:r w:rsidR="00711026">
        <w:rPr>
          <w:rFonts w:ascii="SimSun" w:hAnsi="SimSun" w:cs="Times New Roman" w:hint="eastAsia"/>
          <w:color w:val="000000"/>
          <w:kern w:val="2"/>
          <w:sz w:val="21"/>
          <w:szCs w:val="22"/>
        </w:rPr>
        <w:t>时间</w:t>
      </w:r>
      <w:r w:rsidRPr="0034139E">
        <w:rPr>
          <w:rFonts w:ascii="SimSun" w:hAnsi="SimSun" w:cs="Times New Roman"/>
          <w:color w:val="000000"/>
          <w:kern w:val="2"/>
          <w:sz w:val="21"/>
          <w:szCs w:val="22"/>
        </w:rPr>
        <w:t>戳）、保密性（通过加密），防范拒绝服务攻击（通过安全的属性配置）。这些</w:t>
      </w:r>
      <w:r w:rsidR="00015B3A">
        <w:rPr>
          <w:rFonts w:ascii="SimSun" w:hAnsi="SimSun" w:cs="Times New Roman" w:hint="eastAsia"/>
          <w:color w:val="000000"/>
          <w:kern w:val="2"/>
          <w:sz w:val="21"/>
          <w:szCs w:val="22"/>
        </w:rPr>
        <w:t>API</w:t>
      </w:r>
      <w:r w:rsidRPr="0034139E">
        <w:rPr>
          <w:rFonts w:ascii="SimSun" w:hAnsi="SimSun" w:cs="Times New Roman"/>
          <w:color w:val="000000"/>
          <w:kern w:val="2"/>
          <w:sz w:val="21"/>
          <w:szCs w:val="22"/>
        </w:rPr>
        <w:t>还可供第三方知识产权提供者安全使用，确保对知识产权局传输知识产权信息的安全性和一致</w:t>
      </w:r>
      <w:r w:rsidR="00CF143B">
        <w:rPr>
          <w:rFonts w:ascii="SimSun" w:hAnsi="SimSun"/>
          <w:sz w:val="21"/>
          <w:szCs w:val="22"/>
        </w:rPr>
        <w:t>‍</w:t>
      </w:r>
      <w:r w:rsidRPr="0034139E">
        <w:rPr>
          <w:rFonts w:ascii="SimSun" w:hAnsi="SimSun" w:cs="Times New Roman"/>
          <w:color w:val="000000"/>
          <w:kern w:val="2"/>
          <w:sz w:val="21"/>
          <w:szCs w:val="22"/>
        </w:rPr>
        <w:t>性。</w:t>
      </w:r>
    </w:p>
    <w:p w:rsidR="00DA0F78" w:rsidRPr="0034139E" w:rsidRDefault="00DA0F78"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sz w:val="21"/>
        </w:rPr>
        <w:t>如上节所述，</w:t>
      </w:r>
      <w:r w:rsidRPr="0034139E">
        <w:rPr>
          <w:rFonts w:ascii="SimSun" w:hAnsi="SimSun" w:hint="eastAsia"/>
          <w:sz w:val="21"/>
        </w:rPr>
        <w:t>建立</w:t>
      </w:r>
      <w:r w:rsidRPr="0034139E">
        <w:rPr>
          <w:rFonts w:ascii="SimSun" w:hAnsi="SimSun"/>
          <w:sz w:val="21"/>
        </w:rPr>
        <w:t>全球知识产权平台的目的，是增强不同全球知识产权体系之间的互通性，提供丰富的用户体验。</w:t>
      </w:r>
      <w:r w:rsidRPr="0034139E">
        <w:rPr>
          <w:rFonts w:ascii="SimSun" w:hAnsi="SimSun" w:cs="Times New Roman"/>
          <w:color w:val="000000"/>
          <w:kern w:val="2"/>
          <w:sz w:val="21"/>
          <w:szCs w:val="22"/>
        </w:rPr>
        <w:t>其中一大功能，是用户在向任一全球知识产权体系进行身份验证时，都能在其他知识产权体系</w:t>
      </w:r>
      <w:r w:rsidR="0076121E" w:rsidRPr="0034139E">
        <w:rPr>
          <w:rFonts w:ascii="SimSun" w:hAnsi="SimSun" w:cs="Times New Roman"/>
          <w:color w:val="000000"/>
          <w:kern w:val="2"/>
          <w:sz w:val="21"/>
          <w:szCs w:val="22"/>
        </w:rPr>
        <w:t>查询</w:t>
      </w:r>
      <w:r w:rsidRPr="0034139E">
        <w:rPr>
          <w:rFonts w:ascii="SimSun" w:hAnsi="SimSun" w:cs="Times New Roman"/>
          <w:color w:val="000000"/>
          <w:kern w:val="2"/>
          <w:sz w:val="21"/>
          <w:szCs w:val="22"/>
        </w:rPr>
        <w:t>其知识产权申请情况，而无需使用SSO重新验证。不同知识产权局之间机器或个体的交流，往往需要在知识产权信息传输或访问之前进</w:t>
      </w:r>
      <w:r w:rsidR="0076121E" w:rsidRPr="0034139E">
        <w:rPr>
          <w:rFonts w:ascii="SimSun" w:hAnsi="SimSun" w:cs="Times New Roman"/>
          <w:color w:val="000000"/>
          <w:kern w:val="2"/>
          <w:sz w:val="21"/>
          <w:szCs w:val="22"/>
        </w:rPr>
        <w:t>行某种形式的交互认证。除知识产权局另有通知外，即便有的个人从主管局离职</w:t>
      </w:r>
      <w:r w:rsidRPr="0034139E">
        <w:rPr>
          <w:rFonts w:ascii="SimSun" w:hAnsi="SimSun" w:cs="Times New Roman"/>
          <w:color w:val="000000"/>
          <w:kern w:val="2"/>
          <w:sz w:val="21"/>
          <w:szCs w:val="22"/>
        </w:rPr>
        <w:t>，其数据交换系统上的</w:t>
      </w:r>
      <w:r w:rsidR="009E0EAE">
        <w:rPr>
          <w:rFonts w:ascii="SimSun" w:hAnsi="SimSun" w:cs="Times New Roman"/>
          <w:color w:val="000000"/>
          <w:kern w:val="2"/>
          <w:sz w:val="21"/>
          <w:szCs w:val="22"/>
        </w:rPr>
        <w:t>帐户</w:t>
      </w:r>
      <w:r w:rsidRPr="0034139E">
        <w:rPr>
          <w:rFonts w:ascii="SimSun" w:hAnsi="SimSun" w:cs="Times New Roman"/>
          <w:color w:val="000000"/>
          <w:kern w:val="2"/>
          <w:sz w:val="21"/>
          <w:szCs w:val="22"/>
        </w:rPr>
        <w:t>凭据可能依然活跃，又为滥用造成了可乘之机。单点登录功能还可</w:t>
      </w:r>
      <w:r w:rsidRPr="0034139E">
        <w:rPr>
          <w:rFonts w:ascii="SimSun" w:hAnsi="SimSun" w:cs="Times New Roman" w:hint="eastAsia"/>
          <w:color w:val="000000"/>
          <w:kern w:val="2"/>
          <w:sz w:val="21"/>
          <w:szCs w:val="22"/>
        </w:rPr>
        <w:t>利用联盟协议和技术，</w:t>
      </w:r>
      <w:r w:rsidRPr="0034139E">
        <w:rPr>
          <w:rFonts w:ascii="SimSun" w:hAnsi="SimSun" w:cs="Times New Roman"/>
          <w:color w:val="000000"/>
          <w:kern w:val="2"/>
          <w:sz w:val="21"/>
          <w:szCs w:val="22"/>
        </w:rPr>
        <w:t>通过建立不同知识产权局之间的数</w:t>
      </w:r>
      <w:r w:rsidR="00711026">
        <w:rPr>
          <w:rFonts w:ascii="SimSun" w:hAnsi="SimSun" w:cs="Times New Roman" w:hint="eastAsia"/>
          <w:color w:val="000000"/>
          <w:kern w:val="2"/>
          <w:sz w:val="21"/>
          <w:szCs w:val="22"/>
        </w:rPr>
        <w:t>字</w:t>
      </w:r>
      <w:r w:rsidRPr="0034139E">
        <w:rPr>
          <w:rFonts w:ascii="SimSun" w:hAnsi="SimSun" w:cs="Times New Roman"/>
          <w:color w:val="000000"/>
          <w:kern w:val="2"/>
          <w:sz w:val="21"/>
          <w:szCs w:val="22"/>
        </w:rPr>
        <w:t>信</w:t>
      </w:r>
      <w:r w:rsidR="00711026">
        <w:rPr>
          <w:rFonts w:ascii="SimSun" w:hAnsi="SimSun" w:cs="Times New Roman" w:hint="eastAsia"/>
          <w:color w:val="000000"/>
          <w:kern w:val="2"/>
          <w:sz w:val="21"/>
          <w:szCs w:val="22"/>
        </w:rPr>
        <w:t>任</w:t>
      </w:r>
      <w:r w:rsidRPr="0034139E">
        <w:rPr>
          <w:rFonts w:ascii="SimSun" w:hAnsi="SimSun" w:cs="Times New Roman"/>
          <w:color w:val="000000"/>
          <w:kern w:val="2"/>
          <w:sz w:val="21"/>
          <w:szCs w:val="22"/>
        </w:rPr>
        <w:t>网，直接扩展到不同知识产权局之间的沟通交流，无需</w:t>
      </w:r>
      <w:r w:rsidRPr="0034139E">
        <w:rPr>
          <w:rFonts w:ascii="SimSun" w:hAnsi="SimSun" w:cs="Times New Roman" w:hint="eastAsia"/>
          <w:color w:val="000000"/>
          <w:kern w:val="2"/>
          <w:sz w:val="21"/>
          <w:szCs w:val="22"/>
        </w:rPr>
        <w:t>每次进行互动性认证</w:t>
      </w:r>
      <w:r w:rsidRPr="0034139E">
        <w:rPr>
          <w:rFonts w:ascii="SimSun" w:hAnsi="SimSun" w:cs="Times New Roman"/>
          <w:color w:val="000000"/>
          <w:kern w:val="2"/>
          <w:sz w:val="21"/>
          <w:szCs w:val="22"/>
        </w:rPr>
        <w:t>。</w:t>
      </w:r>
    </w:p>
    <w:p w:rsidR="00DA0F78" w:rsidRPr="0034139E" w:rsidRDefault="00DA0F78"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sz w:val="21"/>
        </w:rPr>
        <w:t>尽管</w:t>
      </w:r>
      <w:r w:rsidR="0076121E" w:rsidRPr="0034139E">
        <w:rPr>
          <w:rFonts w:ascii="SimSun" w:hAnsi="SimSun" w:hint="eastAsia"/>
          <w:sz w:val="21"/>
        </w:rPr>
        <w:t>PCT</w:t>
      </w:r>
      <w:r w:rsidRPr="0034139E">
        <w:rPr>
          <w:rFonts w:ascii="SimSun" w:hAnsi="SimSun"/>
          <w:sz w:val="21"/>
        </w:rPr>
        <w:t>和</w:t>
      </w:r>
      <w:r w:rsidR="0076121E" w:rsidRPr="0034139E">
        <w:rPr>
          <w:rFonts w:ascii="SimSun" w:hAnsi="SimSun"/>
          <w:sz w:val="21"/>
        </w:rPr>
        <w:t>海牙体系</w:t>
      </w:r>
      <w:r w:rsidRPr="0034139E">
        <w:rPr>
          <w:rFonts w:ascii="SimSun" w:hAnsi="SimSun"/>
          <w:sz w:val="21"/>
        </w:rPr>
        <w:t>采用云技术能为知识产权局带来重大的商业价值，如降低所有权总成本，保障业务的连续性，加快市场化应用周期等，但同时也带来了信息安全等风险，造成知识产权信息滥用等危害。</w:t>
      </w:r>
      <w:r w:rsidRPr="0034139E">
        <w:rPr>
          <w:rFonts w:ascii="SimSun" w:hAnsi="SimSun" w:cs="Times New Roman"/>
          <w:color w:val="000000"/>
          <w:kern w:val="2"/>
          <w:sz w:val="21"/>
          <w:szCs w:val="22"/>
        </w:rPr>
        <w:t>除了通过独立审核确保云服务提供商能合理保障内部控制外，知识产权局还须考虑其他的技术控制措施，防范云系统的信息风险。其中包括云环境中敏感知识产权信息加密能并持有个人的加密秘钥，强化后台系统申请人和管理员的多</w:t>
      </w:r>
      <w:r w:rsidR="0076121E" w:rsidRPr="0034139E">
        <w:rPr>
          <w:rFonts w:ascii="SimSun" w:hAnsi="SimSun" w:cs="Times New Roman"/>
          <w:color w:val="000000"/>
          <w:kern w:val="2"/>
          <w:sz w:val="21"/>
          <w:szCs w:val="22"/>
        </w:rPr>
        <w:t>要</w:t>
      </w:r>
      <w:r w:rsidRPr="0034139E">
        <w:rPr>
          <w:rFonts w:ascii="SimSun" w:hAnsi="SimSun" w:cs="Times New Roman"/>
          <w:color w:val="000000"/>
          <w:kern w:val="2"/>
          <w:sz w:val="21"/>
          <w:szCs w:val="22"/>
        </w:rPr>
        <w:t>素认证，根据安全分类隔离或细分知识产权数据及全天候监控，恶意破坏行动或云环境异常检测</w:t>
      </w:r>
      <w:r w:rsidRPr="0034139E">
        <w:rPr>
          <w:rFonts w:ascii="SimSun" w:hAnsi="SimSun" w:cs="Times New Roman" w:hint="eastAsia"/>
          <w:color w:val="000000"/>
          <w:kern w:val="2"/>
          <w:sz w:val="21"/>
          <w:szCs w:val="22"/>
        </w:rPr>
        <w:t>和</w:t>
      </w:r>
      <w:r w:rsidRPr="0034139E">
        <w:rPr>
          <w:rFonts w:ascii="SimSun" w:hAnsi="SimSun" w:cs="Times New Roman"/>
          <w:color w:val="000000"/>
          <w:kern w:val="2"/>
          <w:sz w:val="21"/>
          <w:szCs w:val="22"/>
        </w:rPr>
        <w:t>处理等。</w:t>
      </w:r>
    </w:p>
    <w:p w:rsidR="00DA0F78" w:rsidRPr="0034139E" w:rsidRDefault="00DA0F78"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sz w:val="21"/>
        </w:rPr>
        <w:t>数据完整性、</w:t>
      </w:r>
      <w:r w:rsidR="00711026">
        <w:rPr>
          <w:rFonts w:ascii="SimSun" w:hAnsi="SimSun" w:hint="eastAsia"/>
          <w:sz w:val="21"/>
        </w:rPr>
        <w:t>作准</w:t>
      </w:r>
      <w:r w:rsidRPr="0034139E">
        <w:rPr>
          <w:rFonts w:ascii="SimSun" w:hAnsi="SimSun"/>
          <w:sz w:val="21"/>
        </w:rPr>
        <w:t>性和不可抵赖性是知识产权信息传输的重要属性。</w:t>
      </w:r>
      <w:r w:rsidRPr="0034139E">
        <w:rPr>
          <w:rFonts w:ascii="SimSun" w:hAnsi="SimSun" w:cs="Times New Roman"/>
          <w:color w:val="000000"/>
          <w:kern w:val="2"/>
          <w:sz w:val="21"/>
          <w:szCs w:val="22"/>
        </w:rPr>
        <w:t>尽管加密技术</w:t>
      </w:r>
      <w:r w:rsidRPr="0034139E">
        <w:rPr>
          <w:rFonts w:ascii="SimSun" w:hAnsi="SimSun" w:cs="Times New Roman" w:hint="eastAsia"/>
          <w:color w:val="000000"/>
          <w:kern w:val="2"/>
          <w:sz w:val="21"/>
          <w:szCs w:val="22"/>
        </w:rPr>
        <w:t>普遍应用于</w:t>
      </w:r>
      <w:r w:rsidRPr="0034139E">
        <w:rPr>
          <w:rFonts w:ascii="SimSun" w:hAnsi="SimSun" w:cs="Times New Roman"/>
          <w:color w:val="000000"/>
          <w:kern w:val="2"/>
          <w:sz w:val="21"/>
          <w:szCs w:val="22"/>
        </w:rPr>
        <w:t>在线知识产权</w:t>
      </w:r>
      <w:r w:rsidRPr="0034139E">
        <w:rPr>
          <w:rFonts w:ascii="SimSun" w:hAnsi="SimSun" w:cs="Times New Roman" w:hint="eastAsia"/>
          <w:color w:val="000000"/>
          <w:kern w:val="2"/>
          <w:sz w:val="21"/>
          <w:szCs w:val="22"/>
        </w:rPr>
        <w:t>申报</w:t>
      </w:r>
      <w:r w:rsidRPr="0034139E">
        <w:rPr>
          <w:rFonts w:ascii="SimSun" w:hAnsi="SimSun" w:cs="Times New Roman"/>
          <w:color w:val="000000"/>
          <w:kern w:val="2"/>
          <w:sz w:val="21"/>
          <w:szCs w:val="22"/>
        </w:rPr>
        <w:t>（见第一部分中</w:t>
      </w:r>
      <w:r w:rsidRPr="0034139E">
        <w:rPr>
          <w:rFonts w:ascii="SimSun" w:hAnsi="SimSun" w:cs="Times New Roman"/>
          <w:color w:val="000000" w:themeColor="text1"/>
          <w:kern w:val="2"/>
          <w:sz w:val="21"/>
          <w:szCs w:val="22"/>
        </w:rPr>
        <w:t>“受理知识产权申请”</w:t>
      </w:r>
      <w:r w:rsidRPr="0034139E">
        <w:rPr>
          <w:rFonts w:ascii="SimSun" w:hAnsi="SimSun" w:cs="Times New Roman"/>
          <w:color w:val="000000"/>
          <w:kern w:val="2"/>
          <w:sz w:val="21"/>
          <w:szCs w:val="22"/>
        </w:rPr>
        <w:t>）以及不同知识产权局之间的知识产权信息交换，为了确保信息的保密性，使用数字签名确保数据完整性和不可抵赖性的</w:t>
      </w:r>
      <w:r w:rsidR="0076121E" w:rsidRPr="0034139E">
        <w:rPr>
          <w:rFonts w:ascii="SimSun" w:hAnsi="SimSun" w:cs="Times New Roman"/>
          <w:color w:val="000000"/>
          <w:kern w:val="2"/>
          <w:sz w:val="21"/>
          <w:szCs w:val="22"/>
        </w:rPr>
        <w:t>做法并不多见</w:t>
      </w:r>
      <w:r w:rsidRPr="0034139E">
        <w:rPr>
          <w:rFonts w:ascii="SimSun" w:hAnsi="SimSun" w:cs="Times New Roman"/>
          <w:color w:val="000000"/>
          <w:kern w:val="2"/>
          <w:sz w:val="21"/>
          <w:szCs w:val="22"/>
        </w:rPr>
        <w:t>。</w:t>
      </w:r>
      <w:r w:rsidR="00F22275" w:rsidRPr="0034139E">
        <w:rPr>
          <w:rFonts w:ascii="SimSun" w:hAnsi="SimSun" w:cs="Times New Roman"/>
          <w:color w:val="000000"/>
          <w:kern w:val="2"/>
          <w:sz w:val="21"/>
          <w:szCs w:val="22"/>
        </w:rPr>
        <w:t>WIPO</w:t>
      </w:r>
      <w:r w:rsidR="0076121E" w:rsidRPr="0034139E">
        <w:rPr>
          <w:rFonts w:ascii="SimSun" w:hAnsi="SimSun" w:cs="Times New Roman" w:hint="eastAsia"/>
          <w:color w:val="000000"/>
          <w:kern w:val="2"/>
          <w:sz w:val="21"/>
          <w:szCs w:val="22"/>
        </w:rPr>
        <w:t xml:space="preserve"> DAS</w:t>
      </w:r>
      <w:r w:rsidRPr="0034139E">
        <w:rPr>
          <w:rFonts w:ascii="SimSun" w:hAnsi="SimSun" w:cs="Times New Roman"/>
          <w:color w:val="000000"/>
          <w:kern w:val="2"/>
          <w:sz w:val="21"/>
          <w:szCs w:val="22"/>
        </w:rPr>
        <w:t>就使用了这种数字签名。在没有这类完整性控制措施的情况下，知识产权信息传输期间就可能发生有意或无意的更改情况。因此，知识产权局应同意建立安全的参照架构，通过使用数字签名和集中式或有专人管理的“公钥基础设施”（PKI），确保数据的完整性、真实性和不可抵赖性。</w:t>
      </w:r>
    </w:p>
    <w:p w:rsidR="00DA0F78" w:rsidRPr="0034139E" w:rsidRDefault="00D40A28" w:rsidP="00244155">
      <w:pPr>
        <w:overflowPunct w:val="0"/>
        <w:spacing w:afterLines="50" w:after="120" w:line="340" w:lineRule="atLeast"/>
        <w:ind w:left="567"/>
        <w:jc w:val="both"/>
        <w:rPr>
          <w:rFonts w:ascii="SimSun" w:hAnsi="SimSun"/>
          <w:bCs/>
          <w:sz w:val="21"/>
          <w:szCs w:val="26"/>
          <w:u w:val="single"/>
        </w:rPr>
      </w:pPr>
      <w:r>
        <w:rPr>
          <w:rFonts w:ascii="SimSun" w:hAnsi="SimSun"/>
          <w:bCs/>
          <w:sz w:val="21"/>
          <w:szCs w:val="26"/>
          <w:u w:val="single"/>
        </w:rPr>
        <w:t>建　议</w:t>
      </w:r>
    </w:p>
    <w:p w:rsidR="00DA0F78" w:rsidRPr="0034139E" w:rsidRDefault="00DA0F78" w:rsidP="00244155">
      <w:pPr>
        <w:overflowPunct w:val="0"/>
        <w:spacing w:afterLines="50" w:after="120" w:line="340" w:lineRule="atLeast"/>
        <w:ind w:left="567"/>
        <w:jc w:val="both"/>
        <w:rPr>
          <w:rFonts w:ascii="SimSun" w:hAnsi="SimSun"/>
          <w:sz w:val="21"/>
        </w:rPr>
      </w:pPr>
      <w:r w:rsidRPr="0034139E">
        <w:rPr>
          <w:rFonts w:ascii="SimSun" w:hAnsi="SimSun" w:cs="Times New Roman" w:hint="eastAsia"/>
          <w:color w:val="000000"/>
          <w:kern w:val="2"/>
          <w:sz w:val="21"/>
          <w:szCs w:val="22"/>
          <w:u w:val="single"/>
        </w:rPr>
        <w:t>建议</w:t>
      </w:r>
      <w:r w:rsidRPr="0034139E">
        <w:rPr>
          <w:rFonts w:ascii="SimSun" w:hAnsi="SimSun" w:cs="Times New Roman"/>
          <w:color w:val="000000"/>
          <w:kern w:val="2"/>
          <w:sz w:val="21"/>
          <w:szCs w:val="22"/>
          <w:u w:val="single"/>
        </w:rPr>
        <w:t>36</w:t>
      </w:r>
      <w:r w:rsidR="00B442DC" w:rsidRPr="009102AC">
        <w:rPr>
          <w:rFonts w:ascii="SimSun" w:hAnsi="SimSun" w:hint="eastAsia"/>
          <w:sz w:val="21"/>
        </w:rPr>
        <w:t>：</w:t>
      </w:r>
      <w:r w:rsidRPr="0034139E">
        <w:rPr>
          <w:rFonts w:ascii="SimSun" w:hAnsi="SimSun" w:cs="Times New Roman"/>
          <w:color w:val="000000"/>
          <w:kern w:val="2"/>
          <w:sz w:val="21"/>
          <w:szCs w:val="22"/>
        </w:rPr>
        <w:t>制定诸如ISO/IEC 27001之类的国际信息安全标准，作为知识产权局显示其合理保障内部控制有效性的手段。如知识产权局必须满足其所在国的国内信息安全标准的，可提供国际标准的映射，以显示其拥有健全的信息安全管理体系。对于外部云服务提供商，还应根据云安</w:t>
      </w:r>
      <w:r w:rsidRPr="0034139E">
        <w:rPr>
          <w:rFonts w:ascii="SimSun" w:hAnsi="SimSun" w:cs="Times New Roman"/>
          <w:color w:val="000000"/>
          <w:kern w:val="2"/>
          <w:sz w:val="21"/>
          <w:szCs w:val="22"/>
        </w:rPr>
        <w:lastRenderedPageBreak/>
        <w:t>全联盟STAR或SSAE（ISAE）SOC</w:t>
      </w:r>
      <w:r w:rsidR="00711026">
        <w:rPr>
          <w:rFonts w:ascii="SimSun" w:hAnsi="SimSun" w:cs="Times New Roman" w:hint="eastAsia"/>
          <w:color w:val="000000"/>
          <w:kern w:val="2"/>
          <w:sz w:val="21"/>
          <w:szCs w:val="22"/>
        </w:rPr>
        <w:t xml:space="preserve"> </w:t>
      </w:r>
      <w:r w:rsidRPr="0034139E">
        <w:rPr>
          <w:rFonts w:ascii="SimSun" w:hAnsi="SimSun" w:cs="Times New Roman"/>
          <w:color w:val="000000"/>
          <w:kern w:val="2"/>
          <w:sz w:val="21"/>
          <w:szCs w:val="22"/>
        </w:rPr>
        <w:t>II</w:t>
      </w:r>
      <w:r w:rsidR="00711026">
        <w:rPr>
          <w:rFonts w:ascii="SimSun" w:hAnsi="SimSun" w:cs="Times New Roman" w:hint="eastAsia"/>
          <w:color w:val="000000"/>
          <w:kern w:val="2"/>
          <w:sz w:val="21"/>
          <w:szCs w:val="22"/>
        </w:rPr>
        <w:t xml:space="preserve"> Type </w:t>
      </w:r>
      <w:r w:rsidRPr="0034139E">
        <w:rPr>
          <w:rFonts w:ascii="SimSun" w:hAnsi="SimSun" w:cs="Times New Roman"/>
          <w:color w:val="000000"/>
          <w:kern w:val="2"/>
          <w:sz w:val="21"/>
          <w:szCs w:val="22"/>
        </w:rPr>
        <w:t>2规定的标准制定基本的认证和独立审计制度，作为云信息安全的保障。</w:t>
      </w:r>
    </w:p>
    <w:p w:rsidR="00DA0F78" w:rsidRPr="0034139E" w:rsidRDefault="00DA0F78" w:rsidP="00244155">
      <w:pPr>
        <w:overflowPunct w:val="0"/>
        <w:spacing w:afterLines="50" w:after="120" w:line="340" w:lineRule="atLeast"/>
        <w:ind w:left="567"/>
        <w:jc w:val="both"/>
        <w:rPr>
          <w:rFonts w:ascii="SimSun" w:hAnsi="SimSun"/>
          <w:sz w:val="21"/>
        </w:rPr>
      </w:pPr>
      <w:r w:rsidRPr="0034139E">
        <w:rPr>
          <w:rFonts w:ascii="SimSun" w:hAnsi="SimSun" w:cs="Times New Roman" w:hint="eastAsia"/>
          <w:color w:val="000000"/>
          <w:kern w:val="2"/>
          <w:sz w:val="21"/>
          <w:szCs w:val="22"/>
          <w:u w:val="single"/>
        </w:rPr>
        <w:t>建议</w:t>
      </w:r>
      <w:r w:rsidRPr="0034139E">
        <w:rPr>
          <w:rFonts w:ascii="SimSun" w:hAnsi="SimSun" w:cs="Times New Roman"/>
          <w:color w:val="000000"/>
          <w:kern w:val="2"/>
          <w:sz w:val="21"/>
          <w:szCs w:val="22"/>
          <w:u w:val="single"/>
        </w:rPr>
        <w:t>37</w:t>
      </w:r>
      <w:r w:rsidR="00B442DC" w:rsidRPr="009102AC">
        <w:rPr>
          <w:rFonts w:ascii="SimSun" w:hAnsi="SimSun" w:hint="eastAsia"/>
          <w:sz w:val="21"/>
        </w:rPr>
        <w:t>：</w:t>
      </w:r>
      <w:r w:rsidR="00C64C65" w:rsidRPr="00244155">
        <w:rPr>
          <w:rFonts w:ascii="SimSun" w:hAnsi="SimSun" w:cs="Times New Roman" w:hint="eastAsia"/>
          <w:color w:val="000000"/>
          <w:kern w:val="2"/>
          <w:sz w:val="21"/>
          <w:szCs w:val="22"/>
        </w:rPr>
        <w:t>考虑</w:t>
      </w:r>
      <w:r w:rsidRPr="00244155">
        <w:rPr>
          <w:rFonts w:ascii="SimSun" w:hAnsi="SimSun" w:cs="Times New Roman"/>
          <w:color w:val="000000"/>
          <w:kern w:val="2"/>
          <w:sz w:val="21"/>
          <w:szCs w:val="22"/>
        </w:rPr>
        <w:t>在数据</w:t>
      </w:r>
      <w:r w:rsidRPr="00B667AB">
        <w:rPr>
          <w:rFonts w:ascii="SimSun" w:hAnsi="SimSun"/>
          <w:sz w:val="21"/>
          <w:szCs w:val="22"/>
        </w:rPr>
        <w:t>交换</w:t>
      </w:r>
      <w:r w:rsidRPr="00244155">
        <w:rPr>
          <w:rFonts w:ascii="SimSun" w:hAnsi="SimSun" w:cs="Times New Roman"/>
          <w:color w:val="000000"/>
          <w:kern w:val="2"/>
          <w:sz w:val="21"/>
          <w:szCs w:val="22"/>
        </w:rPr>
        <w:t>协议的</w:t>
      </w:r>
      <w:r w:rsidR="0037612A">
        <w:rPr>
          <w:rFonts w:ascii="SimSun" w:hAnsi="SimSun" w:cs="Times New Roman" w:hint="eastAsia"/>
          <w:color w:val="000000"/>
          <w:kern w:val="2"/>
          <w:sz w:val="21"/>
          <w:szCs w:val="22"/>
        </w:rPr>
        <w:t>审查</w:t>
      </w:r>
      <w:r w:rsidRPr="00244155">
        <w:rPr>
          <w:rFonts w:ascii="SimSun" w:hAnsi="SimSun" w:cs="Times New Roman"/>
          <w:color w:val="000000"/>
          <w:kern w:val="2"/>
          <w:sz w:val="21"/>
          <w:szCs w:val="22"/>
        </w:rPr>
        <w:t>中增加标准化安全机制。</w:t>
      </w:r>
    </w:p>
    <w:p w:rsidR="00DA0F78" w:rsidRPr="006575B1" w:rsidRDefault="00DA0F78" w:rsidP="006575B1">
      <w:pPr>
        <w:pStyle w:val="Heading1"/>
        <w:overflowPunct w:val="0"/>
        <w:spacing w:beforeLines="100" w:afterLines="50" w:after="120" w:line="340" w:lineRule="atLeast"/>
        <w:rPr>
          <w:rFonts w:ascii="SimSun" w:hAnsi="SimSun"/>
          <w:sz w:val="21"/>
        </w:rPr>
      </w:pPr>
      <w:r w:rsidRPr="006575B1">
        <w:rPr>
          <w:rFonts w:ascii="SimSun" w:hAnsi="SimSun"/>
          <w:sz w:val="21"/>
        </w:rPr>
        <w:t>云基础设</w:t>
      </w:r>
      <w:r w:rsidR="0037612A">
        <w:rPr>
          <w:rFonts w:ascii="SimSun" w:hAnsi="SimSun" w:hint="eastAsia"/>
          <w:sz w:val="21"/>
        </w:rPr>
        <w:t>施</w:t>
      </w:r>
      <w:r w:rsidRPr="006575B1">
        <w:rPr>
          <w:rFonts w:ascii="SimSun" w:hAnsi="SimSun"/>
          <w:sz w:val="21"/>
        </w:rPr>
        <w:t>托管</w:t>
      </w:r>
    </w:p>
    <w:p w:rsidR="00DA0F78" w:rsidRPr="0034139E" w:rsidRDefault="00F811DA"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sz w:val="21"/>
        </w:rPr>
        <w:t>实施先进</w:t>
      </w:r>
      <w:r w:rsidR="00B667AB">
        <w:rPr>
          <w:rFonts w:ascii="SimSun" w:hAnsi="SimSun"/>
          <w:sz w:val="21"/>
        </w:rPr>
        <w:t>信通技术</w:t>
      </w:r>
      <w:r w:rsidRPr="0034139E">
        <w:rPr>
          <w:rFonts w:ascii="SimSun" w:hAnsi="SimSun"/>
          <w:sz w:val="21"/>
        </w:rPr>
        <w:t>系统的一大障碍，往往是</w:t>
      </w:r>
      <w:r w:rsidR="00B667AB">
        <w:rPr>
          <w:rFonts w:ascii="SimSun" w:hAnsi="SimSun" w:hint="eastAsia"/>
          <w:sz w:val="21"/>
        </w:rPr>
        <w:t>信通技术</w:t>
      </w:r>
      <w:r w:rsidRPr="0034139E">
        <w:rPr>
          <w:rFonts w:ascii="SimSun" w:hAnsi="SimSun"/>
          <w:sz w:val="21"/>
        </w:rPr>
        <w:t>的基础</w:t>
      </w:r>
      <w:r w:rsidRPr="0034139E">
        <w:rPr>
          <w:rFonts w:ascii="SimSun" w:hAnsi="SimSun" w:hint="eastAsia"/>
          <w:sz w:val="21"/>
        </w:rPr>
        <w:t>设施</w:t>
      </w:r>
      <w:r w:rsidR="00DA0F78" w:rsidRPr="0034139E">
        <w:rPr>
          <w:rFonts w:ascii="SimSun" w:hAnsi="SimSun"/>
          <w:sz w:val="21"/>
        </w:rPr>
        <w:t>问题，对于小型知识产权局尤</w:t>
      </w:r>
      <w:r w:rsidRPr="0034139E">
        <w:rPr>
          <w:rFonts w:ascii="SimSun" w:hAnsi="SimSun" w:hint="eastAsia"/>
          <w:sz w:val="21"/>
        </w:rPr>
        <w:t>为如此</w:t>
      </w:r>
      <w:r w:rsidR="00DA0F78" w:rsidRPr="0034139E">
        <w:rPr>
          <w:rFonts w:ascii="SimSun" w:hAnsi="SimSun"/>
          <w:sz w:val="21"/>
        </w:rPr>
        <w:t>。</w:t>
      </w:r>
      <w:r w:rsidR="00DA0F78" w:rsidRPr="0034139E">
        <w:rPr>
          <w:rFonts w:ascii="SimSun" w:hAnsi="SimSun" w:cs="Times New Roman"/>
          <w:color w:val="000000"/>
          <w:kern w:val="2"/>
          <w:sz w:val="21"/>
          <w:szCs w:val="22"/>
        </w:rPr>
        <w:t>虽然</w:t>
      </w:r>
      <w:r w:rsidR="00B667AB">
        <w:rPr>
          <w:rFonts w:ascii="SimSun" w:hAnsi="SimSun" w:cs="Times New Roman" w:hint="eastAsia"/>
          <w:color w:val="000000"/>
          <w:kern w:val="2"/>
          <w:sz w:val="21"/>
          <w:szCs w:val="22"/>
        </w:rPr>
        <w:t>信通技术</w:t>
      </w:r>
      <w:r w:rsidR="00DA0F78" w:rsidRPr="0034139E">
        <w:rPr>
          <w:rFonts w:ascii="SimSun" w:hAnsi="SimSun" w:cs="Times New Roman"/>
          <w:color w:val="000000"/>
          <w:kern w:val="2"/>
          <w:sz w:val="21"/>
          <w:szCs w:val="22"/>
        </w:rPr>
        <w:t>设备已经实现商品化，而且价格也相当亲民，但知识产权局仍然需要投资配备数据中心、供电电源等基础设施，以及支持基础设施的安全</w:t>
      </w:r>
      <w:r w:rsidR="0037612A">
        <w:rPr>
          <w:rFonts w:ascii="SimSun" w:hAnsi="SimSun" w:cs="Times New Roman" w:hint="eastAsia"/>
          <w:color w:val="000000"/>
          <w:kern w:val="2"/>
          <w:sz w:val="21"/>
          <w:szCs w:val="22"/>
        </w:rPr>
        <w:t>和</w:t>
      </w:r>
      <w:r w:rsidR="00DA0F78" w:rsidRPr="0034139E">
        <w:rPr>
          <w:rFonts w:ascii="SimSun" w:hAnsi="SimSun" w:cs="Times New Roman"/>
          <w:color w:val="000000"/>
          <w:kern w:val="2"/>
          <w:sz w:val="21"/>
          <w:szCs w:val="22"/>
        </w:rPr>
        <w:t>技术人员。由于这些障碍，不少小型知识产权局仍在使用可靠性低、陈旧</w:t>
      </w:r>
      <w:r w:rsidR="00DA0F78" w:rsidRPr="0034139E">
        <w:rPr>
          <w:rFonts w:ascii="SimSun" w:hAnsi="SimSun" w:cs="Times New Roman" w:hint="eastAsia"/>
          <w:color w:val="000000"/>
          <w:kern w:val="2"/>
          <w:sz w:val="21"/>
          <w:szCs w:val="22"/>
        </w:rPr>
        <w:t>落后</w:t>
      </w:r>
      <w:r w:rsidR="00DA0F78" w:rsidRPr="0034139E">
        <w:rPr>
          <w:rFonts w:ascii="SimSun" w:hAnsi="SimSun" w:cs="Times New Roman"/>
          <w:color w:val="000000"/>
          <w:kern w:val="2"/>
          <w:sz w:val="21"/>
          <w:szCs w:val="22"/>
        </w:rPr>
        <w:t>、配套不全的</w:t>
      </w:r>
      <w:r w:rsidR="00B667AB">
        <w:rPr>
          <w:rFonts w:ascii="SimSun" w:hAnsi="SimSun" w:cs="Times New Roman" w:hint="eastAsia"/>
          <w:color w:val="000000"/>
          <w:kern w:val="2"/>
          <w:sz w:val="21"/>
          <w:szCs w:val="22"/>
        </w:rPr>
        <w:t>信通技术</w:t>
      </w:r>
      <w:r w:rsidR="00DA0F78" w:rsidRPr="0034139E">
        <w:rPr>
          <w:rFonts w:ascii="SimSun" w:hAnsi="SimSun" w:cs="Times New Roman"/>
          <w:color w:val="000000"/>
          <w:kern w:val="2"/>
          <w:sz w:val="21"/>
          <w:szCs w:val="22"/>
        </w:rPr>
        <w:t>基础设施。</w:t>
      </w:r>
    </w:p>
    <w:p w:rsidR="00DA0F78" w:rsidRPr="0034139E" w:rsidRDefault="00DA0F78"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sz w:val="21"/>
        </w:rPr>
        <w:t>随着云计算的出现，小型知识产权局能充分利用云服务提供商提供的大规模经济效应。</w:t>
      </w:r>
      <w:r w:rsidR="00F811DA" w:rsidRPr="0034139E">
        <w:rPr>
          <w:rFonts w:ascii="SimSun" w:hAnsi="SimSun" w:cs="Times New Roman"/>
          <w:color w:val="000000"/>
          <w:kern w:val="2"/>
          <w:sz w:val="21"/>
          <w:szCs w:val="22"/>
        </w:rPr>
        <w:t>相对于自有数据中心而言，</w:t>
      </w:r>
      <w:r w:rsidR="00B667AB">
        <w:rPr>
          <w:rFonts w:ascii="SimSun" w:hAnsi="SimSun" w:cs="Times New Roman"/>
          <w:color w:val="000000"/>
          <w:kern w:val="2"/>
          <w:sz w:val="21"/>
          <w:szCs w:val="22"/>
        </w:rPr>
        <w:t>信通技术</w:t>
      </w:r>
      <w:r w:rsidR="00F811DA" w:rsidRPr="0034139E">
        <w:rPr>
          <w:rFonts w:ascii="SimSun" w:hAnsi="SimSun" w:cs="Times New Roman"/>
          <w:color w:val="000000"/>
          <w:kern w:val="2"/>
          <w:sz w:val="21"/>
          <w:szCs w:val="22"/>
        </w:rPr>
        <w:t>系统托管的费用可能只是冰</w:t>
      </w:r>
      <w:r w:rsidR="00F811DA" w:rsidRPr="0034139E">
        <w:rPr>
          <w:rFonts w:ascii="SimSun" w:hAnsi="SimSun" w:cs="Times New Roman" w:hint="eastAsia"/>
          <w:color w:val="000000"/>
          <w:kern w:val="2"/>
          <w:sz w:val="21"/>
          <w:szCs w:val="22"/>
        </w:rPr>
        <w:t>山</w:t>
      </w:r>
      <w:r w:rsidRPr="0034139E">
        <w:rPr>
          <w:rFonts w:ascii="SimSun" w:hAnsi="SimSun" w:cs="Times New Roman"/>
          <w:color w:val="000000"/>
          <w:kern w:val="2"/>
          <w:sz w:val="21"/>
          <w:szCs w:val="22"/>
        </w:rPr>
        <w:t>一角。另外，由于云计算具有极大的灵活性，而且还能利用现代安全技术，使知识产权局得以向利益相关者提供世界级别的服务，尤其是在线和无纸化服务。</w:t>
      </w:r>
    </w:p>
    <w:p w:rsidR="00DA0F78" w:rsidRPr="0034139E" w:rsidRDefault="00DA0F78"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sz w:val="21"/>
        </w:rPr>
        <w:t>不过，</w:t>
      </w:r>
      <w:r w:rsidRPr="009D0855">
        <w:rPr>
          <w:rFonts w:ascii="SimSun" w:hAnsi="SimSun"/>
          <w:sz w:val="21"/>
          <w:szCs w:val="22"/>
        </w:rPr>
        <w:t>知识产权</w:t>
      </w:r>
      <w:r w:rsidRPr="0034139E">
        <w:rPr>
          <w:rFonts w:ascii="SimSun" w:hAnsi="SimSun"/>
          <w:sz w:val="21"/>
        </w:rPr>
        <w:t>局在转向云计算环境前，还应考虑一系列新的难题：</w:t>
      </w:r>
    </w:p>
    <w:p w:rsidR="00DA0F78" w:rsidRPr="0034139E" w:rsidRDefault="005F4FED" w:rsidP="00244155">
      <w:pPr>
        <w:overflowPunct w:val="0"/>
        <w:spacing w:afterLines="50" w:after="120" w:line="340" w:lineRule="atLeast"/>
        <w:ind w:left="567"/>
        <w:jc w:val="both"/>
        <w:rPr>
          <w:rFonts w:ascii="SimSun" w:hAnsi="SimSun"/>
          <w:sz w:val="21"/>
        </w:rPr>
      </w:pPr>
      <w:r>
        <w:rPr>
          <w:rFonts w:ascii="SimSun" w:hAnsi="SimSun" w:hint="eastAsia"/>
          <w:sz w:val="21"/>
        </w:rPr>
        <w:t>a)</w:t>
      </w:r>
      <w:r>
        <w:rPr>
          <w:rFonts w:ascii="SimSun" w:hAnsi="SimSun" w:hint="eastAsia"/>
          <w:sz w:val="21"/>
        </w:rPr>
        <w:tab/>
        <w:t>治理</w:t>
      </w:r>
      <w:r w:rsidR="00DA0F78" w:rsidRPr="0034139E">
        <w:rPr>
          <w:rFonts w:ascii="SimSun" w:hAnsi="SimSun"/>
          <w:sz w:val="21"/>
        </w:rPr>
        <w:t>和法律</w:t>
      </w:r>
      <w:r w:rsidR="00DA0F78" w:rsidRPr="0034139E">
        <w:rPr>
          <w:rFonts w:ascii="SimSun" w:hAnsi="SimSun" w:hint="eastAsia"/>
          <w:sz w:val="21"/>
        </w:rPr>
        <w:t>框架</w:t>
      </w:r>
      <w:r w:rsidR="00DA0F78" w:rsidRPr="0034139E">
        <w:rPr>
          <w:rFonts w:ascii="SimSun" w:hAnsi="SimSun"/>
          <w:sz w:val="21"/>
        </w:rPr>
        <w:t>，包括数据中心的位置和所有权，以及数据保护</w:t>
      </w:r>
      <w:r w:rsidR="0037612A">
        <w:rPr>
          <w:rFonts w:ascii="SimSun" w:hAnsi="SimSun" w:hint="eastAsia"/>
          <w:sz w:val="21"/>
        </w:rPr>
        <w:t>的</w:t>
      </w:r>
      <w:r w:rsidR="00DA0F78" w:rsidRPr="0034139E">
        <w:rPr>
          <w:rFonts w:ascii="SimSun" w:hAnsi="SimSun"/>
          <w:sz w:val="21"/>
        </w:rPr>
        <w:t>保障；</w:t>
      </w:r>
    </w:p>
    <w:p w:rsidR="00DA0F78" w:rsidRPr="0034139E" w:rsidRDefault="005F4FED" w:rsidP="00244155">
      <w:pPr>
        <w:overflowPunct w:val="0"/>
        <w:spacing w:afterLines="50" w:after="120" w:line="340" w:lineRule="atLeast"/>
        <w:ind w:left="567"/>
        <w:jc w:val="both"/>
        <w:rPr>
          <w:rFonts w:ascii="SimSun" w:hAnsi="SimSun"/>
          <w:sz w:val="21"/>
        </w:rPr>
      </w:pPr>
      <w:r>
        <w:rPr>
          <w:rFonts w:ascii="SimSun" w:hAnsi="SimSun" w:hint="eastAsia"/>
          <w:sz w:val="21"/>
        </w:rPr>
        <w:t>b)</w:t>
      </w:r>
      <w:r>
        <w:rPr>
          <w:rFonts w:ascii="SimSun" w:hAnsi="SimSun" w:hint="eastAsia"/>
          <w:sz w:val="21"/>
        </w:rPr>
        <w:tab/>
      </w:r>
      <w:r w:rsidR="00DA0F78" w:rsidRPr="0034139E">
        <w:rPr>
          <w:rFonts w:ascii="SimSun" w:hAnsi="SimSun"/>
          <w:sz w:val="21"/>
        </w:rPr>
        <w:t>需要</w:t>
      </w:r>
      <w:r w:rsidR="00DA0F78" w:rsidRPr="00B667AB">
        <w:rPr>
          <w:rFonts w:ascii="SimSun" w:hAnsi="SimSun"/>
          <w:sz w:val="21"/>
          <w:szCs w:val="22"/>
        </w:rPr>
        <w:t>技术人员</w:t>
      </w:r>
      <w:r w:rsidR="0037612A">
        <w:rPr>
          <w:rFonts w:ascii="SimSun" w:hAnsi="SimSun" w:hint="eastAsia"/>
          <w:sz w:val="21"/>
          <w:szCs w:val="22"/>
        </w:rPr>
        <w:t>来</w:t>
      </w:r>
      <w:r w:rsidR="00DA0F78" w:rsidRPr="0034139E">
        <w:rPr>
          <w:rFonts w:ascii="SimSun" w:hAnsi="SimSun"/>
          <w:sz w:val="21"/>
        </w:rPr>
        <w:t>管理和配置云环境，以便降低成本，提高效益。</w:t>
      </w:r>
      <w:r w:rsidR="00DA0F78" w:rsidRPr="0034139E">
        <w:rPr>
          <w:rFonts w:ascii="SimSun" w:hAnsi="SimSun" w:cs="Times New Roman"/>
          <w:color w:val="000000"/>
          <w:kern w:val="2"/>
          <w:sz w:val="21"/>
          <w:szCs w:val="22"/>
        </w:rPr>
        <w:t>尤其是管理云环境，打造健全的安全性和</w:t>
      </w:r>
      <w:r w:rsidR="0037612A">
        <w:rPr>
          <w:rFonts w:ascii="SimSun" w:hAnsi="SimSun" w:cs="Times New Roman" w:hint="eastAsia"/>
          <w:color w:val="000000"/>
          <w:kern w:val="2"/>
          <w:sz w:val="21"/>
          <w:szCs w:val="22"/>
        </w:rPr>
        <w:t>复原</w:t>
      </w:r>
      <w:r w:rsidR="00DA0F78" w:rsidRPr="0034139E">
        <w:rPr>
          <w:rFonts w:ascii="SimSun" w:hAnsi="SimSun" w:cs="Times New Roman"/>
          <w:color w:val="000000"/>
          <w:kern w:val="2"/>
          <w:sz w:val="21"/>
          <w:szCs w:val="22"/>
        </w:rPr>
        <w:t>能力都需要新技</w:t>
      </w:r>
      <w:r w:rsidR="0037612A">
        <w:rPr>
          <w:rFonts w:ascii="SimSun" w:hAnsi="SimSun" w:cs="Times New Roman" w:hint="eastAsia"/>
          <w:color w:val="000000"/>
          <w:kern w:val="2"/>
          <w:sz w:val="21"/>
          <w:szCs w:val="22"/>
        </w:rPr>
        <w:t>能</w:t>
      </w:r>
      <w:r w:rsidR="00DA0F78" w:rsidRPr="0034139E">
        <w:rPr>
          <w:rFonts w:ascii="SimSun" w:hAnsi="SimSun" w:cs="Times New Roman"/>
          <w:color w:val="000000"/>
          <w:kern w:val="2"/>
          <w:sz w:val="21"/>
          <w:szCs w:val="22"/>
        </w:rPr>
        <w:t>；</w:t>
      </w:r>
    </w:p>
    <w:p w:rsidR="00DA0F78" w:rsidRPr="0034139E" w:rsidRDefault="005F4FED" w:rsidP="00244155">
      <w:pPr>
        <w:overflowPunct w:val="0"/>
        <w:spacing w:afterLines="50" w:after="120" w:line="340" w:lineRule="atLeast"/>
        <w:ind w:left="567"/>
        <w:jc w:val="both"/>
        <w:rPr>
          <w:rFonts w:ascii="SimSun" w:hAnsi="SimSun"/>
          <w:sz w:val="21"/>
        </w:rPr>
      </w:pPr>
      <w:r>
        <w:rPr>
          <w:rFonts w:ascii="SimSun" w:hAnsi="SimSun" w:hint="eastAsia"/>
          <w:sz w:val="21"/>
        </w:rPr>
        <w:t>d)</w:t>
      </w:r>
      <w:r>
        <w:rPr>
          <w:rFonts w:ascii="SimSun" w:hAnsi="SimSun" w:hint="eastAsia"/>
          <w:sz w:val="21"/>
        </w:rPr>
        <w:tab/>
      </w:r>
      <w:r w:rsidR="00DA0F78" w:rsidRPr="0034139E">
        <w:rPr>
          <w:rFonts w:ascii="SimSun" w:hAnsi="SimSun"/>
          <w:sz w:val="21"/>
        </w:rPr>
        <w:t>由于所有的云资源都是通过互联网获取的，知识产权局还需要大带宽，加强互联网联通的可靠性。</w:t>
      </w:r>
    </w:p>
    <w:p w:rsidR="00DA0F78" w:rsidRPr="006575B1" w:rsidRDefault="00DA0F78" w:rsidP="006575B1">
      <w:pPr>
        <w:pStyle w:val="Heading1"/>
        <w:overflowPunct w:val="0"/>
        <w:spacing w:beforeLines="100" w:afterLines="50" w:after="120" w:line="340" w:lineRule="atLeast"/>
        <w:rPr>
          <w:rFonts w:ascii="SimSun" w:hAnsi="SimSun"/>
          <w:sz w:val="21"/>
        </w:rPr>
      </w:pPr>
      <w:r w:rsidRPr="006575B1">
        <w:rPr>
          <w:rFonts w:ascii="SimSun" w:hAnsi="SimSun"/>
          <w:sz w:val="21"/>
        </w:rPr>
        <w:t>国际互联</w:t>
      </w:r>
      <w:r w:rsidR="00B667AB">
        <w:rPr>
          <w:rFonts w:ascii="SimSun" w:hAnsi="SimSun"/>
          <w:sz w:val="21"/>
        </w:rPr>
        <w:t>信通技术</w:t>
      </w:r>
      <w:r w:rsidRPr="006575B1">
        <w:rPr>
          <w:rFonts w:ascii="SimSun" w:hAnsi="SimSun"/>
          <w:sz w:val="21"/>
        </w:rPr>
        <w:t>系统的总体设计</w:t>
      </w:r>
    </w:p>
    <w:p w:rsidR="00DA0F78" w:rsidRPr="0034139E" w:rsidRDefault="00DA0F78"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sz w:val="21"/>
        </w:rPr>
        <w:t>如第一、二部分所述，二者之间具有共同的特点。知识产权局应优化</w:t>
      </w:r>
      <w:r w:rsidR="00B667AB">
        <w:rPr>
          <w:rFonts w:ascii="SimSun" w:hAnsi="SimSun"/>
          <w:sz w:val="21"/>
        </w:rPr>
        <w:t>信通技术</w:t>
      </w:r>
      <w:r w:rsidRPr="0034139E">
        <w:rPr>
          <w:rFonts w:ascii="SimSun" w:hAnsi="SimSun"/>
          <w:sz w:val="21"/>
        </w:rPr>
        <w:t>系统的设计投入，同时兼顾国内和国际</w:t>
      </w:r>
      <w:r w:rsidRPr="009D0855">
        <w:rPr>
          <w:rFonts w:ascii="SimSun" w:hAnsi="SimSun"/>
          <w:sz w:val="21"/>
          <w:szCs w:val="22"/>
        </w:rPr>
        <w:t>应用</w:t>
      </w:r>
      <w:r w:rsidRPr="0034139E">
        <w:rPr>
          <w:rFonts w:ascii="SimSun" w:hAnsi="SimSun"/>
          <w:sz w:val="21"/>
        </w:rPr>
        <w:t>需</w:t>
      </w:r>
      <w:r w:rsidR="00F811DA" w:rsidRPr="0034139E">
        <w:rPr>
          <w:rFonts w:ascii="SimSun" w:hAnsi="SimSun"/>
          <w:sz w:val="21"/>
        </w:rPr>
        <w:t>求。比如，知识产权局在国内阶段形成的知识产权数据，如商标的基</w:t>
      </w:r>
      <w:r w:rsidR="0037612A">
        <w:rPr>
          <w:rFonts w:ascii="SimSun" w:hAnsi="SimSun" w:hint="eastAsia"/>
          <w:sz w:val="21"/>
        </w:rPr>
        <w:t>础</w:t>
      </w:r>
      <w:r w:rsidR="00F811DA" w:rsidRPr="0034139E">
        <w:rPr>
          <w:rFonts w:ascii="SimSun" w:hAnsi="SimSun"/>
          <w:sz w:val="21"/>
        </w:rPr>
        <w:t>注册</w:t>
      </w:r>
      <w:r w:rsidRPr="0034139E">
        <w:rPr>
          <w:rFonts w:ascii="SimSun" w:hAnsi="SimSun"/>
          <w:sz w:val="21"/>
        </w:rPr>
        <w:t>或首次</w:t>
      </w:r>
      <w:r w:rsidR="00F811DA" w:rsidRPr="0034139E">
        <w:rPr>
          <w:rFonts w:ascii="SimSun" w:hAnsi="SimSun" w:hint="eastAsia"/>
          <w:sz w:val="21"/>
        </w:rPr>
        <w:t>提交的</w:t>
      </w:r>
      <w:r w:rsidRPr="0034139E">
        <w:rPr>
          <w:rFonts w:ascii="SimSun" w:hAnsi="SimSun"/>
          <w:sz w:val="21"/>
        </w:rPr>
        <w:t>国内专利</w:t>
      </w:r>
      <w:r w:rsidR="00F811DA" w:rsidRPr="0034139E">
        <w:rPr>
          <w:rFonts w:ascii="SimSun" w:hAnsi="SimSun"/>
          <w:sz w:val="21"/>
        </w:rPr>
        <w:t>申请</w:t>
      </w:r>
      <w:r w:rsidRPr="0034139E">
        <w:rPr>
          <w:rFonts w:ascii="SimSun" w:hAnsi="SimSun"/>
          <w:sz w:val="21"/>
        </w:rPr>
        <w:t>等，有时还会成为</w:t>
      </w:r>
      <w:r w:rsidRPr="0034139E">
        <w:rPr>
          <w:rFonts w:ascii="SimSun" w:hAnsi="SimSun" w:hint="eastAsia"/>
          <w:sz w:val="21"/>
        </w:rPr>
        <w:t>其他</w:t>
      </w:r>
      <w:r w:rsidRPr="0034139E">
        <w:rPr>
          <w:rFonts w:ascii="SimSun" w:hAnsi="SimSun"/>
          <w:sz w:val="21"/>
        </w:rPr>
        <w:t>知识产</w:t>
      </w:r>
      <w:r w:rsidR="00F811DA" w:rsidRPr="0034139E">
        <w:rPr>
          <w:rFonts w:ascii="SimSun" w:hAnsi="SimSun"/>
          <w:sz w:val="21"/>
        </w:rPr>
        <w:t>权局通过巴黎路径或根据《专利合作条约》、《马德里</w:t>
      </w:r>
      <w:r w:rsidR="00C242CD">
        <w:rPr>
          <w:rFonts w:ascii="SimSun" w:hAnsi="SimSun" w:hint="eastAsia"/>
          <w:sz w:val="21"/>
        </w:rPr>
        <w:t>议定书</w:t>
      </w:r>
      <w:r w:rsidR="00F811DA" w:rsidRPr="0034139E">
        <w:rPr>
          <w:rFonts w:ascii="SimSun" w:hAnsi="SimSun"/>
          <w:sz w:val="21"/>
        </w:rPr>
        <w:t>》或《海牙协</w:t>
      </w:r>
      <w:r w:rsidR="00C242CD">
        <w:rPr>
          <w:rFonts w:ascii="SimSun" w:hAnsi="SimSun" w:hint="eastAsia"/>
          <w:sz w:val="21"/>
        </w:rPr>
        <w:t>定</w:t>
      </w:r>
      <w:r w:rsidR="00F811DA" w:rsidRPr="0034139E">
        <w:rPr>
          <w:rFonts w:ascii="SimSun" w:hAnsi="SimSun"/>
          <w:sz w:val="21"/>
        </w:rPr>
        <w:t>》受理国际申请</w:t>
      </w:r>
      <w:r w:rsidRPr="0034139E">
        <w:rPr>
          <w:rFonts w:ascii="SimSun" w:hAnsi="SimSun"/>
          <w:sz w:val="21"/>
        </w:rPr>
        <w:t>的依据。另一方面，国</w:t>
      </w:r>
      <w:r w:rsidR="00F811DA" w:rsidRPr="0034139E">
        <w:rPr>
          <w:rFonts w:ascii="SimSun" w:hAnsi="SimSun"/>
          <w:sz w:val="21"/>
        </w:rPr>
        <w:t>际局处理的知识产权数据还常常会进入某些知识产权局的每一个国内阶段</w:t>
      </w:r>
      <w:r w:rsidRPr="0034139E">
        <w:rPr>
          <w:rFonts w:ascii="SimSun" w:hAnsi="SimSun"/>
          <w:sz w:val="21"/>
        </w:rPr>
        <w:t>，或构成某些知识产权局的商标</w:t>
      </w:r>
      <w:r w:rsidR="00F811DA" w:rsidRPr="0034139E">
        <w:rPr>
          <w:rFonts w:ascii="SimSun" w:hAnsi="SimSun"/>
          <w:sz w:val="21"/>
        </w:rPr>
        <w:t>注册</w:t>
      </w:r>
      <w:r w:rsidRPr="0034139E">
        <w:rPr>
          <w:rFonts w:ascii="SimSun" w:hAnsi="SimSun"/>
          <w:sz w:val="21"/>
        </w:rPr>
        <w:t>记录。</w:t>
      </w:r>
    </w:p>
    <w:p w:rsidR="00DA0F78" w:rsidRPr="0034139E" w:rsidRDefault="00DA0F78"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sz w:val="21"/>
        </w:rPr>
        <w:t>为满足不同知识产权局之间国际协作的业务和法律要求，</w:t>
      </w:r>
      <w:r w:rsidR="00B667AB">
        <w:rPr>
          <w:rFonts w:ascii="SimSun" w:hAnsi="SimSun"/>
          <w:sz w:val="21"/>
        </w:rPr>
        <w:t>信通技术</w:t>
      </w:r>
      <w:r w:rsidRPr="0034139E">
        <w:rPr>
          <w:rFonts w:ascii="SimSun" w:hAnsi="SimSun"/>
          <w:sz w:val="21"/>
        </w:rPr>
        <w:t>策略的制定，必须确保每个知识产权局</w:t>
      </w:r>
      <w:r w:rsidR="00B667AB">
        <w:rPr>
          <w:rFonts w:ascii="SimSun" w:hAnsi="SimSun"/>
          <w:sz w:val="21"/>
        </w:rPr>
        <w:t>信通技术</w:t>
      </w:r>
      <w:r w:rsidRPr="0034139E">
        <w:rPr>
          <w:rFonts w:ascii="SimSun" w:hAnsi="SimSun"/>
          <w:sz w:val="21"/>
        </w:rPr>
        <w:t>系统的总体设计都能以某种方式接入其他知识产权局，尤其是国际局。</w:t>
      </w:r>
    </w:p>
    <w:p w:rsidR="00DA0F78" w:rsidRPr="0034139E" w:rsidRDefault="00DA0F78"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sz w:val="21"/>
        </w:rPr>
        <w:t>如果知识产权局</w:t>
      </w:r>
      <w:r w:rsidR="00B667AB">
        <w:rPr>
          <w:rFonts w:ascii="SimSun" w:hAnsi="SimSun"/>
          <w:sz w:val="21"/>
        </w:rPr>
        <w:t>信通技术</w:t>
      </w:r>
      <w:r w:rsidRPr="0034139E">
        <w:rPr>
          <w:rFonts w:ascii="SimSun" w:hAnsi="SimSun"/>
          <w:sz w:val="21"/>
        </w:rPr>
        <w:t>系统的历史演变可称为由独立的单机系统过渡</w:t>
      </w:r>
      <w:r w:rsidR="00C242CD">
        <w:rPr>
          <w:rFonts w:ascii="SimSun" w:hAnsi="SimSun" w:hint="eastAsia"/>
          <w:sz w:val="21"/>
        </w:rPr>
        <w:t>到</w:t>
      </w:r>
      <w:r w:rsidRPr="0034139E">
        <w:rPr>
          <w:rFonts w:ascii="SimSun" w:hAnsi="SimSun"/>
          <w:sz w:val="21"/>
        </w:rPr>
        <w:t>与其他知识产权局和国际局更加统一的</w:t>
      </w:r>
      <w:r w:rsidR="00B667AB">
        <w:rPr>
          <w:rFonts w:ascii="SimSun" w:hAnsi="SimSun"/>
          <w:sz w:val="21"/>
          <w:szCs w:val="22"/>
        </w:rPr>
        <w:t>信通技术</w:t>
      </w:r>
      <w:r w:rsidRPr="0034139E">
        <w:rPr>
          <w:rFonts w:ascii="SimSun" w:hAnsi="SimSun"/>
          <w:sz w:val="21"/>
        </w:rPr>
        <w:t>系统，那么，我们实际上是正在向第二阶段或第三阶段过渡。具体如下：</w:t>
      </w:r>
    </w:p>
    <w:p w:rsidR="00DA0F78" w:rsidRPr="0034139E" w:rsidRDefault="005F4FED" w:rsidP="00244155">
      <w:pPr>
        <w:overflowPunct w:val="0"/>
        <w:spacing w:afterLines="50" w:after="120" w:line="340" w:lineRule="atLeast"/>
        <w:ind w:left="567"/>
        <w:jc w:val="both"/>
        <w:rPr>
          <w:rFonts w:ascii="SimSun" w:hAnsi="SimSun"/>
          <w:sz w:val="21"/>
        </w:rPr>
      </w:pPr>
      <w:r>
        <w:rPr>
          <w:rFonts w:ascii="SimSun" w:hAnsi="SimSun" w:hint="eastAsia"/>
          <w:sz w:val="21"/>
        </w:rPr>
        <w:t>a)</w:t>
      </w:r>
      <w:r>
        <w:rPr>
          <w:rFonts w:ascii="SimSun" w:hAnsi="SimSun" w:hint="eastAsia"/>
          <w:sz w:val="21"/>
        </w:rPr>
        <w:tab/>
      </w:r>
      <w:r w:rsidR="00DA0F78" w:rsidRPr="0034139E">
        <w:rPr>
          <w:rFonts w:ascii="SimSun" w:hAnsi="SimSun"/>
          <w:sz w:val="21"/>
        </w:rPr>
        <w:t>第一</w:t>
      </w:r>
      <w:r w:rsidR="00DA0F78" w:rsidRPr="0034139E">
        <w:rPr>
          <w:rFonts w:ascii="SimSun" w:hAnsi="SimSun" w:hint="eastAsia"/>
          <w:sz w:val="21"/>
        </w:rPr>
        <w:t>阶段（独立模式）：</w:t>
      </w:r>
      <w:r w:rsidR="00DA0F78" w:rsidRPr="0034139E">
        <w:rPr>
          <w:rFonts w:ascii="SimSun" w:hAnsi="SimSun"/>
          <w:sz w:val="21"/>
        </w:rPr>
        <w:t>完全独立的知</w:t>
      </w:r>
      <w:r w:rsidR="00DA0F78" w:rsidRPr="0034139E">
        <w:rPr>
          <w:rFonts w:ascii="SimSun" w:hAnsi="SimSun" w:hint="eastAsia"/>
          <w:sz w:val="21"/>
        </w:rPr>
        <w:t>识产权局，采用单机</w:t>
      </w:r>
      <w:r w:rsidR="00B667AB">
        <w:rPr>
          <w:rFonts w:ascii="SimSun" w:hAnsi="SimSun"/>
          <w:sz w:val="21"/>
        </w:rPr>
        <w:t>信通技术</w:t>
      </w:r>
      <w:r w:rsidR="00DA0F78" w:rsidRPr="0034139E">
        <w:rPr>
          <w:rFonts w:ascii="SimSun" w:hAnsi="SimSun"/>
          <w:sz w:val="21"/>
        </w:rPr>
        <w:t>系</w:t>
      </w:r>
      <w:r w:rsidR="00DA0F78" w:rsidRPr="0034139E">
        <w:rPr>
          <w:rFonts w:ascii="SimSun" w:hAnsi="SimSun" w:hint="eastAsia"/>
          <w:sz w:val="21"/>
        </w:rPr>
        <w:t>统，与其他知识产权局或国际局均不存在联通；</w:t>
      </w:r>
    </w:p>
    <w:p w:rsidR="00DA0F78" w:rsidRPr="0034139E" w:rsidRDefault="005F4FED" w:rsidP="00244155">
      <w:pPr>
        <w:overflowPunct w:val="0"/>
        <w:spacing w:afterLines="50" w:after="120" w:line="340" w:lineRule="atLeast"/>
        <w:ind w:left="567"/>
        <w:jc w:val="both"/>
        <w:rPr>
          <w:rFonts w:ascii="SimSun" w:hAnsi="SimSun"/>
          <w:sz w:val="21"/>
        </w:rPr>
      </w:pPr>
      <w:r>
        <w:rPr>
          <w:rFonts w:ascii="SimSun" w:hAnsi="SimSun" w:hint="eastAsia"/>
          <w:sz w:val="21"/>
        </w:rPr>
        <w:t>b)</w:t>
      </w:r>
      <w:r>
        <w:rPr>
          <w:rFonts w:ascii="SimSun" w:hAnsi="SimSun" w:hint="eastAsia"/>
          <w:sz w:val="21"/>
        </w:rPr>
        <w:tab/>
      </w:r>
      <w:r w:rsidR="00DA0F78" w:rsidRPr="0034139E">
        <w:rPr>
          <w:rFonts w:ascii="SimSun" w:hAnsi="SimSun"/>
          <w:sz w:val="21"/>
        </w:rPr>
        <w:t>第二阶段（</w:t>
      </w:r>
      <w:r w:rsidR="00DA0F78" w:rsidRPr="00244155">
        <w:rPr>
          <w:rFonts w:ascii="SimSun" w:hAnsi="SimSun"/>
          <w:sz w:val="21"/>
          <w:szCs w:val="22"/>
        </w:rPr>
        <w:t>协作</w:t>
      </w:r>
      <w:r w:rsidR="00DA0F78" w:rsidRPr="0034139E">
        <w:rPr>
          <w:rFonts w:ascii="SimSun" w:hAnsi="SimSun"/>
          <w:sz w:val="21"/>
        </w:rPr>
        <w:t>模式）：</w:t>
      </w:r>
      <w:r w:rsidR="00DA0F78" w:rsidRPr="0034139E">
        <w:rPr>
          <w:rFonts w:ascii="SimSun" w:hAnsi="SimSun" w:cs="Times New Roman"/>
          <w:color w:val="000000"/>
          <w:kern w:val="2"/>
          <w:sz w:val="21"/>
          <w:szCs w:val="22"/>
        </w:rPr>
        <w:t>知识产权局通过有限的对外联通，与其他知识产权局和国际局进行点对点及手动处理式知识产权信息的传输；</w:t>
      </w:r>
    </w:p>
    <w:p w:rsidR="00DA0F78" w:rsidRPr="0034139E" w:rsidRDefault="005F4FED" w:rsidP="00244155">
      <w:pPr>
        <w:overflowPunct w:val="0"/>
        <w:spacing w:afterLines="50" w:after="120" w:line="340" w:lineRule="atLeast"/>
        <w:ind w:left="567"/>
        <w:jc w:val="both"/>
        <w:rPr>
          <w:rFonts w:ascii="SimSun" w:hAnsi="SimSun"/>
          <w:sz w:val="21"/>
        </w:rPr>
      </w:pPr>
      <w:r>
        <w:rPr>
          <w:rFonts w:ascii="SimSun" w:hAnsi="SimSun" w:hint="eastAsia"/>
          <w:sz w:val="21"/>
        </w:rPr>
        <w:t>c)</w:t>
      </w:r>
      <w:r>
        <w:rPr>
          <w:rFonts w:ascii="SimSun" w:hAnsi="SimSun" w:hint="eastAsia"/>
          <w:sz w:val="21"/>
        </w:rPr>
        <w:tab/>
      </w:r>
      <w:r w:rsidR="00DA0F78" w:rsidRPr="0034139E">
        <w:rPr>
          <w:rFonts w:ascii="SimSun" w:hAnsi="SimSun"/>
          <w:sz w:val="21"/>
        </w:rPr>
        <w:t>第三阶段（联通模式）：</w:t>
      </w:r>
      <w:r w:rsidR="00DA0F78" w:rsidRPr="0034139E">
        <w:rPr>
          <w:rFonts w:ascii="SimSun" w:hAnsi="SimSun" w:cs="Times New Roman"/>
          <w:color w:val="000000"/>
          <w:kern w:val="2"/>
          <w:sz w:val="21"/>
          <w:szCs w:val="22"/>
        </w:rPr>
        <w:t>知识产权局通过多重联通，与其他知识产权局和国际局进行知识产权数据的M2M式传输。</w:t>
      </w:r>
    </w:p>
    <w:p w:rsidR="00DA0F78" w:rsidRPr="0034139E" w:rsidRDefault="00DA0F78"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sz w:val="21"/>
        </w:rPr>
        <w:lastRenderedPageBreak/>
        <w:t>理论上而言，还需要一个完全整合模式的阶段，才可能进一步加深知识产权局之间的多重联通，将知识产权局接入</w:t>
      </w:r>
      <w:r w:rsidR="00EA50FC">
        <w:rPr>
          <w:rFonts w:ascii="SimSun" w:hAnsi="SimSun"/>
          <w:sz w:val="21"/>
        </w:rPr>
        <w:t>产权组织</w:t>
      </w:r>
      <w:r w:rsidRPr="0034139E">
        <w:rPr>
          <w:rFonts w:ascii="SimSun" w:hAnsi="SimSun"/>
          <w:sz w:val="21"/>
        </w:rPr>
        <w:t>的全球化共享平台，无需管理自己的</w:t>
      </w:r>
      <w:r w:rsidR="00B667AB">
        <w:rPr>
          <w:rFonts w:ascii="SimSun" w:hAnsi="SimSun"/>
          <w:sz w:val="21"/>
        </w:rPr>
        <w:t>信通技术</w:t>
      </w:r>
      <w:r w:rsidRPr="0034139E">
        <w:rPr>
          <w:rFonts w:ascii="SimSun" w:hAnsi="SimSun"/>
          <w:sz w:val="21"/>
        </w:rPr>
        <w:t>系统即可管理知识产权数据，同时保证其</w:t>
      </w:r>
      <w:r w:rsidR="00B667AB">
        <w:rPr>
          <w:rFonts w:ascii="SimSun" w:hAnsi="SimSun"/>
          <w:sz w:val="21"/>
        </w:rPr>
        <w:t>信通技术</w:t>
      </w:r>
      <w:r w:rsidRPr="0034139E">
        <w:rPr>
          <w:rFonts w:ascii="SimSun" w:hAnsi="SimSun"/>
          <w:sz w:val="21"/>
        </w:rPr>
        <w:t>系统能专</w:t>
      </w:r>
      <w:r w:rsidR="00765A3F" w:rsidRPr="0034139E">
        <w:rPr>
          <w:rFonts w:ascii="SimSun" w:hAnsi="SimSun"/>
          <w:sz w:val="21"/>
        </w:rPr>
        <w:t>用于国内业务。不过，某些知识产权局因其国内政策所限，可能不会</w:t>
      </w:r>
      <w:r w:rsidR="00765A3F" w:rsidRPr="0034139E">
        <w:rPr>
          <w:rFonts w:ascii="SimSun" w:hAnsi="SimSun" w:hint="eastAsia"/>
          <w:sz w:val="21"/>
        </w:rPr>
        <w:t>接受</w:t>
      </w:r>
      <w:r w:rsidRPr="0034139E">
        <w:rPr>
          <w:rFonts w:ascii="SimSun" w:hAnsi="SimSun"/>
          <w:sz w:val="21"/>
        </w:rPr>
        <w:t>这一阶段；而对于其他知识产权局而言，尤其是资源有限的小型知识产权局，则会觉得完全整合模式更加经济实用，效率更高，更能接受。</w:t>
      </w:r>
    </w:p>
    <w:p w:rsidR="00DA0F78" w:rsidRPr="0034139E" w:rsidRDefault="00DA0F78"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sz w:val="21"/>
        </w:rPr>
        <w:t>无论是哪个阶段，都可能、也应该探讨一个问题：是否能够共享某个知识产权局研发的共用工具、或国际局专为</w:t>
      </w:r>
      <w:r w:rsidRPr="0034139E">
        <w:rPr>
          <w:rFonts w:ascii="SimSun" w:hAnsi="SimSun" w:hint="eastAsia"/>
          <w:sz w:val="21"/>
        </w:rPr>
        <w:t>所有</w:t>
      </w:r>
      <w:r w:rsidRPr="009D0855">
        <w:rPr>
          <w:rFonts w:ascii="SimSun" w:hAnsi="SimSun"/>
          <w:sz w:val="21"/>
          <w:szCs w:val="22"/>
        </w:rPr>
        <w:t>知识产权</w:t>
      </w:r>
      <w:r w:rsidRPr="0034139E">
        <w:rPr>
          <w:rFonts w:ascii="SimSun" w:hAnsi="SimSun"/>
          <w:sz w:val="21"/>
        </w:rPr>
        <w:t>局开发的共用工具？尤其是资源有限、没有财力开发自有</w:t>
      </w:r>
      <w:r w:rsidR="00B667AB">
        <w:rPr>
          <w:rFonts w:ascii="SimSun" w:hAnsi="SimSun"/>
          <w:sz w:val="21"/>
        </w:rPr>
        <w:t>信通技术</w:t>
      </w:r>
      <w:r w:rsidRPr="0034139E">
        <w:rPr>
          <w:rFonts w:ascii="SimSun" w:hAnsi="SimSun"/>
          <w:sz w:val="21"/>
        </w:rPr>
        <w:t>工具的小型知识产权局，这一需求更加迫切。</w:t>
      </w:r>
      <w:r w:rsidRPr="0034139E">
        <w:rPr>
          <w:rFonts w:ascii="SimSun" w:hAnsi="SimSun" w:cs="Times New Roman"/>
          <w:color w:val="000000"/>
          <w:kern w:val="2"/>
          <w:sz w:val="21"/>
          <w:szCs w:val="22"/>
        </w:rPr>
        <w:t>某些</w:t>
      </w:r>
      <w:r w:rsidR="00B667AB">
        <w:rPr>
          <w:rFonts w:ascii="SimSun" w:hAnsi="SimSun" w:cs="Times New Roman"/>
          <w:color w:val="000000"/>
          <w:kern w:val="2"/>
          <w:sz w:val="21"/>
          <w:szCs w:val="22"/>
        </w:rPr>
        <w:t>信通技术</w:t>
      </w:r>
      <w:r w:rsidRPr="0034139E">
        <w:rPr>
          <w:rFonts w:ascii="SimSun" w:hAnsi="SimSun" w:cs="Times New Roman"/>
          <w:color w:val="000000"/>
          <w:kern w:val="2"/>
          <w:sz w:val="21"/>
          <w:szCs w:val="22"/>
        </w:rPr>
        <w:t>工具还可能由于国际协作而同时作为全球性工具，因为随着知识产权</w:t>
      </w:r>
      <w:r w:rsidRPr="0034139E">
        <w:rPr>
          <w:rFonts w:ascii="SimSun" w:hAnsi="SimSun" w:cs="Times New Roman" w:hint="eastAsia"/>
          <w:color w:val="000000"/>
          <w:kern w:val="2"/>
          <w:sz w:val="21"/>
          <w:szCs w:val="22"/>
        </w:rPr>
        <w:t>数据</w:t>
      </w:r>
      <w:r w:rsidRPr="0034139E">
        <w:rPr>
          <w:rFonts w:ascii="SimSun" w:hAnsi="SimSun" w:cs="Times New Roman"/>
          <w:color w:val="000000"/>
          <w:kern w:val="2"/>
          <w:sz w:val="21"/>
          <w:szCs w:val="22"/>
        </w:rPr>
        <w:t>的积累，有可能形成更好的</w:t>
      </w:r>
      <w:r w:rsidR="00B667AB">
        <w:rPr>
          <w:rFonts w:ascii="SimSun" w:hAnsi="SimSun" w:cs="Times New Roman"/>
          <w:color w:val="000000"/>
          <w:kern w:val="2"/>
          <w:sz w:val="21"/>
          <w:szCs w:val="22"/>
        </w:rPr>
        <w:t>信通技术</w:t>
      </w:r>
      <w:r w:rsidRPr="0034139E">
        <w:rPr>
          <w:rFonts w:ascii="SimSun" w:hAnsi="SimSun" w:cs="Times New Roman"/>
          <w:color w:val="000000"/>
          <w:kern w:val="2"/>
          <w:sz w:val="21"/>
          <w:szCs w:val="22"/>
        </w:rPr>
        <w:t>工具。国际协作型共用工</w:t>
      </w:r>
      <w:r w:rsidR="00765A3F" w:rsidRPr="0034139E">
        <w:rPr>
          <w:rFonts w:ascii="SimSun" w:hAnsi="SimSun" w:cs="Times New Roman"/>
          <w:color w:val="000000"/>
          <w:kern w:val="2"/>
          <w:sz w:val="21"/>
          <w:szCs w:val="22"/>
        </w:rPr>
        <w:t>具</w:t>
      </w:r>
      <w:r w:rsidRPr="0034139E">
        <w:rPr>
          <w:rFonts w:ascii="SimSun" w:hAnsi="SimSun" w:cs="Times New Roman" w:hint="eastAsia"/>
          <w:color w:val="000000"/>
          <w:kern w:val="2"/>
          <w:sz w:val="21"/>
          <w:szCs w:val="22"/>
        </w:rPr>
        <w:t>包括</w:t>
      </w:r>
      <w:r w:rsidR="00C02144" w:rsidRPr="0034139E">
        <w:rPr>
          <w:rFonts w:ascii="SimSun" w:hAnsi="SimSun" w:cs="Times New Roman"/>
          <w:color w:val="000000"/>
          <w:kern w:val="2"/>
          <w:sz w:val="21"/>
          <w:szCs w:val="22"/>
        </w:rPr>
        <w:t>检索</w:t>
      </w:r>
      <w:r w:rsidRPr="0034139E">
        <w:rPr>
          <w:rFonts w:ascii="SimSun" w:hAnsi="SimSun" w:cs="Times New Roman"/>
          <w:color w:val="000000"/>
          <w:kern w:val="2"/>
          <w:sz w:val="21"/>
          <w:szCs w:val="22"/>
        </w:rPr>
        <w:t>工具、分类辅助工具和机器翻译等等。</w:t>
      </w:r>
      <w:r w:rsidR="00EA50FC">
        <w:rPr>
          <w:rFonts w:ascii="SimSun" w:hAnsi="SimSun" w:cs="Times New Roman"/>
          <w:color w:val="000000"/>
          <w:kern w:val="2"/>
          <w:sz w:val="21"/>
          <w:szCs w:val="22"/>
        </w:rPr>
        <w:t>产权组织</w:t>
      </w:r>
      <w:r w:rsidRPr="0034139E">
        <w:rPr>
          <w:rFonts w:ascii="SimSun" w:hAnsi="SimSun" w:cs="Times New Roman"/>
          <w:color w:val="000000"/>
          <w:kern w:val="2"/>
          <w:sz w:val="21"/>
          <w:szCs w:val="22"/>
        </w:rPr>
        <w:t>的“知识网络”提出，这种国际协作可通过向国际局贡献知识产权数据，形成知识产权知识储备。</w:t>
      </w:r>
    </w:p>
    <w:p w:rsidR="00DA0F78" w:rsidRPr="0034139E" w:rsidRDefault="00DA0F78" w:rsidP="009D0855">
      <w:pPr>
        <w:pStyle w:val="ONUME"/>
        <w:numPr>
          <w:ilvl w:val="0"/>
          <w:numId w:val="8"/>
        </w:numPr>
        <w:overflowPunct w:val="0"/>
        <w:spacing w:afterLines="50" w:after="120" w:line="340" w:lineRule="atLeast"/>
        <w:ind w:left="0" w:firstLine="0"/>
        <w:jc w:val="both"/>
        <w:rPr>
          <w:rFonts w:ascii="SimSun" w:hAnsi="SimSun"/>
          <w:sz w:val="21"/>
        </w:rPr>
      </w:pPr>
      <w:r w:rsidRPr="0034139E">
        <w:rPr>
          <w:rFonts w:ascii="SimSun" w:hAnsi="SimSun"/>
          <w:sz w:val="21"/>
        </w:rPr>
        <w:t>鉴于近年来国际数据传输领域形成的经验和良好实践，如互联网、国际银行</w:t>
      </w:r>
      <w:r w:rsidR="00C242CD">
        <w:rPr>
          <w:rFonts w:ascii="SimSun" w:hAnsi="SimSun" w:hint="eastAsia"/>
          <w:sz w:val="21"/>
        </w:rPr>
        <w:t>业务</w:t>
      </w:r>
      <w:r w:rsidRPr="0034139E">
        <w:rPr>
          <w:rFonts w:ascii="SimSun" w:hAnsi="SimSun"/>
          <w:sz w:val="21"/>
        </w:rPr>
        <w:t>和电子商务等，知识产权局和国际局所面临的难题也同样困扰着那些国际数据和业务信息的交易业务。</w:t>
      </w:r>
      <w:r w:rsidRPr="0034139E">
        <w:rPr>
          <w:rFonts w:ascii="SimSun" w:hAnsi="SimSun" w:cs="Times New Roman"/>
          <w:color w:val="000000"/>
          <w:kern w:val="2"/>
          <w:sz w:val="21"/>
          <w:szCs w:val="22"/>
        </w:rPr>
        <w:t>因此，还应确保所有参与的知识产权局及国际局在向用户提供某些服务时，加强以下各项的协调和规范化管理，实现</w:t>
      </w:r>
      <w:r w:rsidR="00B667AB">
        <w:rPr>
          <w:rFonts w:ascii="SimSun" w:hAnsi="SimSun" w:cs="Times New Roman"/>
          <w:color w:val="000000"/>
          <w:kern w:val="2"/>
          <w:sz w:val="21"/>
          <w:szCs w:val="22"/>
        </w:rPr>
        <w:t>信通技术</w:t>
      </w:r>
      <w:r w:rsidRPr="0034139E">
        <w:rPr>
          <w:rFonts w:ascii="SimSun" w:hAnsi="SimSun" w:cs="Times New Roman"/>
          <w:color w:val="000000"/>
          <w:kern w:val="2"/>
          <w:sz w:val="21"/>
          <w:szCs w:val="22"/>
        </w:rPr>
        <w:t>系统的互通性和知识产权数据的M2M传输：</w:t>
      </w:r>
    </w:p>
    <w:p w:rsidR="00DA0F78" w:rsidRPr="0034139E" w:rsidRDefault="005F4FED" w:rsidP="00B667AB">
      <w:pPr>
        <w:overflowPunct w:val="0"/>
        <w:spacing w:afterLines="50" w:after="120" w:line="340" w:lineRule="atLeast"/>
        <w:ind w:left="567"/>
        <w:jc w:val="both"/>
        <w:rPr>
          <w:rFonts w:ascii="SimSun" w:hAnsi="SimSun"/>
          <w:sz w:val="21"/>
        </w:rPr>
      </w:pPr>
      <w:r>
        <w:rPr>
          <w:rFonts w:ascii="SimSun" w:hAnsi="SimSun" w:hint="eastAsia"/>
          <w:sz w:val="21"/>
        </w:rPr>
        <w:t>a)</w:t>
      </w:r>
      <w:r>
        <w:rPr>
          <w:rFonts w:ascii="SimSun" w:hAnsi="SimSun" w:hint="eastAsia"/>
          <w:sz w:val="21"/>
        </w:rPr>
        <w:tab/>
      </w:r>
      <w:r w:rsidR="00DA0F78" w:rsidRPr="0034139E">
        <w:rPr>
          <w:rFonts w:ascii="SimSun" w:hAnsi="SimSun"/>
          <w:sz w:val="21"/>
        </w:rPr>
        <w:t>共用业务策略（已依照《巴黎公约》、《专利合作条约》、《马德里</w:t>
      </w:r>
      <w:r w:rsidR="00C242CD">
        <w:rPr>
          <w:rFonts w:ascii="SimSun" w:hAnsi="SimSun" w:hint="eastAsia"/>
          <w:sz w:val="21"/>
        </w:rPr>
        <w:t>议定书</w:t>
      </w:r>
      <w:r w:rsidR="00DA0F78" w:rsidRPr="0034139E">
        <w:rPr>
          <w:rFonts w:ascii="SimSun" w:hAnsi="SimSun"/>
          <w:sz w:val="21"/>
        </w:rPr>
        <w:t>》和《海牙协</w:t>
      </w:r>
      <w:r w:rsidR="00C242CD">
        <w:rPr>
          <w:rFonts w:ascii="SimSun" w:hAnsi="SimSun" w:hint="eastAsia"/>
          <w:sz w:val="21"/>
        </w:rPr>
        <w:t>定</w:t>
      </w:r>
      <w:r w:rsidR="00DA0F78" w:rsidRPr="0034139E">
        <w:rPr>
          <w:rFonts w:ascii="SimSun" w:hAnsi="SimSun"/>
          <w:sz w:val="21"/>
        </w:rPr>
        <w:t>》制定，但需要更新和细化）；</w:t>
      </w:r>
    </w:p>
    <w:p w:rsidR="00DA0F78" w:rsidRPr="0034139E" w:rsidRDefault="005F4FED" w:rsidP="00B667AB">
      <w:pPr>
        <w:overflowPunct w:val="0"/>
        <w:spacing w:afterLines="50" w:after="120" w:line="340" w:lineRule="atLeast"/>
        <w:ind w:left="567"/>
        <w:jc w:val="both"/>
        <w:rPr>
          <w:rFonts w:ascii="SimSun" w:hAnsi="SimSun"/>
          <w:sz w:val="21"/>
        </w:rPr>
      </w:pPr>
      <w:r>
        <w:rPr>
          <w:rFonts w:ascii="SimSun" w:hAnsi="SimSun" w:hint="eastAsia"/>
          <w:sz w:val="21"/>
        </w:rPr>
        <w:t>b)</w:t>
      </w:r>
      <w:r>
        <w:rPr>
          <w:rFonts w:ascii="SimSun" w:hAnsi="SimSun" w:hint="eastAsia"/>
          <w:sz w:val="21"/>
        </w:rPr>
        <w:tab/>
      </w:r>
      <w:r w:rsidR="00DA0F78" w:rsidRPr="0034139E">
        <w:rPr>
          <w:rFonts w:ascii="SimSun" w:hAnsi="SimSun"/>
          <w:sz w:val="21"/>
        </w:rPr>
        <w:t>共用</w:t>
      </w:r>
      <w:r w:rsidR="00B667AB">
        <w:rPr>
          <w:rFonts w:ascii="SimSun" w:hAnsi="SimSun"/>
          <w:sz w:val="21"/>
          <w:szCs w:val="22"/>
        </w:rPr>
        <w:t>信通技术</w:t>
      </w:r>
      <w:r w:rsidR="00DA0F78" w:rsidRPr="0034139E">
        <w:rPr>
          <w:rFonts w:ascii="SimSun" w:hAnsi="SimSun"/>
          <w:sz w:val="21"/>
        </w:rPr>
        <w:t>策略；</w:t>
      </w:r>
    </w:p>
    <w:p w:rsidR="00DA0F78" w:rsidRPr="0034139E" w:rsidRDefault="005F4FED" w:rsidP="00B667AB">
      <w:pPr>
        <w:overflowPunct w:val="0"/>
        <w:spacing w:afterLines="50" w:after="120" w:line="340" w:lineRule="atLeast"/>
        <w:ind w:left="567"/>
        <w:jc w:val="both"/>
        <w:rPr>
          <w:rFonts w:ascii="SimSun" w:hAnsi="SimSun"/>
          <w:sz w:val="21"/>
        </w:rPr>
      </w:pPr>
      <w:r>
        <w:rPr>
          <w:rFonts w:ascii="SimSun" w:hAnsi="SimSun" w:hint="eastAsia"/>
          <w:sz w:val="21"/>
        </w:rPr>
        <w:t>c)</w:t>
      </w:r>
      <w:r>
        <w:rPr>
          <w:rFonts w:ascii="SimSun" w:hAnsi="SimSun" w:hint="eastAsia"/>
          <w:sz w:val="21"/>
        </w:rPr>
        <w:tab/>
      </w:r>
      <w:r w:rsidR="00DA0F78" w:rsidRPr="0034139E">
        <w:rPr>
          <w:rFonts w:ascii="SimSun" w:hAnsi="SimSun"/>
          <w:sz w:val="21"/>
        </w:rPr>
        <w:t>共用</w:t>
      </w:r>
      <w:r w:rsidR="00B667AB">
        <w:rPr>
          <w:rFonts w:ascii="SimSun" w:hAnsi="SimSun"/>
          <w:sz w:val="21"/>
        </w:rPr>
        <w:t>信通技术</w:t>
      </w:r>
      <w:r w:rsidR="00C242CD">
        <w:rPr>
          <w:rFonts w:ascii="SimSun" w:hAnsi="SimSun" w:hint="eastAsia"/>
          <w:sz w:val="21"/>
        </w:rPr>
        <w:t>政策</w:t>
      </w:r>
      <w:r w:rsidR="00DA0F78" w:rsidRPr="0034139E">
        <w:rPr>
          <w:rFonts w:ascii="SimSun" w:hAnsi="SimSun"/>
          <w:sz w:val="21"/>
        </w:rPr>
        <w:t>，如有关国际知识产权交易中知识产权数据和网络安全、知识产权数据传输协议和知识产权数据传播的</w:t>
      </w:r>
      <w:r w:rsidR="00C242CD">
        <w:rPr>
          <w:rFonts w:ascii="SimSun" w:hAnsi="SimSun" w:hint="eastAsia"/>
          <w:sz w:val="21"/>
        </w:rPr>
        <w:t>政策</w:t>
      </w:r>
      <w:r w:rsidR="00DA0F78" w:rsidRPr="0034139E">
        <w:rPr>
          <w:rFonts w:ascii="SimSun" w:hAnsi="SimSun"/>
          <w:sz w:val="21"/>
        </w:rPr>
        <w:t>；</w:t>
      </w:r>
    </w:p>
    <w:p w:rsidR="00DA0F78" w:rsidRPr="0034139E" w:rsidRDefault="005F4FED" w:rsidP="00B667AB">
      <w:pPr>
        <w:overflowPunct w:val="0"/>
        <w:spacing w:afterLines="50" w:after="120" w:line="340" w:lineRule="atLeast"/>
        <w:ind w:left="567"/>
        <w:jc w:val="both"/>
        <w:rPr>
          <w:rFonts w:ascii="SimSun" w:hAnsi="SimSun"/>
          <w:sz w:val="21"/>
        </w:rPr>
      </w:pPr>
      <w:r>
        <w:rPr>
          <w:rFonts w:ascii="SimSun" w:hAnsi="SimSun" w:hint="eastAsia"/>
          <w:sz w:val="21"/>
        </w:rPr>
        <w:t>d)</w:t>
      </w:r>
      <w:r>
        <w:rPr>
          <w:rFonts w:ascii="SimSun" w:hAnsi="SimSun" w:hint="eastAsia"/>
          <w:sz w:val="21"/>
        </w:rPr>
        <w:tab/>
      </w:r>
      <w:r w:rsidR="00DA0F78" w:rsidRPr="0034139E">
        <w:rPr>
          <w:rFonts w:ascii="SimSun" w:hAnsi="SimSun"/>
          <w:sz w:val="21"/>
        </w:rPr>
        <w:t>共用</w:t>
      </w:r>
      <w:r w:rsidR="00B667AB">
        <w:rPr>
          <w:rFonts w:ascii="SimSun" w:hAnsi="SimSun"/>
          <w:sz w:val="21"/>
        </w:rPr>
        <w:t>信通技术</w:t>
      </w:r>
      <w:r w:rsidR="00DA0F78" w:rsidRPr="00B667AB">
        <w:rPr>
          <w:rFonts w:ascii="SimSun" w:hAnsi="SimSun"/>
          <w:sz w:val="21"/>
          <w:szCs w:val="22"/>
        </w:rPr>
        <w:t>工具</w:t>
      </w:r>
      <w:r w:rsidR="00DA0F78" w:rsidRPr="0034139E">
        <w:rPr>
          <w:rFonts w:ascii="SimSun" w:hAnsi="SimSun"/>
          <w:sz w:val="21"/>
        </w:rPr>
        <w:t>，供知识产权局共享并应用于国内和国际管理及知识产权局和国际局的业务办理；</w:t>
      </w:r>
    </w:p>
    <w:p w:rsidR="00DA0F78" w:rsidRPr="0034139E" w:rsidRDefault="005F4FED" w:rsidP="00B667AB">
      <w:pPr>
        <w:overflowPunct w:val="0"/>
        <w:spacing w:afterLines="50" w:after="120" w:line="340" w:lineRule="atLeast"/>
        <w:ind w:left="567"/>
        <w:jc w:val="both"/>
        <w:rPr>
          <w:rFonts w:ascii="SimSun" w:hAnsi="SimSun"/>
          <w:sz w:val="21"/>
        </w:rPr>
      </w:pPr>
      <w:r>
        <w:rPr>
          <w:rFonts w:ascii="SimSun" w:hAnsi="SimSun" w:hint="eastAsia"/>
          <w:sz w:val="21"/>
        </w:rPr>
        <w:t>e)</w:t>
      </w:r>
      <w:r>
        <w:rPr>
          <w:rFonts w:ascii="SimSun" w:hAnsi="SimSun" w:hint="eastAsia"/>
          <w:sz w:val="21"/>
        </w:rPr>
        <w:tab/>
      </w:r>
      <w:r w:rsidR="00DA0F78" w:rsidRPr="0034139E">
        <w:rPr>
          <w:rFonts w:ascii="SimSun" w:hAnsi="SimSun"/>
          <w:sz w:val="21"/>
        </w:rPr>
        <w:t>知识产权数据的</w:t>
      </w:r>
      <w:r w:rsidR="00DA0F78" w:rsidRPr="00244155">
        <w:rPr>
          <w:rFonts w:ascii="SimSun" w:hAnsi="SimSun"/>
          <w:sz w:val="21"/>
          <w:szCs w:val="22"/>
        </w:rPr>
        <w:t>标准化</w:t>
      </w:r>
      <w:r w:rsidR="00DA0F78" w:rsidRPr="0034139E">
        <w:rPr>
          <w:rFonts w:ascii="SimSun" w:hAnsi="SimSun"/>
          <w:sz w:val="21"/>
        </w:rPr>
        <w:t>格式和结构，推动</w:t>
      </w:r>
      <w:r w:rsidR="00DA0F78" w:rsidRPr="0034139E">
        <w:rPr>
          <w:rFonts w:ascii="SimSun" w:hAnsi="SimSun" w:cs="Times New Roman"/>
          <w:color w:val="000000"/>
          <w:kern w:val="2"/>
          <w:sz w:val="21"/>
          <w:szCs w:val="22"/>
        </w:rPr>
        <w:t>M2M传输的普及。</w:t>
      </w:r>
    </w:p>
    <w:p w:rsidR="00DA0F78" w:rsidRPr="0034139E" w:rsidRDefault="00EA50FC" w:rsidP="009D0855">
      <w:pPr>
        <w:pStyle w:val="ONUME"/>
        <w:numPr>
          <w:ilvl w:val="0"/>
          <w:numId w:val="8"/>
        </w:numPr>
        <w:overflowPunct w:val="0"/>
        <w:spacing w:afterLines="50" w:after="120" w:line="340" w:lineRule="atLeast"/>
        <w:ind w:left="0" w:firstLine="0"/>
        <w:jc w:val="both"/>
        <w:rPr>
          <w:rFonts w:ascii="SimSun" w:hAnsi="SimSun"/>
          <w:sz w:val="21"/>
        </w:rPr>
      </w:pPr>
      <w:r>
        <w:rPr>
          <w:rFonts w:ascii="SimSun" w:hAnsi="SimSun" w:hint="eastAsia"/>
          <w:sz w:val="21"/>
        </w:rPr>
        <w:t>产权组织</w:t>
      </w:r>
      <w:r w:rsidR="00DA0F78" w:rsidRPr="0034139E">
        <w:rPr>
          <w:rFonts w:ascii="SimSun" w:hAnsi="SimSun" w:hint="eastAsia"/>
          <w:sz w:val="21"/>
        </w:rPr>
        <w:t>已针对上述e)项制定了一系列WIPO标准。各知识产权局及国际局已针对上述d</w:t>
      </w:r>
      <w:r w:rsidR="002E3D16">
        <w:rPr>
          <w:rFonts w:ascii="SimSun" w:hAnsi="SimSun" w:hint="eastAsia"/>
          <w:sz w:val="21"/>
        </w:rPr>
        <w:t>)</w:t>
      </w:r>
      <w:r w:rsidR="00DA0F78" w:rsidRPr="0034139E">
        <w:rPr>
          <w:rFonts w:ascii="SimSun" w:hAnsi="SimSun" w:hint="eastAsia"/>
          <w:sz w:val="21"/>
        </w:rPr>
        <w:t>研发出多种工具，均已开放使用；而对于a)、b</w:t>
      </w:r>
      <w:r w:rsidR="002E3D16">
        <w:rPr>
          <w:rFonts w:ascii="SimSun" w:hAnsi="SimSun" w:hint="eastAsia"/>
          <w:sz w:val="21"/>
        </w:rPr>
        <w:t>)</w:t>
      </w:r>
      <w:r w:rsidR="00DA0F78" w:rsidRPr="0034139E">
        <w:rPr>
          <w:rFonts w:ascii="SimSun" w:hAnsi="SimSun" w:hint="eastAsia"/>
          <w:sz w:val="21"/>
        </w:rPr>
        <w:t>、c</w:t>
      </w:r>
      <w:r w:rsidR="002E3D16">
        <w:rPr>
          <w:rFonts w:ascii="SimSun" w:hAnsi="SimSun" w:hint="eastAsia"/>
          <w:sz w:val="21"/>
        </w:rPr>
        <w:t>)</w:t>
      </w:r>
      <w:r w:rsidR="00DA0F78" w:rsidRPr="0034139E">
        <w:rPr>
          <w:rFonts w:ascii="SimSun" w:hAnsi="SimSun" w:hint="eastAsia"/>
          <w:sz w:val="21"/>
        </w:rPr>
        <w:t>项则少有探讨和</w:t>
      </w:r>
      <w:r w:rsidR="00765A3F" w:rsidRPr="0034139E">
        <w:rPr>
          <w:rFonts w:ascii="SimSun" w:hAnsi="SimSun" w:hint="eastAsia"/>
          <w:sz w:val="21"/>
        </w:rPr>
        <w:t>共识</w:t>
      </w:r>
      <w:r w:rsidR="00DA0F78" w:rsidRPr="0034139E">
        <w:rPr>
          <w:rFonts w:ascii="SimSun" w:hAnsi="SimSun" w:hint="eastAsia"/>
          <w:sz w:val="21"/>
        </w:rPr>
        <w:t>。</w:t>
      </w:r>
    </w:p>
    <w:p w:rsidR="00DA0F78" w:rsidRPr="0034139E" w:rsidRDefault="00D40A28" w:rsidP="00244155">
      <w:pPr>
        <w:overflowPunct w:val="0"/>
        <w:spacing w:afterLines="50" w:after="120" w:line="340" w:lineRule="atLeast"/>
        <w:ind w:left="567"/>
        <w:jc w:val="both"/>
        <w:rPr>
          <w:rFonts w:ascii="SimSun" w:hAnsi="SimSun"/>
          <w:bCs/>
          <w:sz w:val="21"/>
          <w:szCs w:val="26"/>
          <w:u w:val="single"/>
        </w:rPr>
      </w:pPr>
      <w:r>
        <w:rPr>
          <w:rFonts w:ascii="SimSun" w:hAnsi="SimSun"/>
          <w:bCs/>
          <w:sz w:val="21"/>
          <w:szCs w:val="26"/>
          <w:u w:val="single"/>
        </w:rPr>
        <w:t>建　议</w:t>
      </w:r>
    </w:p>
    <w:p w:rsidR="00DA0F78" w:rsidRPr="0034139E" w:rsidRDefault="00DA0F78" w:rsidP="00244155">
      <w:pPr>
        <w:overflowPunct w:val="0"/>
        <w:spacing w:afterLines="50" w:after="120" w:line="340" w:lineRule="atLeast"/>
        <w:ind w:left="567"/>
        <w:jc w:val="both"/>
        <w:rPr>
          <w:rFonts w:ascii="SimSun" w:hAnsi="SimSun"/>
          <w:sz w:val="21"/>
        </w:rPr>
      </w:pPr>
      <w:r w:rsidRPr="0034139E">
        <w:rPr>
          <w:rFonts w:ascii="SimSun" w:hAnsi="SimSun" w:cs="Times New Roman" w:hint="eastAsia"/>
          <w:color w:val="000000"/>
          <w:kern w:val="2"/>
          <w:sz w:val="21"/>
          <w:szCs w:val="22"/>
          <w:u w:val="single"/>
        </w:rPr>
        <w:t>建议</w:t>
      </w:r>
      <w:r w:rsidRPr="0034139E">
        <w:rPr>
          <w:rFonts w:ascii="SimSun" w:hAnsi="SimSun" w:cs="Times New Roman"/>
          <w:color w:val="000000"/>
          <w:kern w:val="2"/>
          <w:sz w:val="21"/>
          <w:szCs w:val="22"/>
          <w:u w:val="single"/>
        </w:rPr>
        <w:t>38</w:t>
      </w:r>
      <w:r w:rsidR="00B442DC" w:rsidRPr="009102AC">
        <w:rPr>
          <w:rFonts w:ascii="SimSun" w:hAnsi="SimSun" w:hint="eastAsia"/>
          <w:sz w:val="21"/>
        </w:rPr>
        <w:t>：</w:t>
      </w:r>
      <w:r w:rsidRPr="0034139E">
        <w:rPr>
          <w:rFonts w:ascii="SimSun" w:hAnsi="SimSun" w:cs="Times New Roman"/>
          <w:color w:val="000000"/>
          <w:kern w:val="2"/>
          <w:sz w:val="21"/>
          <w:szCs w:val="22"/>
        </w:rPr>
        <w:t>探讨更加先进的方法，实现与国际系统的整合及系统集中化。打造集中化服务作为示范或样板项目，采用</w:t>
      </w:r>
      <w:r w:rsidRPr="00B667AB">
        <w:rPr>
          <w:rFonts w:ascii="SimSun" w:hAnsi="SimSun"/>
          <w:sz w:val="21"/>
          <w:szCs w:val="22"/>
        </w:rPr>
        <w:t>开放式</w:t>
      </w:r>
      <w:r w:rsidRPr="0034139E">
        <w:rPr>
          <w:rFonts w:ascii="SimSun" w:hAnsi="SimSun" w:cs="Times New Roman"/>
          <w:color w:val="000000"/>
          <w:kern w:val="2"/>
          <w:sz w:val="21"/>
          <w:szCs w:val="22"/>
        </w:rPr>
        <w:t>标准</w:t>
      </w:r>
      <w:r w:rsidR="00015B3A">
        <w:rPr>
          <w:rFonts w:ascii="SimSun" w:hAnsi="SimSun" w:cs="Times New Roman" w:hint="eastAsia"/>
          <w:color w:val="000000"/>
          <w:kern w:val="2"/>
          <w:sz w:val="21"/>
          <w:szCs w:val="22"/>
        </w:rPr>
        <w:t>API</w:t>
      </w:r>
      <w:r w:rsidRPr="0034139E">
        <w:rPr>
          <w:rFonts w:ascii="SimSun" w:hAnsi="SimSun" w:cs="Times New Roman"/>
          <w:color w:val="000000"/>
          <w:kern w:val="2"/>
          <w:sz w:val="21"/>
          <w:szCs w:val="22"/>
        </w:rPr>
        <w:t>，用于分类和标准数据的传播及知识产权局与区域/国际知识产权体系之间交易数据的交流。</w:t>
      </w:r>
    </w:p>
    <w:p w:rsidR="00DA0F78" w:rsidRPr="0034139E" w:rsidRDefault="00DA0F78" w:rsidP="00244155">
      <w:pPr>
        <w:overflowPunct w:val="0"/>
        <w:spacing w:afterLines="50" w:after="120" w:line="340" w:lineRule="atLeast"/>
        <w:ind w:left="567"/>
        <w:jc w:val="both"/>
        <w:rPr>
          <w:rFonts w:ascii="SimSun" w:hAnsi="SimSun"/>
          <w:sz w:val="21"/>
        </w:rPr>
      </w:pPr>
      <w:r w:rsidRPr="0034139E">
        <w:rPr>
          <w:rFonts w:ascii="SimSun" w:hAnsi="SimSun" w:cs="Times New Roman" w:hint="eastAsia"/>
          <w:color w:val="000000"/>
          <w:kern w:val="2"/>
          <w:sz w:val="21"/>
          <w:szCs w:val="22"/>
          <w:u w:val="single"/>
        </w:rPr>
        <w:t>建议</w:t>
      </w:r>
      <w:r w:rsidRPr="0034139E">
        <w:rPr>
          <w:rFonts w:ascii="SimSun" w:hAnsi="SimSun" w:cs="Times New Roman"/>
          <w:color w:val="000000"/>
          <w:kern w:val="2"/>
          <w:sz w:val="21"/>
          <w:szCs w:val="22"/>
          <w:u w:val="single"/>
        </w:rPr>
        <w:t>39</w:t>
      </w:r>
      <w:r w:rsidR="00B442DC" w:rsidRPr="009102AC">
        <w:rPr>
          <w:rFonts w:ascii="SimSun" w:hAnsi="SimSun" w:hint="eastAsia"/>
          <w:sz w:val="21"/>
        </w:rPr>
        <w:t>：</w:t>
      </w:r>
      <w:r w:rsidR="00765A3F" w:rsidRPr="0034139E">
        <w:rPr>
          <w:rFonts w:ascii="SimSun" w:hAnsi="SimSun" w:cs="Times New Roman"/>
          <w:color w:val="000000"/>
          <w:kern w:val="2"/>
          <w:sz w:val="21"/>
          <w:szCs w:val="22"/>
        </w:rPr>
        <w:t>共享在线服务</w:t>
      </w:r>
      <w:r w:rsidR="00765A3F" w:rsidRPr="00B667AB">
        <w:rPr>
          <w:rFonts w:ascii="SimSun" w:hAnsi="SimSun"/>
          <w:sz w:val="21"/>
          <w:szCs w:val="22"/>
        </w:rPr>
        <w:t>信息</w:t>
      </w:r>
      <w:r w:rsidR="00765A3F" w:rsidRPr="0034139E">
        <w:rPr>
          <w:rFonts w:ascii="SimSun" w:hAnsi="SimSun" w:cs="Times New Roman"/>
          <w:color w:val="000000"/>
          <w:kern w:val="2"/>
          <w:sz w:val="21"/>
          <w:szCs w:val="22"/>
        </w:rPr>
        <w:t>（申请</w:t>
      </w:r>
      <w:r w:rsidRPr="0034139E">
        <w:rPr>
          <w:rFonts w:ascii="SimSun" w:hAnsi="SimSun" w:cs="Times New Roman"/>
          <w:color w:val="000000"/>
          <w:kern w:val="2"/>
          <w:sz w:val="21"/>
          <w:szCs w:val="22"/>
        </w:rPr>
        <w:t>、后</w:t>
      </w:r>
      <w:r w:rsidR="00C242CD">
        <w:rPr>
          <w:rFonts w:ascii="SimSun" w:hAnsi="SimSun" w:cs="Times New Roman" w:hint="eastAsia"/>
          <w:color w:val="000000"/>
          <w:kern w:val="2"/>
          <w:sz w:val="21"/>
          <w:szCs w:val="22"/>
        </w:rPr>
        <w:t>续</w:t>
      </w:r>
      <w:r w:rsidRPr="0034139E">
        <w:rPr>
          <w:rFonts w:ascii="SimSun" w:hAnsi="SimSun" w:cs="Times New Roman"/>
          <w:color w:val="000000"/>
          <w:kern w:val="2"/>
          <w:sz w:val="21"/>
          <w:szCs w:val="22"/>
        </w:rPr>
        <w:t>交易等），旨在识别可通过</w:t>
      </w:r>
      <w:r w:rsidR="00015B3A">
        <w:rPr>
          <w:rFonts w:ascii="SimSun" w:hAnsi="SimSun" w:cs="Times New Roman" w:hint="eastAsia"/>
          <w:color w:val="000000"/>
          <w:kern w:val="2"/>
          <w:sz w:val="21"/>
          <w:szCs w:val="22"/>
        </w:rPr>
        <w:t>API</w:t>
      </w:r>
      <w:r w:rsidRPr="0034139E">
        <w:rPr>
          <w:rFonts w:ascii="SimSun" w:hAnsi="SimSun" w:cs="Times New Roman"/>
          <w:color w:val="000000"/>
          <w:kern w:val="2"/>
          <w:sz w:val="21"/>
          <w:szCs w:val="22"/>
        </w:rPr>
        <w:t>提供的共用交易和服务项目，实现系统之间的互用性，包括第三方解决方案提供商开发的系统。</w:t>
      </w:r>
    </w:p>
    <w:p w:rsidR="00DA0F78" w:rsidRPr="0034139E" w:rsidRDefault="00DA0F78" w:rsidP="00244155">
      <w:pPr>
        <w:overflowPunct w:val="0"/>
        <w:spacing w:afterLines="50" w:after="120" w:line="340" w:lineRule="atLeast"/>
        <w:ind w:left="567"/>
        <w:jc w:val="both"/>
        <w:rPr>
          <w:rFonts w:ascii="SimSun" w:hAnsi="SimSun"/>
          <w:sz w:val="21"/>
        </w:rPr>
      </w:pPr>
      <w:r w:rsidRPr="0034139E">
        <w:rPr>
          <w:rFonts w:ascii="SimSun" w:hAnsi="SimSun" w:cs="Times New Roman" w:hint="eastAsia"/>
          <w:color w:val="000000"/>
          <w:kern w:val="2"/>
          <w:sz w:val="21"/>
          <w:szCs w:val="22"/>
          <w:u w:val="single"/>
        </w:rPr>
        <w:t>建议</w:t>
      </w:r>
      <w:r w:rsidRPr="0034139E">
        <w:rPr>
          <w:rFonts w:ascii="SimSun" w:hAnsi="SimSun" w:cs="Times New Roman"/>
          <w:color w:val="000000"/>
          <w:kern w:val="2"/>
          <w:sz w:val="21"/>
          <w:szCs w:val="22"/>
          <w:u w:val="single"/>
        </w:rPr>
        <w:t>40</w:t>
      </w:r>
      <w:r w:rsidR="00B442DC" w:rsidRPr="009102AC">
        <w:rPr>
          <w:rFonts w:ascii="SimSun" w:hAnsi="SimSun" w:hint="eastAsia"/>
          <w:sz w:val="21"/>
        </w:rPr>
        <w:t>：</w:t>
      </w:r>
      <w:r w:rsidRPr="0034139E">
        <w:rPr>
          <w:rFonts w:ascii="SimSun" w:hAnsi="SimSun" w:cs="Times New Roman"/>
          <w:color w:val="000000"/>
          <w:kern w:val="2"/>
          <w:sz w:val="21"/>
          <w:szCs w:val="22"/>
        </w:rPr>
        <w:t>探讨全球联合项目的可能性，发挥知识产权局共同利益和协</w:t>
      </w:r>
      <w:r w:rsidRPr="0034139E">
        <w:rPr>
          <w:rFonts w:ascii="SimSun" w:hAnsi="SimSun" w:cs="Times New Roman" w:hint="eastAsia"/>
          <w:color w:val="000000"/>
          <w:kern w:val="2"/>
          <w:sz w:val="21"/>
          <w:szCs w:val="22"/>
        </w:rPr>
        <w:t>同</w:t>
      </w:r>
      <w:r w:rsidRPr="0034139E">
        <w:rPr>
          <w:rFonts w:ascii="SimSun" w:hAnsi="SimSun" w:cs="Times New Roman"/>
          <w:color w:val="000000"/>
          <w:kern w:val="2"/>
          <w:sz w:val="21"/>
          <w:szCs w:val="22"/>
        </w:rPr>
        <w:t>的</w:t>
      </w:r>
      <w:r w:rsidRPr="0034139E">
        <w:rPr>
          <w:rFonts w:ascii="SimSun" w:hAnsi="SimSun" w:cs="Times New Roman" w:hint="eastAsia"/>
          <w:color w:val="000000"/>
          <w:kern w:val="2"/>
          <w:sz w:val="21"/>
          <w:szCs w:val="22"/>
        </w:rPr>
        <w:t>积极效应。</w:t>
      </w:r>
    </w:p>
    <w:p w:rsidR="00B667AB" w:rsidRDefault="00B667AB" w:rsidP="00B667AB">
      <w:pPr>
        <w:pStyle w:val="Endofdocument-Annex"/>
        <w:spacing w:afterLines="50" w:after="120" w:line="340" w:lineRule="atLeast"/>
        <w:rPr>
          <w:rFonts w:ascii="KaiTi" w:eastAsia="KaiTi" w:hAnsi="KaiTi"/>
          <w:sz w:val="21"/>
        </w:rPr>
      </w:pPr>
    </w:p>
    <w:p w:rsidR="00546E08" w:rsidRPr="00B667AB" w:rsidRDefault="00B0548B" w:rsidP="00B667AB">
      <w:pPr>
        <w:pStyle w:val="Endofdocument-Annex"/>
        <w:spacing w:afterLines="50" w:after="120" w:line="340" w:lineRule="atLeast"/>
        <w:rPr>
          <w:rFonts w:ascii="KaiTi" w:eastAsia="KaiTi" w:hAnsi="KaiTi"/>
          <w:sz w:val="21"/>
        </w:rPr>
      </w:pPr>
      <w:r w:rsidRPr="00B667AB">
        <w:rPr>
          <w:rFonts w:ascii="KaiTi" w:eastAsia="KaiTi" w:hAnsi="KaiTi"/>
          <w:sz w:val="21"/>
        </w:rPr>
        <w:t>[</w:t>
      </w:r>
      <w:r w:rsidR="00DA0F78" w:rsidRPr="00B667AB">
        <w:rPr>
          <w:rFonts w:ascii="KaiTi" w:eastAsia="KaiTi" w:hAnsi="KaiTi"/>
          <w:sz w:val="21"/>
        </w:rPr>
        <w:t>文件完</w:t>
      </w:r>
      <w:r w:rsidRPr="00B667AB">
        <w:rPr>
          <w:rFonts w:ascii="KaiTi" w:eastAsia="KaiTi" w:hAnsi="KaiTi"/>
          <w:sz w:val="21"/>
        </w:rPr>
        <w:t>]</w:t>
      </w:r>
    </w:p>
    <w:sectPr w:rsidR="00546E08" w:rsidRPr="00B667AB" w:rsidSect="005C7BDE">
      <w:headerReference w:type="default" r:id="rId14"/>
      <w:endnotePr>
        <w:numFmt w:val="decimal"/>
      </w:endnotePr>
      <w:pgSz w:w="11907" w:h="16840" w:code="9"/>
      <w:pgMar w:top="567" w:right="1134" w:bottom="1418" w:left="1418" w:header="510" w:footer="1021" w:gutter="0"/>
      <w:cols w:space="720"/>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56C6A" w:rsidRDefault="00656C6A">
      <w:r>
        <w:separator/>
      </w:r>
    </w:p>
  </w:endnote>
  <w:endnote w:type="continuationSeparator" w:id="0">
    <w:p w:rsidR="00656C6A" w:rsidRDefault="00656C6A" w:rsidP="003B38C1">
      <w:r>
        <w:separator/>
      </w:r>
    </w:p>
    <w:p w:rsidR="00656C6A" w:rsidRPr="003B38C1" w:rsidRDefault="00656C6A" w:rsidP="003B38C1">
      <w:pPr>
        <w:spacing w:after="60"/>
        <w:rPr>
          <w:sz w:val="17"/>
        </w:rPr>
      </w:pPr>
      <w:r>
        <w:rPr>
          <w:sz w:val="17"/>
        </w:rPr>
        <w:t>[Endnote continued from previous page]</w:t>
      </w:r>
    </w:p>
  </w:endnote>
  <w:endnote w:type="continuationNotice" w:id="1">
    <w:p w:rsidR="00656C6A" w:rsidRPr="003B38C1" w:rsidRDefault="00656C6A" w:rsidP="003B38C1">
      <w:pPr>
        <w:spacing w:before="60"/>
        <w:jc w:val="right"/>
        <w:rPr>
          <w:sz w:val="17"/>
          <w:szCs w:val="17"/>
        </w:rPr>
      </w:pPr>
      <w:r w:rsidRPr="003B38C1">
        <w:rPr>
          <w:sz w:val="17"/>
          <w:szCs w:val="17"/>
        </w:rPr>
        <w:t>[Endnote continued on next page]</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Black">
    <w:panose1 w:val="020B0A04020102020204"/>
    <w:charset w:val="00"/>
    <w:family w:val="swiss"/>
    <w:pitch w:val="variable"/>
    <w:sig w:usb0="00000287" w:usb1="00000000" w:usb2="00000000" w:usb3="00000000" w:csb0="0000009F" w:csb1="00000000"/>
  </w:font>
  <w:font w:name="SimHei">
    <w:altName w:val="黑体"/>
    <w:panose1 w:val="02010609060101010101"/>
    <w:charset w:val="86"/>
    <w:family w:val="modern"/>
    <w:pitch w:val="fixed"/>
    <w:sig w:usb0="800002BF" w:usb1="38CF7CFA" w:usb2="00000016" w:usb3="00000000" w:csb0="00040001" w:csb1="00000000"/>
  </w:font>
  <w:font w:name="KaiTi">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56C6A" w:rsidRDefault="00656C6A">
      <w:r>
        <w:separator/>
      </w:r>
    </w:p>
  </w:footnote>
  <w:footnote w:type="continuationSeparator" w:id="0">
    <w:p w:rsidR="00656C6A" w:rsidRDefault="00656C6A" w:rsidP="008B60B2">
      <w:r>
        <w:separator/>
      </w:r>
    </w:p>
    <w:p w:rsidR="00656C6A" w:rsidRPr="00ED77FB" w:rsidRDefault="00656C6A" w:rsidP="008B60B2">
      <w:pPr>
        <w:spacing w:after="60"/>
        <w:rPr>
          <w:sz w:val="17"/>
          <w:szCs w:val="17"/>
        </w:rPr>
      </w:pPr>
      <w:r w:rsidRPr="00ED77FB">
        <w:rPr>
          <w:sz w:val="17"/>
          <w:szCs w:val="17"/>
        </w:rPr>
        <w:t>[Footnote continued from previous page]</w:t>
      </w:r>
    </w:p>
  </w:footnote>
  <w:footnote w:type="continuationNotice" w:id="1">
    <w:p w:rsidR="00656C6A" w:rsidRPr="00ED77FB" w:rsidRDefault="00656C6A" w:rsidP="008B60B2">
      <w:pPr>
        <w:spacing w:before="60"/>
        <w:jc w:val="right"/>
        <w:rPr>
          <w:sz w:val="17"/>
          <w:szCs w:val="17"/>
        </w:rPr>
      </w:pPr>
      <w:r w:rsidRPr="00ED77FB">
        <w:rPr>
          <w:sz w:val="17"/>
          <w:szCs w:val="17"/>
        </w:rPr>
        <w:t>[Footnote continued on next page]</w:t>
      </w:r>
    </w:p>
  </w:footnote>
  <w:footnote w:id="2">
    <w:p w:rsidR="00656C6A" w:rsidRPr="003C2966" w:rsidRDefault="00656C6A" w:rsidP="009D734F">
      <w:pPr>
        <w:pStyle w:val="FootnoteText"/>
        <w:rPr>
          <w:rFonts w:ascii="SimSun" w:hAnsi="SimSun"/>
        </w:rPr>
      </w:pPr>
      <w:r w:rsidRPr="0034139E">
        <w:rPr>
          <w:rStyle w:val="FootnoteReference"/>
          <w:rFonts w:ascii="SimSun" w:hAnsi="SimSun"/>
        </w:rPr>
        <w:footnoteRef/>
      </w:r>
      <w:r w:rsidR="003C2966">
        <w:rPr>
          <w:rFonts w:ascii="SimSun" w:hAnsi="SimSun" w:hint="eastAsia"/>
        </w:rPr>
        <w:tab/>
      </w:r>
      <w:hyperlink r:id="rId1" w:history="1">
        <w:r w:rsidR="003C2966" w:rsidRPr="003C2966">
          <w:rPr>
            <w:rStyle w:val="Hyperlink"/>
            <w:rFonts w:ascii="SimSun" w:hAnsi="SimSun"/>
            <w:color w:val="auto"/>
            <w:u w:val="none"/>
          </w:rPr>
          <w:t>http://www.wipo.int/edocs/mdocs/sct/</w:t>
        </w:r>
        <w:r w:rsidR="003C2966" w:rsidRPr="003C2966">
          <w:rPr>
            <w:rStyle w:val="Hyperlink"/>
            <w:rFonts w:ascii="SimSun" w:hAnsi="SimSun" w:hint="eastAsia"/>
            <w:color w:val="auto"/>
            <w:u w:val="none"/>
          </w:rPr>
          <w:t>zh</w:t>
        </w:r>
        <w:r w:rsidR="003C2966" w:rsidRPr="003C2966">
          <w:rPr>
            <w:rStyle w:val="Hyperlink"/>
            <w:rFonts w:ascii="SimSun" w:hAnsi="SimSun"/>
            <w:color w:val="auto"/>
            <w:u w:val="none"/>
          </w:rPr>
          <w:t>/sct_39/sct_39_2.pdf</w:t>
        </w:r>
      </w:hyperlink>
    </w:p>
  </w:footnote>
  <w:footnote w:id="3">
    <w:p w:rsidR="00656C6A" w:rsidRPr="003C2966" w:rsidRDefault="00656C6A">
      <w:pPr>
        <w:pStyle w:val="FootnoteText"/>
        <w:rPr>
          <w:rFonts w:ascii="SimSun" w:hAnsi="SimSun"/>
        </w:rPr>
      </w:pPr>
      <w:r w:rsidRPr="003C2966">
        <w:rPr>
          <w:rStyle w:val="FootnoteReference"/>
          <w:rFonts w:ascii="SimSun" w:hAnsi="SimSun"/>
        </w:rPr>
        <w:footnoteRef/>
      </w:r>
      <w:r w:rsidRPr="003C2966">
        <w:rPr>
          <w:rFonts w:ascii="SimSun" w:hAnsi="SimSun"/>
        </w:rPr>
        <w:t xml:space="preserve"> </w:t>
      </w:r>
      <w:r w:rsidR="003C2966" w:rsidRPr="003C2966">
        <w:rPr>
          <w:rFonts w:ascii="SimSun" w:hAnsi="SimSun" w:hint="eastAsia"/>
        </w:rPr>
        <w:tab/>
      </w:r>
      <w:hyperlink r:id="rId2" w:history="1">
        <w:r w:rsidR="003C2966" w:rsidRPr="003C2966">
          <w:rPr>
            <w:rStyle w:val="Hyperlink"/>
            <w:rFonts w:ascii="SimSun" w:hAnsi="SimSun"/>
            <w:color w:val="auto"/>
            <w:u w:val="none"/>
          </w:rPr>
          <w:t>http://www.wipo.int/edocs/mdocs/cws/</w:t>
        </w:r>
        <w:r w:rsidR="003C2966" w:rsidRPr="003C2966">
          <w:rPr>
            <w:rStyle w:val="Hyperlink"/>
            <w:rFonts w:ascii="SimSun" w:hAnsi="SimSun" w:hint="eastAsia"/>
            <w:color w:val="auto"/>
            <w:u w:val="none"/>
          </w:rPr>
          <w:t>zh</w:t>
        </w:r>
        <w:r w:rsidR="003C2966" w:rsidRPr="003C2966">
          <w:rPr>
            <w:rStyle w:val="Hyperlink"/>
            <w:rFonts w:ascii="SimSun" w:hAnsi="SimSun"/>
            <w:color w:val="auto"/>
            <w:u w:val="none"/>
          </w:rPr>
          <w:t>/cws_5/cws_5_22.pdf</w:t>
        </w:r>
      </w:hyperlink>
    </w:p>
  </w:footnote>
  <w:footnote w:id="4">
    <w:p w:rsidR="00656C6A" w:rsidRPr="003C2966" w:rsidRDefault="00656C6A" w:rsidP="009D734F">
      <w:pPr>
        <w:pStyle w:val="FootnoteText"/>
        <w:rPr>
          <w:rFonts w:ascii="SimSun" w:hAnsi="SimSun"/>
        </w:rPr>
      </w:pPr>
      <w:r w:rsidRPr="003C2966">
        <w:rPr>
          <w:rStyle w:val="FootnoteReference"/>
          <w:rFonts w:ascii="SimSun" w:hAnsi="SimSun"/>
        </w:rPr>
        <w:footnoteRef/>
      </w:r>
      <w:r w:rsidR="003C2966" w:rsidRPr="003C2966">
        <w:rPr>
          <w:rFonts w:ascii="SimSun" w:hAnsi="SimSun" w:hint="eastAsia"/>
        </w:rPr>
        <w:tab/>
      </w:r>
      <w:hyperlink r:id="rId3" w:history="1">
        <w:r w:rsidR="003C2966" w:rsidRPr="003C2966">
          <w:rPr>
            <w:rStyle w:val="Hyperlink"/>
            <w:rFonts w:ascii="SimSun" w:hAnsi="SimSun"/>
            <w:color w:val="auto"/>
            <w:u w:val="none"/>
          </w:rPr>
          <w:t>http://www.wipo.int/edocs/mdocs/cws/</w:t>
        </w:r>
        <w:r w:rsidR="003C2966" w:rsidRPr="003C2966">
          <w:rPr>
            <w:rStyle w:val="Hyperlink"/>
            <w:rFonts w:ascii="SimSun" w:hAnsi="SimSun" w:hint="eastAsia"/>
            <w:color w:val="auto"/>
            <w:u w:val="none"/>
          </w:rPr>
          <w:t>zh</w:t>
        </w:r>
        <w:r w:rsidR="003C2966" w:rsidRPr="003C2966">
          <w:rPr>
            <w:rStyle w:val="Hyperlink"/>
            <w:rFonts w:ascii="SimSun" w:hAnsi="SimSun"/>
            <w:color w:val="auto"/>
            <w:u w:val="none"/>
          </w:rPr>
          <w:t>/cws_5/cws_5_22.pdf</w:t>
        </w:r>
      </w:hyperlink>
    </w:p>
  </w:footnote>
  <w:footnote w:id="5">
    <w:p w:rsidR="00656C6A" w:rsidRPr="003C2966" w:rsidRDefault="00656C6A" w:rsidP="009D734F">
      <w:pPr>
        <w:pStyle w:val="FootnoteText"/>
        <w:rPr>
          <w:rFonts w:ascii="SimSun" w:hAnsi="SimSun"/>
        </w:rPr>
      </w:pPr>
      <w:r w:rsidRPr="003C2966">
        <w:rPr>
          <w:rStyle w:val="FootnoteReference"/>
          <w:rFonts w:ascii="SimSun" w:hAnsi="SimSun"/>
        </w:rPr>
        <w:footnoteRef/>
      </w:r>
      <w:r w:rsidR="003C2966">
        <w:rPr>
          <w:rFonts w:ascii="SimSun" w:hAnsi="SimSun" w:hint="eastAsia"/>
        </w:rPr>
        <w:tab/>
      </w:r>
      <w:r w:rsidRPr="003C2966">
        <w:rPr>
          <w:rFonts w:ascii="SimSun" w:hAnsi="SimSun"/>
        </w:rPr>
        <w:t>ST.96的</w:t>
      </w:r>
      <w:r w:rsidRPr="003C2966">
        <w:rPr>
          <w:rFonts w:ascii="SimSun" w:hAnsi="SimSun" w:hint="eastAsia"/>
        </w:rPr>
        <w:t>3.0版本于2018年2月推出，发布在以下网址：</w:t>
      </w:r>
      <w:hyperlink r:id="rId4" w:history="1">
        <w:r w:rsidRPr="003C2966">
          <w:rPr>
            <w:rStyle w:val="Hyperlink"/>
            <w:rFonts w:ascii="SimSun" w:hAnsi="SimSun"/>
            <w:color w:val="auto"/>
            <w:u w:val="none"/>
          </w:rPr>
          <w:t>http://www.wipo.int/standards/en/part_03_standards.html</w:t>
        </w:r>
      </w:hyperlink>
    </w:p>
  </w:footnote>
  <w:footnote w:id="6">
    <w:p w:rsidR="00656C6A" w:rsidRPr="003C2966" w:rsidRDefault="00656C6A" w:rsidP="005E4A1C">
      <w:pPr>
        <w:pStyle w:val="FootnoteText"/>
        <w:rPr>
          <w:rFonts w:ascii="SimSun" w:hAnsi="SimSun"/>
        </w:rPr>
      </w:pPr>
      <w:r w:rsidRPr="003C2966">
        <w:rPr>
          <w:rStyle w:val="FootnoteReference"/>
          <w:rFonts w:ascii="SimSun" w:hAnsi="SimSun"/>
        </w:rPr>
        <w:footnoteRef/>
      </w:r>
      <w:r w:rsidRPr="003C2966">
        <w:rPr>
          <w:rFonts w:ascii="SimSun" w:hAnsi="SimSun"/>
        </w:rPr>
        <w:t xml:space="preserve"> </w:t>
      </w:r>
      <w:r w:rsidR="003C2966">
        <w:rPr>
          <w:rFonts w:ascii="SimSun" w:hAnsi="SimSun" w:hint="eastAsia"/>
        </w:rPr>
        <w:tab/>
      </w:r>
      <w:hyperlink r:id="rId5" w:history="1">
        <w:r w:rsidR="003C2966" w:rsidRPr="003C2966">
          <w:rPr>
            <w:rStyle w:val="Hyperlink"/>
            <w:rFonts w:ascii="SimSun" w:hAnsi="SimSun"/>
            <w:color w:val="auto"/>
            <w:u w:val="none"/>
          </w:rPr>
          <w:t>http://www.wipo.int/classifications/ipc/</w:t>
        </w:r>
        <w:r w:rsidR="003C2966" w:rsidRPr="003C2966">
          <w:rPr>
            <w:rStyle w:val="Hyperlink"/>
            <w:rFonts w:ascii="SimSun" w:hAnsi="SimSun" w:hint="eastAsia"/>
            <w:color w:val="auto"/>
            <w:u w:val="none"/>
          </w:rPr>
          <w:t>zh</w:t>
        </w:r>
        <w:r w:rsidR="003C2966" w:rsidRPr="003C2966">
          <w:rPr>
            <w:rStyle w:val="Hyperlink"/>
            <w:rFonts w:ascii="SimSun" w:hAnsi="SimSun"/>
            <w:color w:val="auto"/>
            <w:u w:val="none"/>
          </w:rPr>
          <w:t>/</w:t>
        </w:r>
      </w:hyperlink>
    </w:p>
  </w:footnote>
  <w:footnote w:id="7">
    <w:p w:rsidR="00656C6A" w:rsidRPr="003C2966" w:rsidRDefault="00656C6A" w:rsidP="006D4BFD">
      <w:pPr>
        <w:pStyle w:val="FootnoteText"/>
        <w:rPr>
          <w:rFonts w:ascii="SimSun" w:hAnsi="SimSun"/>
        </w:rPr>
      </w:pPr>
      <w:r w:rsidRPr="003C2966">
        <w:rPr>
          <w:rStyle w:val="FootnoteReference"/>
          <w:rFonts w:ascii="SimSun" w:hAnsi="SimSun"/>
        </w:rPr>
        <w:footnoteRef/>
      </w:r>
      <w:r w:rsidR="003C2966" w:rsidRPr="003C2966">
        <w:rPr>
          <w:rFonts w:ascii="SimSun" w:hAnsi="SimSun" w:hint="eastAsia"/>
        </w:rPr>
        <w:tab/>
      </w:r>
      <w:hyperlink r:id="rId6" w:history="1">
        <w:r w:rsidR="003C2966" w:rsidRPr="003C2966">
          <w:rPr>
            <w:rStyle w:val="Hyperlink"/>
            <w:rFonts w:ascii="SimSun" w:hAnsi="SimSun"/>
            <w:color w:val="auto"/>
            <w:u w:val="none"/>
          </w:rPr>
          <w:t>http://www.wipo.int/pressroom/</w:t>
        </w:r>
        <w:r w:rsidR="003C2966" w:rsidRPr="003C2966">
          <w:rPr>
            <w:rStyle w:val="Hyperlink"/>
            <w:rFonts w:ascii="SimSun" w:hAnsi="SimSun" w:hint="eastAsia"/>
            <w:color w:val="auto"/>
            <w:u w:val="none"/>
          </w:rPr>
          <w:t>zh</w:t>
        </w:r>
        <w:r w:rsidR="003C2966" w:rsidRPr="003C2966">
          <w:rPr>
            <w:rStyle w:val="Hyperlink"/>
            <w:rFonts w:ascii="SimSun" w:hAnsi="SimSun"/>
            <w:color w:val="auto"/>
            <w:u w:val="none"/>
          </w:rPr>
          <w:t>/articles/2017/article_0010.html</w:t>
        </w:r>
      </w:hyperlink>
    </w:p>
  </w:footnote>
  <w:footnote w:id="8">
    <w:p w:rsidR="00656C6A" w:rsidRPr="003C2966" w:rsidRDefault="00656C6A" w:rsidP="006D4BFD">
      <w:pPr>
        <w:pStyle w:val="FootnoteText"/>
        <w:rPr>
          <w:rFonts w:ascii="SimSun" w:hAnsi="SimSun"/>
        </w:rPr>
      </w:pPr>
      <w:r w:rsidRPr="003C2966">
        <w:rPr>
          <w:rStyle w:val="FootnoteReference"/>
          <w:rFonts w:ascii="SimSun" w:hAnsi="SimSun"/>
        </w:rPr>
        <w:footnoteRef/>
      </w:r>
      <w:r w:rsidR="003C2966">
        <w:rPr>
          <w:rFonts w:ascii="SimSun" w:hAnsi="SimSun" w:hint="eastAsia"/>
        </w:rPr>
        <w:tab/>
      </w:r>
      <w:r w:rsidRPr="003C2966">
        <w:rPr>
          <w:rFonts w:ascii="SimSun" w:hAnsi="SimSun"/>
        </w:rPr>
        <w:t>CDIP/4/3 REV./STUDY/INF/3</w:t>
      </w:r>
    </w:p>
  </w:footnote>
  <w:footnote w:id="9">
    <w:p w:rsidR="00656C6A" w:rsidRPr="003C2966" w:rsidRDefault="00656C6A" w:rsidP="008D20C8">
      <w:pPr>
        <w:pStyle w:val="FootnoteText"/>
        <w:rPr>
          <w:rFonts w:ascii="SimSun" w:hAnsi="SimSun"/>
        </w:rPr>
      </w:pPr>
      <w:r w:rsidRPr="003C2966">
        <w:rPr>
          <w:rStyle w:val="FootnoteReference"/>
          <w:rFonts w:ascii="SimSun" w:hAnsi="SimSun"/>
        </w:rPr>
        <w:footnoteRef/>
      </w:r>
      <w:r w:rsidR="003C2966">
        <w:rPr>
          <w:rFonts w:ascii="SimSun" w:hAnsi="SimSun" w:hint="eastAsia"/>
        </w:rPr>
        <w:tab/>
      </w:r>
      <w:r w:rsidRPr="003C2966">
        <w:rPr>
          <w:rFonts w:ascii="SimSun" w:hAnsi="SimSun"/>
        </w:rPr>
        <w:t>DA_16_20_03</w:t>
      </w:r>
    </w:p>
  </w:footnote>
  <w:footnote w:id="10">
    <w:p w:rsidR="00656C6A" w:rsidRPr="0034139E" w:rsidRDefault="00656C6A" w:rsidP="00390647">
      <w:pPr>
        <w:pStyle w:val="FootnoteText"/>
        <w:rPr>
          <w:rFonts w:ascii="SimSun" w:hAnsi="SimSun"/>
        </w:rPr>
      </w:pPr>
      <w:r w:rsidRPr="003C2966">
        <w:rPr>
          <w:rStyle w:val="FootnoteReference"/>
          <w:rFonts w:ascii="SimSun" w:hAnsi="SimSun"/>
        </w:rPr>
        <w:footnoteRef/>
      </w:r>
      <w:r w:rsidR="003C2966">
        <w:rPr>
          <w:rFonts w:ascii="SimSun" w:hAnsi="SimSun" w:hint="eastAsia"/>
        </w:rPr>
        <w:tab/>
      </w:r>
      <w:hyperlink r:id="rId7" w:history="1">
        <w:r w:rsidR="003C2966" w:rsidRPr="003C2966">
          <w:rPr>
            <w:rStyle w:val="Hyperlink"/>
            <w:rFonts w:ascii="SimSun" w:hAnsi="SimSun"/>
            <w:color w:val="auto"/>
            <w:u w:val="none"/>
          </w:rPr>
          <w:t>http://www.wipo.int/edocs/mdocs/cws/</w:t>
        </w:r>
        <w:r w:rsidR="003C2966" w:rsidRPr="003C2966">
          <w:rPr>
            <w:rStyle w:val="Hyperlink"/>
            <w:rFonts w:ascii="SimSun" w:hAnsi="SimSun" w:hint="eastAsia"/>
            <w:color w:val="auto"/>
            <w:u w:val="none"/>
          </w:rPr>
          <w:t>zh</w:t>
        </w:r>
        <w:r w:rsidR="003C2966" w:rsidRPr="003C2966">
          <w:rPr>
            <w:rStyle w:val="Hyperlink"/>
            <w:rFonts w:ascii="SimSun" w:hAnsi="SimSun"/>
            <w:color w:val="auto"/>
            <w:u w:val="none"/>
          </w:rPr>
          <w:t>/cws_5/cws_5_22.pdf</w:t>
        </w:r>
      </w:hyperlink>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42415547"/>
      <w:docPartObj>
        <w:docPartGallery w:val="Page Numbers (Top of Page)"/>
        <w:docPartUnique/>
      </w:docPartObj>
    </w:sdtPr>
    <w:sdtEndPr>
      <w:rPr>
        <w:rFonts w:ascii="SimSun" w:hAnsi="SimSun"/>
        <w:noProof/>
        <w:sz w:val="21"/>
      </w:rPr>
    </w:sdtEndPr>
    <w:sdtContent>
      <w:bookmarkStart w:id="6" w:name="Code2" w:displacedByCustomXml="prev"/>
      <w:bookmarkEnd w:id="6" w:displacedByCustomXml="prev"/>
      <w:p w:rsidR="00656C6A" w:rsidRPr="0034139E" w:rsidRDefault="00656C6A">
        <w:pPr>
          <w:pStyle w:val="Header"/>
          <w:jc w:val="right"/>
          <w:rPr>
            <w:rFonts w:ascii="SimSun" w:hAnsi="SimSun"/>
            <w:sz w:val="21"/>
            <w:lang w:val="fr-CH"/>
          </w:rPr>
        </w:pPr>
        <w:r w:rsidRPr="0034139E">
          <w:rPr>
            <w:rFonts w:ascii="SimSun" w:hAnsi="SimSun"/>
            <w:caps/>
            <w:sz w:val="21"/>
            <w:szCs w:val="22"/>
            <w:lang w:val="fr-CH"/>
          </w:rPr>
          <w:t>WIPO/IP/ITAI/GE/18/3</w:t>
        </w:r>
      </w:p>
      <w:p w:rsidR="00656C6A" w:rsidRPr="0034139E" w:rsidRDefault="00656C6A">
        <w:pPr>
          <w:pStyle w:val="Header"/>
          <w:jc w:val="right"/>
          <w:rPr>
            <w:rFonts w:ascii="SimSun" w:hAnsi="SimSun"/>
            <w:sz w:val="21"/>
            <w:lang w:val="fr-CH"/>
          </w:rPr>
        </w:pPr>
        <w:r>
          <w:rPr>
            <w:rFonts w:ascii="SimSun" w:hAnsi="SimSun" w:hint="eastAsia"/>
            <w:sz w:val="21"/>
            <w:lang w:val="fr-CH"/>
          </w:rPr>
          <w:t>第</w:t>
        </w:r>
        <w:r w:rsidRPr="0034139E">
          <w:rPr>
            <w:rFonts w:ascii="SimSun" w:hAnsi="SimSun"/>
            <w:sz w:val="21"/>
          </w:rPr>
          <w:fldChar w:fldCharType="begin"/>
        </w:r>
        <w:r w:rsidRPr="0034139E">
          <w:rPr>
            <w:rFonts w:ascii="SimSun" w:hAnsi="SimSun"/>
            <w:sz w:val="21"/>
            <w:lang w:val="fr-CH"/>
          </w:rPr>
          <w:instrText xml:space="preserve"> PAGE   \* MERGEFORMAT </w:instrText>
        </w:r>
        <w:r w:rsidRPr="0034139E">
          <w:rPr>
            <w:rFonts w:ascii="SimSun" w:hAnsi="SimSun"/>
            <w:sz w:val="21"/>
          </w:rPr>
          <w:fldChar w:fldCharType="separate"/>
        </w:r>
        <w:r w:rsidR="00474477">
          <w:rPr>
            <w:rFonts w:ascii="SimSun" w:hAnsi="SimSun"/>
            <w:noProof/>
            <w:sz w:val="21"/>
            <w:lang w:val="fr-CH"/>
          </w:rPr>
          <w:t>22</w:t>
        </w:r>
        <w:r w:rsidRPr="0034139E">
          <w:rPr>
            <w:rFonts w:ascii="SimSun" w:hAnsi="SimSun"/>
            <w:noProof/>
            <w:sz w:val="21"/>
          </w:rPr>
          <w:fldChar w:fldCharType="end"/>
        </w:r>
        <w:r>
          <w:rPr>
            <w:rFonts w:ascii="SimSun" w:hAnsi="SimSun" w:hint="eastAsia"/>
            <w:noProof/>
            <w:sz w:val="21"/>
          </w:rPr>
          <w:t>页</w:t>
        </w:r>
      </w:p>
    </w:sdtContent>
  </w:sdt>
  <w:p w:rsidR="00656C6A" w:rsidRPr="0034139E" w:rsidRDefault="00656C6A" w:rsidP="00477D6B">
    <w:pPr>
      <w:jc w:val="right"/>
      <w:rPr>
        <w:rFonts w:ascii="SimSun" w:hAnsi="SimSun"/>
        <w:sz w:val="21"/>
        <w:lang w:val="fr-CH"/>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5706D93"/>
    <w:multiLevelType w:val="multilevel"/>
    <w:tmpl w:val="B5706D93"/>
    <w:lvl w:ilvl="0">
      <w:start w:val="1"/>
      <w:numFmt w:val="decimal"/>
      <w:lvlText w:val="%1."/>
      <w:lvlJc w:val="left"/>
      <w:pPr>
        <w:tabs>
          <w:tab w:val="left" w:pos="567"/>
        </w:tabs>
        <w:ind w:left="0" w:firstLine="0"/>
      </w:pPr>
      <w:rPr>
        <w:rFonts w:hint="default"/>
      </w:rPr>
    </w:lvl>
    <w:lvl w:ilvl="1">
      <w:start w:val="1"/>
      <w:numFmt w:val="lowerLetter"/>
      <w:lvlText w:val="%2)"/>
      <w:lvlJc w:val="left"/>
      <w:pPr>
        <w:tabs>
          <w:tab w:val="left" w:pos="1134"/>
        </w:tabs>
        <w:ind w:left="567" w:firstLine="0"/>
      </w:pPr>
      <w:rPr>
        <w:rFonts w:hint="default"/>
      </w:rPr>
    </w:lvl>
    <w:lvl w:ilvl="2">
      <w:start w:val="1"/>
      <w:numFmt w:val="lowerRoman"/>
      <w:lvlText w:val="(%3)"/>
      <w:lvlJc w:val="left"/>
      <w:pPr>
        <w:tabs>
          <w:tab w:val="left" w:pos="1701"/>
        </w:tabs>
        <w:ind w:left="1134" w:firstLine="0"/>
      </w:pPr>
      <w:rPr>
        <w:rFonts w:hint="default"/>
      </w:rPr>
    </w:lvl>
    <w:lvl w:ilvl="3">
      <w:start w:val="1"/>
      <w:numFmt w:val="bullet"/>
      <w:lvlText w:val=""/>
      <w:lvlJc w:val="left"/>
      <w:pPr>
        <w:tabs>
          <w:tab w:val="left" w:pos="2268"/>
        </w:tabs>
        <w:ind w:left="1701" w:firstLine="0"/>
      </w:pPr>
      <w:rPr>
        <w:rFonts w:hint="default"/>
      </w:rPr>
    </w:lvl>
    <w:lvl w:ilvl="4">
      <w:start w:val="1"/>
      <w:numFmt w:val="bullet"/>
      <w:lvlText w:val=""/>
      <w:lvlJc w:val="left"/>
      <w:pPr>
        <w:tabs>
          <w:tab w:val="left" w:pos="2835"/>
        </w:tabs>
        <w:ind w:left="2268" w:firstLine="0"/>
      </w:pPr>
      <w:rPr>
        <w:rFonts w:hint="default"/>
      </w:rPr>
    </w:lvl>
    <w:lvl w:ilvl="5">
      <w:start w:val="1"/>
      <w:numFmt w:val="bullet"/>
      <w:lvlText w:val=""/>
      <w:lvlJc w:val="left"/>
      <w:pPr>
        <w:tabs>
          <w:tab w:val="left" w:pos="3402"/>
        </w:tabs>
        <w:ind w:left="2835" w:firstLine="0"/>
      </w:pPr>
      <w:rPr>
        <w:rFonts w:hint="default"/>
      </w:rPr>
    </w:lvl>
    <w:lvl w:ilvl="6">
      <w:start w:val="1"/>
      <w:numFmt w:val="bullet"/>
      <w:lvlText w:val=""/>
      <w:lvlJc w:val="left"/>
      <w:pPr>
        <w:tabs>
          <w:tab w:val="left" w:pos="3969"/>
        </w:tabs>
        <w:ind w:left="3402" w:firstLine="0"/>
      </w:pPr>
      <w:rPr>
        <w:rFonts w:hint="default"/>
      </w:rPr>
    </w:lvl>
    <w:lvl w:ilvl="7">
      <w:start w:val="1"/>
      <w:numFmt w:val="bullet"/>
      <w:lvlText w:val=""/>
      <w:lvlJc w:val="left"/>
      <w:pPr>
        <w:tabs>
          <w:tab w:val="left" w:pos="4535"/>
        </w:tabs>
        <w:ind w:left="3969" w:firstLine="0"/>
      </w:pPr>
      <w:rPr>
        <w:rFonts w:hint="default"/>
      </w:rPr>
    </w:lvl>
    <w:lvl w:ilvl="8">
      <w:start w:val="1"/>
      <w:numFmt w:val="bullet"/>
      <w:lvlText w:val=""/>
      <w:lvlJc w:val="left"/>
      <w:pPr>
        <w:tabs>
          <w:tab w:val="left" w:pos="5102"/>
        </w:tabs>
        <w:ind w:left="4535" w:firstLine="0"/>
      </w:pPr>
      <w:rPr>
        <w:rFonts w:hint="default"/>
      </w:rPr>
    </w:lvl>
  </w:abstractNum>
  <w:abstractNum w:abstractNumId="1">
    <w:nsid w:val="0364378C"/>
    <w:multiLevelType w:val="hybridMultilevel"/>
    <w:tmpl w:val="E4DC5226"/>
    <w:lvl w:ilvl="0" w:tplc="1E7E2FC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6CD29E3"/>
    <w:multiLevelType w:val="multilevel"/>
    <w:tmpl w:val="C9425EBA"/>
    <w:lvl w:ilvl="0">
      <w:start w:val="1"/>
      <w:numFmt w:val="decimal"/>
      <w:lvlRestart w:val="0"/>
      <w:pStyle w:val="ONUME"/>
      <w:lvlText w:val="%1."/>
      <w:lvlJc w:val="left"/>
      <w:pPr>
        <w:tabs>
          <w:tab w:val="num" w:pos="567"/>
        </w:tabs>
        <w:ind w:left="0" w:firstLine="0"/>
      </w:pPr>
      <w:rPr>
        <w:rFonts w:hint="default"/>
      </w:rPr>
    </w:lvl>
    <w:lvl w:ilvl="1">
      <w:start w:val="1"/>
      <w:numFmt w:val="lowerLetter"/>
      <w:lvlText w:val="%2)"/>
      <w:lvlJc w:val="left"/>
      <w:pPr>
        <w:tabs>
          <w:tab w:val="num" w:pos="1134"/>
        </w:tabs>
        <w:ind w:left="567" w:firstLine="0"/>
      </w:pPr>
      <w:rPr>
        <w:rFonts w:hint="default"/>
      </w:rPr>
    </w:lvl>
    <w:lvl w:ilvl="2">
      <w:start w:val="1"/>
      <w:numFmt w:val="lowerRoman"/>
      <w:lvlText w:val="(%3)"/>
      <w:lvlJc w:val="left"/>
      <w:pPr>
        <w:tabs>
          <w:tab w:val="num" w:pos="1701"/>
        </w:tabs>
        <w:ind w:left="1134" w:firstLine="0"/>
      </w:pPr>
      <w:rPr>
        <w:rFonts w:hint="default"/>
      </w:rPr>
    </w:lvl>
    <w:lvl w:ilvl="3">
      <w:start w:val="1"/>
      <w:numFmt w:val="bullet"/>
      <w:lvlText w:val=""/>
      <w:lvlJc w:val="left"/>
      <w:pPr>
        <w:tabs>
          <w:tab w:val="num" w:pos="2268"/>
        </w:tabs>
        <w:ind w:left="1701" w:firstLine="0"/>
      </w:pPr>
      <w:rPr>
        <w:rFonts w:hint="default"/>
      </w:rPr>
    </w:lvl>
    <w:lvl w:ilvl="4">
      <w:start w:val="1"/>
      <w:numFmt w:val="bullet"/>
      <w:lvlText w:val=""/>
      <w:lvlJc w:val="left"/>
      <w:pPr>
        <w:tabs>
          <w:tab w:val="num" w:pos="2835"/>
        </w:tabs>
        <w:ind w:left="2268" w:firstLine="0"/>
      </w:pPr>
      <w:rPr>
        <w:rFonts w:hint="default"/>
      </w:rPr>
    </w:lvl>
    <w:lvl w:ilvl="5">
      <w:start w:val="1"/>
      <w:numFmt w:val="bullet"/>
      <w:lvlText w:val=""/>
      <w:lvlJc w:val="left"/>
      <w:pPr>
        <w:tabs>
          <w:tab w:val="num" w:pos="3402"/>
        </w:tabs>
        <w:ind w:left="2835" w:firstLine="0"/>
      </w:pPr>
      <w:rPr>
        <w:rFonts w:hint="default"/>
      </w:rPr>
    </w:lvl>
    <w:lvl w:ilvl="6">
      <w:start w:val="1"/>
      <w:numFmt w:val="bullet"/>
      <w:lvlText w:val=""/>
      <w:lvlJc w:val="left"/>
      <w:pPr>
        <w:tabs>
          <w:tab w:val="num" w:pos="3969"/>
        </w:tabs>
        <w:ind w:left="3402" w:firstLine="0"/>
      </w:pPr>
      <w:rPr>
        <w:rFonts w:hint="default"/>
      </w:rPr>
    </w:lvl>
    <w:lvl w:ilvl="7">
      <w:start w:val="1"/>
      <w:numFmt w:val="bullet"/>
      <w:lvlText w:val=""/>
      <w:lvlJc w:val="left"/>
      <w:pPr>
        <w:tabs>
          <w:tab w:val="num" w:pos="4535"/>
        </w:tabs>
        <w:ind w:left="3969" w:firstLine="0"/>
      </w:pPr>
      <w:rPr>
        <w:rFonts w:hint="default"/>
      </w:rPr>
    </w:lvl>
    <w:lvl w:ilvl="8">
      <w:start w:val="1"/>
      <w:numFmt w:val="bullet"/>
      <w:lvlText w:val=""/>
      <w:lvlJc w:val="left"/>
      <w:pPr>
        <w:tabs>
          <w:tab w:val="num" w:pos="5102"/>
        </w:tabs>
        <w:ind w:left="4535" w:firstLine="0"/>
      </w:pPr>
      <w:rPr>
        <w:rFonts w:hint="default"/>
      </w:rPr>
    </w:lvl>
  </w:abstractNum>
  <w:abstractNum w:abstractNumId="3">
    <w:nsid w:val="1FFB19A2"/>
    <w:multiLevelType w:val="multilevel"/>
    <w:tmpl w:val="495EEFEE"/>
    <w:lvl w:ilvl="0">
      <w:start w:val="1"/>
      <w:numFmt w:val="decimal"/>
      <w:lvlRestart w:val="0"/>
      <w:pStyle w:val="ONUMFS"/>
      <w:lvlText w:val="%1."/>
      <w:lvlJc w:val="left"/>
      <w:pPr>
        <w:tabs>
          <w:tab w:val="num" w:pos="567"/>
        </w:tabs>
        <w:ind w:left="0" w:firstLine="0"/>
      </w:pPr>
      <w:rPr>
        <w:rFonts w:hint="default"/>
      </w:rPr>
    </w:lvl>
    <w:lvl w:ilvl="1">
      <w:start w:val="1"/>
      <w:numFmt w:val="lowerLetter"/>
      <w:lvlText w:val="%2)"/>
      <w:lvlJc w:val="left"/>
      <w:pPr>
        <w:tabs>
          <w:tab w:val="num" w:pos="1134"/>
        </w:tabs>
        <w:ind w:left="567" w:firstLine="0"/>
      </w:pPr>
      <w:rPr>
        <w:rFonts w:hint="default"/>
      </w:rPr>
    </w:lvl>
    <w:lvl w:ilvl="2">
      <w:start w:val="1"/>
      <w:numFmt w:val="lowerRoman"/>
      <w:lvlText w:val="%3)"/>
      <w:lvlJc w:val="left"/>
      <w:pPr>
        <w:tabs>
          <w:tab w:val="num" w:pos="1701"/>
        </w:tabs>
        <w:ind w:left="1134" w:firstLine="0"/>
      </w:pPr>
      <w:rPr>
        <w:rFonts w:hint="default"/>
      </w:rPr>
    </w:lvl>
    <w:lvl w:ilvl="3">
      <w:start w:val="1"/>
      <w:numFmt w:val="bullet"/>
      <w:lvlText w:val=""/>
      <w:lvlJc w:val="left"/>
      <w:pPr>
        <w:tabs>
          <w:tab w:val="num" w:pos="2268"/>
        </w:tabs>
        <w:ind w:left="1701" w:firstLine="0"/>
      </w:pPr>
      <w:rPr>
        <w:rFonts w:hint="default"/>
      </w:rPr>
    </w:lvl>
    <w:lvl w:ilvl="4">
      <w:start w:val="1"/>
      <w:numFmt w:val="bullet"/>
      <w:lvlText w:val=""/>
      <w:lvlJc w:val="left"/>
      <w:pPr>
        <w:tabs>
          <w:tab w:val="num" w:pos="2835"/>
        </w:tabs>
        <w:ind w:left="2268" w:firstLine="0"/>
      </w:pPr>
      <w:rPr>
        <w:rFonts w:hint="default"/>
      </w:rPr>
    </w:lvl>
    <w:lvl w:ilvl="5">
      <w:start w:val="1"/>
      <w:numFmt w:val="bullet"/>
      <w:lvlText w:val=""/>
      <w:lvlJc w:val="left"/>
      <w:pPr>
        <w:tabs>
          <w:tab w:val="num" w:pos="3402"/>
        </w:tabs>
        <w:ind w:left="2835" w:firstLine="0"/>
      </w:pPr>
      <w:rPr>
        <w:rFonts w:hint="default"/>
      </w:rPr>
    </w:lvl>
    <w:lvl w:ilvl="6">
      <w:start w:val="1"/>
      <w:numFmt w:val="bullet"/>
      <w:lvlText w:val=""/>
      <w:lvlJc w:val="left"/>
      <w:pPr>
        <w:tabs>
          <w:tab w:val="num" w:pos="3969"/>
        </w:tabs>
        <w:ind w:left="3402" w:firstLine="0"/>
      </w:pPr>
      <w:rPr>
        <w:rFonts w:hint="default"/>
      </w:rPr>
    </w:lvl>
    <w:lvl w:ilvl="7">
      <w:start w:val="1"/>
      <w:numFmt w:val="bullet"/>
      <w:lvlText w:val=""/>
      <w:lvlJc w:val="left"/>
      <w:pPr>
        <w:tabs>
          <w:tab w:val="num" w:pos="4535"/>
        </w:tabs>
        <w:ind w:left="3969" w:firstLine="0"/>
      </w:pPr>
      <w:rPr>
        <w:rFonts w:hint="default"/>
      </w:rPr>
    </w:lvl>
    <w:lvl w:ilvl="8">
      <w:start w:val="1"/>
      <w:numFmt w:val="bullet"/>
      <w:lvlText w:val=""/>
      <w:lvlJc w:val="left"/>
      <w:pPr>
        <w:tabs>
          <w:tab w:val="num" w:pos="5102"/>
        </w:tabs>
        <w:ind w:left="4535" w:firstLine="0"/>
      </w:pPr>
      <w:rPr>
        <w:rFonts w:hint="default"/>
      </w:rPr>
    </w:lvl>
  </w:abstractNum>
  <w:abstractNum w:abstractNumId="4">
    <w:nsid w:val="4C8B3C46"/>
    <w:multiLevelType w:val="hybridMultilevel"/>
    <w:tmpl w:val="799E19C6"/>
    <w:lvl w:ilvl="0" w:tplc="AEB04A72">
      <w:start w:val="1"/>
      <w:numFmt w:val="decimal"/>
      <w:lvlRestart w:val="0"/>
      <w:pStyle w:val="ListNumber"/>
      <w:lvlText w:val="03.%1."/>
      <w:lvlJc w:val="left"/>
      <w:pPr>
        <w:tabs>
          <w:tab w:val="num" w:pos="567"/>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4"/>
  </w:num>
  <w:num w:numId="2">
    <w:abstractNumId w:val="2"/>
  </w:num>
  <w:num w:numId="3">
    <w:abstractNumId w:val="3"/>
  </w:num>
  <w:num w:numId="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
    <w:lvlOverride w:ilvl="0">
      <w:startOverride w:val="1"/>
    </w:lvlOverride>
    <w:lvlOverride w:ilvl="1">
      <w:startOverride w:val="1"/>
    </w:lvlOverride>
  </w:num>
  <w:num w:numId="6">
    <w:abstractNumId w:val="0"/>
  </w:num>
  <w:num w:numId="7">
    <w:abstractNumId w:val="2"/>
    <w:lvlOverride w:ilvl="0">
      <w:startOverride w:val="1"/>
    </w:lvlOverride>
    <w:lvlOverride w:ilvl="1">
      <w:startOverride w:val="1"/>
    </w:lvlOverride>
  </w:num>
  <w:num w:numId="8">
    <w:abstractNumId w:val="1"/>
  </w:num>
  <w:num w:numId="9">
    <w:abstractNumId w:val="2"/>
  </w:num>
  <w:num w:numId="10">
    <w:abstractNumId w:val="2"/>
  </w:num>
  <w:num w:numId="11">
    <w:abstractNumId w:val="2"/>
  </w:num>
  <w:num w:numId="12">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568"/>
  <w:displayHorizontalDrawingGridEvery w:val="0"/>
  <w:displayVerticalDrawingGridEvery w:val="0"/>
  <w:doNotUseMarginsForDrawingGridOrigin/>
  <w:noPunctuationKerning/>
  <w:characterSpacingControl w:val="doNotCompress"/>
  <w:hdrShapeDefaults>
    <o:shapedefaults v:ext="edit" spidmax="10241"/>
  </w:hdrShapeDefaults>
  <w:footnotePr>
    <w:footnote w:id="-1"/>
    <w:footnote w:id="0"/>
    <w:footnote w:id="1"/>
  </w:footnotePr>
  <w:endnotePr>
    <w:numFmt w:val="decimal"/>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C7BDE"/>
    <w:rsid w:val="0000455D"/>
    <w:rsid w:val="00010091"/>
    <w:rsid w:val="00011B83"/>
    <w:rsid w:val="0001235F"/>
    <w:rsid w:val="00015B3A"/>
    <w:rsid w:val="0002285F"/>
    <w:rsid w:val="000233EC"/>
    <w:rsid w:val="00023F59"/>
    <w:rsid w:val="00024F9D"/>
    <w:rsid w:val="000251B0"/>
    <w:rsid w:val="00025D25"/>
    <w:rsid w:val="00025F87"/>
    <w:rsid w:val="00030530"/>
    <w:rsid w:val="00032528"/>
    <w:rsid w:val="000325A6"/>
    <w:rsid w:val="000326E9"/>
    <w:rsid w:val="000415A2"/>
    <w:rsid w:val="0004236D"/>
    <w:rsid w:val="00043460"/>
    <w:rsid w:val="00043CAA"/>
    <w:rsid w:val="00044F42"/>
    <w:rsid w:val="00045321"/>
    <w:rsid w:val="00045632"/>
    <w:rsid w:val="00045EDA"/>
    <w:rsid w:val="000501DE"/>
    <w:rsid w:val="00055492"/>
    <w:rsid w:val="000563EC"/>
    <w:rsid w:val="00060C50"/>
    <w:rsid w:val="00060D38"/>
    <w:rsid w:val="00062A0C"/>
    <w:rsid w:val="00066993"/>
    <w:rsid w:val="00066C17"/>
    <w:rsid w:val="00073739"/>
    <w:rsid w:val="00073745"/>
    <w:rsid w:val="00073844"/>
    <w:rsid w:val="00075432"/>
    <w:rsid w:val="00080461"/>
    <w:rsid w:val="0008189D"/>
    <w:rsid w:val="000867EC"/>
    <w:rsid w:val="00091DA1"/>
    <w:rsid w:val="00094049"/>
    <w:rsid w:val="000968ED"/>
    <w:rsid w:val="00096C7F"/>
    <w:rsid w:val="000A0505"/>
    <w:rsid w:val="000A6FC4"/>
    <w:rsid w:val="000A708E"/>
    <w:rsid w:val="000A7B63"/>
    <w:rsid w:val="000A7BC0"/>
    <w:rsid w:val="000B6B01"/>
    <w:rsid w:val="000C0147"/>
    <w:rsid w:val="000C0861"/>
    <w:rsid w:val="000C4A0B"/>
    <w:rsid w:val="000C782E"/>
    <w:rsid w:val="000D0486"/>
    <w:rsid w:val="000D3CA0"/>
    <w:rsid w:val="000D4270"/>
    <w:rsid w:val="000D4F87"/>
    <w:rsid w:val="000E080F"/>
    <w:rsid w:val="000E09B2"/>
    <w:rsid w:val="000E1157"/>
    <w:rsid w:val="000E2A25"/>
    <w:rsid w:val="000E2B90"/>
    <w:rsid w:val="000E3977"/>
    <w:rsid w:val="000F02D9"/>
    <w:rsid w:val="000F1410"/>
    <w:rsid w:val="000F15DD"/>
    <w:rsid w:val="000F16D4"/>
    <w:rsid w:val="000F57D0"/>
    <w:rsid w:val="000F5E56"/>
    <w:rsid w:val="000F71B9"/>
    <w:rsid w:val="000F7CA4"/>
    <w:rsid w:val="001008C7"/>
    <w:rsid w:val="001018FC"/>
    <w:rsid w:val="00103632"/>
    <w:rsid w:val="00110895"/>
    <w:rsid w:val="00112DDB"/>
    <w:rsid w:val="001157C7"/>
    <w:rsid w:val="00115B56"/>
    <w:rsid w:val="001200B2"/>
    <w:rsid w:val="001200DE"/>
    <w:rsid w:val="00122E23"/>
    <w:rsid w:val="00124F31"/>
    <w:rsid w:val="00127B21"/>
    <w:rsid w:val="00131612"/>
    <w:rsid w:val="00131F5A"/>
    <w:rsid w:val="00133E5F"/>
    <w:rsid w:val="001362EE"/>
    <w:rsid w:val="00136433"/>
    <w:rsid w:val="0014319C"/>
    <w:rsid w:val="001434DD"/>
    <w:rsid w:val="0014440B"/>
    <w:rsid w:val="0014460A"/>
    <w:rsid w:val="0014585F"/>
    <w:rsid w:val="00146675"/>
    <w:rsid w:val="00147F11"/>
    <w:rsid w:val="00150F0A"/>
    <w:rsid w:val="0015174D"/>
    <w:rsid w:val="00152520"/>
    <w:rsid w:val="0015293A"/>
    <w:rsid w:val="00154FE8"/>
    <w:rsid w:val="001568CD"/>
    <w:rsid w:val="001574DA"/>
    <w:rsid w:val="001575A4"/>
    <w:rsid w:val="00160B06"/>
    <w:rsid w:val="0016143E"/>
    <w:rsid w:val="0016193F"/>
    <w:rsid w:val="0016200B"/>
    <w:rsid w:val="00162AFB"/>
    <w:rsid w:val="001647D5"/>
    <w:rsid w:val="00165641"/>
    <w:rsid w:val="00172B80"/>
    <w:rsid w:val="00172FE3"/>
    <w:rsid w:val="00177A99"/>
    <w:rsid w:val="001832A6"/>
    <w:rsid w:val="0018404E"/>
    <w:rsid w:val="0019022D"/>
    <w:rsid w:val="00191A40"/>
    <w:rsid w:val="00193A33"/>
    <w:rsid w:val="00195222"/>
    <w:rsid w:val="001A18A8"/>
    <w:rsid w:val="001A20A1"/>
    <w:rsid w:val="001A4331"/>
    <w:rsid w:val="001B2F79"/>
    <w:rsid w:val="001B6A79"/>
    <w:rsid w:val="001C03E5"/>
    <w:rsid w:val="001C131A"/>
    <w:rsid w:val="001C3812"/>
    <w:rsid w:val="001C423A"/>
    <w:rsid w:val="001C44C5"/>
    <w:rsid w:val="001C4A57"/>
    <w:rsid w:val="001C6502"/>
    <w:rsid w:val="001D3D12"/>
    <w:rsid w:val="001D489C"/>
    <w:rsid w:val="001D7053"/>
    <w:rsid w:val="001D7A3D"/>
    <w:rsid w:val="001E22D9"/>
    <w:rsid w:val="001E6857"/>
    <w:rsid w:val="001F2C72"/>
    <w:rsid w:val="0020724D"/>
    <w:rsid w:val="00211C53"/>
    <w:rsid w:val="0021217E"/>
    <w:rsid w:val="00212AC6"/>
    <w:rsid w:val="00213DAE"/>
    <w:rsid w:val="002141B0"/>
    <w:rsid w:val="002163FD"/>
    <w:rsid w:val="002206C5"/>
    <w:rsid w:val="002221AA"/>
    <w:rsid w:val="00223FB7"/>
    <w:rsid w:val="00227A1D"/>
    <w:rsid w:val="002348C3"/>
    <w:rsid w:val="002362EF"/>
    <w:rsid w:val="00236A83"/>
    <w:rsid w:val="00236C5A"/>
    <w:rsid w:val="00237D4F"/>
    <w:rsid w:val="0024141F"/>
    <w:rsid w:val="00244155"/>
    <w:rsid w:val="002443C5"/>
    <w:rsid w:val="00244C64"/>
    <w:rsid w:val="00245057"/>
    <w:rsid w:val="00255D1C"/>
    <w:rsid w:val="00257A3A"/>
    <w:rsid w:val="00261F14"/>
    <w:rsid w:val="002634C4"/>
    <w:rsid w:val="002636F4"/>
    <w:rsid w:val="00264E7B"/>
    <w:rsid w:val="00267606"/>
    <w:rsid w:val="0027234E"/>
    <w:rsid w:val="002730EC"/>
    <w:rsid w:val="00281427"/>
    <w:rsid w:val="0028308A"/>
    <w:rsid w:val="00283B19"/>
    <w:rsid w:val="002876A5"/>
    <w:rsid w:val="002928D3"/>
    <w:rsid w:val="00294135"/>
    <w:rsid w:val="00295EC0"/>
    <w:rsid w:val="002A092C"/>
    <w:rsid w:val="002A7326"/>
    <w:rsid w:val="002A77C3"/>
    <w:rsid w:val="002B1661"/>
    <w:rsid w:val="002B1829"/>
    <w:rsid w:val="002B5D51"/>
    <w:rsid w:val="002C05A5"/>
    <w:rsid w:val="002C064B"/>
    <w:rsid w:val="002C1ADB"/>
    <w:rsid w:val="002C6584"/>
    <w:rsid w:val="002C6E2C"/>
    <w:rsid w:val="002E00FF"/>
    <w:rsid w:val="002E3D16"/>
    <w:rsid w:val="002E5365"/>
    <w:rsid w:val="002E5375"/>
    <w:rsid w:val="002E6A7C"/>
    <w:rsid w:val="002F1838"/>
    <w:rsid w:val="002F1FE6"/>
    <w:rsid w:val="002F4E68"/>
    <w:rsid w:val="002F6DD9"/>
    <w:rsid w:val="00301BEB"/>
    <w:rsid w:val="00301D91"/>
    <w:rsid w:val="00303A2C"/>
    <w:rsid w:val="00303D33"/>
    <w:rsid w:val="00305824"/>
    <w:rsid w:val="0031168D"/>
    <w:rsid w:val="00312F7F"/>
    <w:rsid w:val="00313D08"/>
    <w:rsid w:val="00316A3C"/>
    <w:rsid w:val="00316AE7"/>
    <w:rsid w:val="00317D16"/>
    <w:rsid w:val="00324AEF"/>
    <w:rsid w:val="0032587B"/>
    <w:rsid w:val="00330C73"/>
    <w:rsid w:val="0033214C"/>
    <w:rsid w:val="003338ED"/>
    <w:rsid w:val="00333917"/>
    <w:rsid w:val="003360E2"/>
    <w:rsid w:val="00337718"/>
    <w:rsid w:val="0034139E"/>
    <w:rsid w:val="00341B7A"/>
    <w:rsid w:val="00343770"/>
    <w:rsid w:val="003459A1"/>
    <w:rsid w:val="0035659B"/>
    <w:rsid w:val="00361450"/>
    <w:rsid w:val="00363A70"/>
    <w:rsid w:val="003673CF"/>
    <w:rsid w:val="0037612A"/>
    <w:rsid w:val="003763AA"/>
    <w:rsid w:val="00376811"/>
    <w:rsid w:val="003779AF"/>
    <w:rsid w:val="00380C90"/>
    <w:rsid w:val="00382DC2"/>
    <w:rsid w:val="003836B9"/>
    <w:rsid w:val="003845C1"/>
    <w:rsid w:val="003847BD"/>
    <w:rsid w:val="00385D97"/>
    <w:rsid w:val="003875C1"/>
    <w:rsid w:val="00390647"/>
    <w:rsid w:val="00393F3F"/>
    <w:rsid w:val="00396E24"/>
    <w:rsid w:val="00397D1B"/>
    <w:rsid w:val="003A3923"/>
    <w:rsid w:val="003A689B"/>
    <w:rsid w:val="003A6A60"/>
    <w:rsid w:val="003A6F89"/>
    <w:rsid w:val="003B2F96"/>
    <w:rsid w:val="003B3889"/>
    <w:rsid w:val="003B38C1"/>
    <w:rsid w:val="003B5981"/>
    <w:rsid w:val="003B77F6"/>
    <w:rsid w:val="003C06B3"/>
    <w:rsid w:val="003C2966"/>
    <w:rsid w:val="003C3041"/>
    <w:rsid w:val="003C3C9D"/>
    <w:rsid w:val="003C62F4"/>
    <w:rsid w:val="003D06EE"/>
    <w:rsid w:val="003D3618"/>
    <w:rsid w:val="003D3675"/>
    <w:rsid w:val="003D3714"/>
    <w:rsid w:val="003D4DAA"/>
    <w:rsid w:val="003D7458"/>
    <w:rsid w:val="003E1111"/>
    <w:rsid w:val="003E11E5"/>
    <w:rsid w:val="003E187B"/>
    <w:rsid w:val="003E4502"/>
    <w:rsid w:val="003E6DBB"/>
    <w:rsid w:val="003F314B"/>
    <w:rsid w:val="003F3220"/>
    <w:rsid w:val="003F3CBA"/>
    <w:rsid w:val="003F40FC"/>
    <w:rsid w:val="003F5AFE"/>
    <w:rsid w:val="003F5FDE"/>
    <w:rsid w:val="003F60D3"/>
    <w:rsid w:val="0040537B"/>
    <w:rsid w:val="00405A95"/>
    <w:rsid w:val="0040660A"/>
    <w:rsid w:val="00406B17"/>
    <w:rsid w:val="00410F9E"/>
    <w:rsid w:val="00411042"/>
    <w:rsid w:val="004142E4"/>
    <w:rsid w:val="00417D70"/>
    <w:rsid w:val="00420004"/>
    <w:rsid w:val="00420E94"/>
    <w:rsid w:val="00420F61"/>
    <w:rsid w:val="00422D8A"/>
    <w:rsid w:val="00423E3E"/>
    <w:rsid w:val="00426FEE"/>
    <w:rsid w:val="00427750"/>
    <w:rsid w:val="00427A10"/>
    <w:rsid w:val="00427AF4"/>
    <w:rsid w:val="004303E2"/>
    <w:rsid w:val="00433ADF"/>
    <w:rsid w:val="00433F25"/>
    <w:rsid w:val="00434E37"/>
    <w:rsid w:val="0043567D"/>
    <w:rsid w:val="00435EFC"/>
    <w:rsid w:val="004374A0"/>
    <w:rsid w:val="00440B88"/>
    <w:rsid w:val="00440E95"/>
    <w:rsid w:val="004412E1"/>
    <w:rsid w:val="004466B9"/>
    <w:rsid w:val="00447D95"/>
    <w:rsid w:val="004538AB"/>
    <w:rsid w:val="004554D4"/>
    <w:rsid w:val="00456CF1"/>
    <w:rsid w:val="00457E03"/>
    <w:rsid w:val="00460B8B"/>
    <w:rsid w:val="0046171A"/>
    <w:rsid w:val="004618DC"/>
    <w:rsid w:val="004647DA"/>
    <w:rsid w:val="00465CED"/>
    <w:rsid w:val="0047309E"/>
    <w:rsid w:val="00474062"/>
    <w:rsid w:val="00474477"/>
    <w:rsid w:val="00477D6B"/>
    <w:rsid w:val="004822B8"/>
    <w:rsid w:val="00482E5E"/>
    <w:rsid w:val="0048376F"/>
    <w:rsid w:val="004901CD"/>
    <w:rsid w:val="00496C1B"/>
    <w:rsid w:val="0049775D"/>
    <w:rsid w:val="004A0265"/>
    <w:rsid w:val="004A1047"/>
    <w:rsid w:val="004A3391"/>
    <w:rsid w:val="004A35DD"/>
    <w:rsid w:val="004A416E"/>
    <w:rsid w:val="004A436E"/>
    <w:rsid w:val="004A5C30"/>
    <w:rsid w:val="004A7677"/>
    <w:rsid w:val="004B1057"/>
    <w:rsid w:val="004B1A6D"/>
    <w:rsid w:val="004B308B"/>
    <w:rsid w:val="004C1EB8"/>
    <w:rsid w:val="004C29EB"/>
    <w:rsid w:val="004C2B77"/>
    <w:rsid w:val="004C3159"/>
    <w:rsid w:val="004C426D"/>
    <w:rsid w:val="004D1A52"/>
    <w:rsid w:val="004D6DE4"/>
    <w:rsid w:val="004D7E17"/>
    <w:rsid w:val="004E1AC1"/>
    <w:rsid w:val="004E1E56"/>
    <w:rsid w:val="004E2756"/>
    <w:rsid w:val="004E56FB"/>
    <w:rsid w:val="004E6851"/>
    <w:rsid w:val="004E6C28"/>
    <w:rsid w:val="004F0C77"/>
    <w:rsid w:val="004F696D"/>
    <w:rsid w:val="004F71D6"/>
    <w:rsid w:val="004F7431"/>
    <w:rsid w:val="005019FF"/>
    <w:rsid w:val="005020B9"/>
    <w:rsid w:val="00503B8C"/>
    <w:rsid w:val="0051209B"/>
    <w:rsid w:val="00515C4E"/>
    <w:rsid w:val="005172FF"/>
    <w:rsid w:val="0052187A"/>
    <w:rsid w:val="00522CAD"/>
    <w:rsid w:val="00523060"/>
    <w:rsid w:val="00525DCC"/>
    <w:rsid w:val="005304C9"/>
    <w:rsid w:val="0053057A"/>
    <w:rsid w:val="00531379"/>
    <w:rsid w:val="0053183C"/>
    <w:rsid w:val="00531858"/>
    <w:rsid w:val="005318CA"/>
    <w:rsid w:val="00535A3F"/>
    <w:rsid w:val="00540952"/>
    <w:rsid w:val="00544B99"/>
    <w:rsid w:val="005452D3"/>
    <w:rsid w:val="00546E08"/>
    <w:rsid w:val="005555F6"/>
    <w:rsid w:val="0055670E"/>
    <w:rsid w:val="00560A29"/>
    <w:rsid w:val="005619F4"/>
    <w:rsid w:val="005652B3"/>
    <w:rsid w:val="00590EF6"/>
    <w:rsid w:val="005919B9"/>
    <w:rsid w:val="00591D63"/>
    <w:rsid w:val="00592B1B"/>
    <w:rsid w:val="00593E2D"/>
    <w:rsid w:val="0059550B"/>
    <w:rsid w:val="00595985"/>
    <w:rsid w:val="005A10FF"/>
    <w:rsid w:val="005A22AE"/>
    <w:rsid w:val="005A3B6A"/>
    <w:rsid w:val="005A41A5"/>
    <w:rsid w:val="005A5582"/>
    <w:rsid w:val="005A5977"/>
    <w:rsid w:val="005A5D18"/>
    <w:rsid w:val="005A72C9"/>
    <w:rsid w:val="005A76C8"/>
    <w:rsid w:val="005B0A60"/>
    <w:rsid w:val="005B0BA8"/>
    <w:rsid w:val="005B62D9"/>
    <w:rsid w:val="005B7B7C"/>
    <w:rsid w:val="005C1011"/>
    <w:rsid w:val="005C4A61"/>
    <w:rsid w:val="005C509A"/>
    <w:rsid w:val="005C6649"/>
    <w:rsid w:val="005C6ABC"/>
    <w:rsid w:val="005C7BDE"/>
    <w:rsid w:val="005D551B"/>
    <w:rsid w:val="005D6D8F"/>
    <w:rsid w:val="005E0AD0"/>
    <w:rsid w:val="005E2505"/>
    <w:rsid w:val="005E26E3"/>
    <w:rsid w:val="005E4A1C"/>
    <w:rsid w:val="005F1720"/>
    <w:rsid w:val="005F305A"/>
    <w:rsid w:val="005F4FED"/>
    <w:rsid w:val="005F539E"/>
    <w:rsid w:val="005F65AA"/>
    <w:rsid w:val="0060289C"/>
    <w:rsid w:val="00603369"/>
    <w:rsid w:val="00603855"/>
    <w:rsid w:val="006044B1"/>
    <w:rsid w:val="0060539C"/>
    <w:rsid w:val="00605827"/>
    <w:rsid w:val="0061207F"/>
    <w:rsid w:val="00617929"/>
    <w:rsid w:val="00622403"/>
    <w:rsid w:val="0063004F"/>
    <w:rsid w:val="006300B8"/>
    <w:rsid w:val="00632B12"/>
    <w:rsid w:val="006335D9"/>
    <w:rsid w:val="00635587"/>
    <w:rsid w:val="006418F7"/>
    <w:rsid w:val="00643806"/>
    <w:rsid w:val="0064573B"/>
    <w:rsid w:val="00646050"/>
    <w:rsid w:val="00650C91"/>
    <w:rsid w:val="00651621"/>
    <w:rsid w:val="00652F0B"/>
    <w:rsid w:val="00656BD6"/>
    <w:rsid w:val="00656C6A"/>
    <w:rsid w:val="006575B1"/>
    <w:rsid w:val="006579FC"/>
    <w:rsid w:val="00657A20"/>
    <w:rsid w:val="00660185"/>
    <w:rsid w:val="006642D7"/>
    <w:rsid w:val="0066750E"/>
    <w:rsid w:val="006713CA"/>
    <w:rsid w:val="006732AF"/>
    <w:rsid w:val="00674970"/>
    <w:rsid w:val="00676C5C"/>
    <w:rsid w:val="00686DDF"/>
    <w:rsid w:val="006878C9"/>
    <w:rsid w:val="00690FA8"/>
    <w:rsid w:val="00690FB4"/>
    <w:rsid w:val="00692F47"/>
    <w:rsid w:val="00693777"/>
    <w:rsid w:val="0069527E"/>
    <w:rsid w:val="0069779D"/>
    <w:rsid w:val="006A1AE3"/>
    <w:rsid w:val="006A27BD"/>
    <w:rsid w:val="006A46FF"/>
    <w:rsid w:val="006A7442"/>
    <w:rsid w:val="006B229E"/>
    <w:rsid w:val="006B674E"/>
    <w:rsid w:val="006C0108"/>
    <w:rsid w:val="006C3B18"/>
    <w:rsid w:val="006C42AD"/>
    <w:rsid w:val="006C4ECF"/>
    <w:rsid w:val="006D063F"/>
    <w:rsid w:val="006D17F9"/>
    <w:rsid w:val="006D1F7B"/>
    <w:rsid w:val="006D41E3"/>
    <w:rsid w:val="006D4BFD"/>
    <w:rsid w:val="006D5C4B"/>
    <w:rsid w:val="006D5C85"/>
    <w:rsid w:val="006D624C"/>
    <w:rsid w:val="006E0A0F"/>
    <w:rsid w:val="006E2BFC"/>
    <w:rsid w:val="006E70FB"/>
    <w:rsid w:val="006E7C0B"/>
    <w:rsid w:val="006F1B2A"/>
    <w:rsid w:val="006F6EBB"/>
    <w:rsid w:val="00701552"/>
    <w:rsid w:val="00704500"/>
    <w:rsid w:val="00711026"/>
    <w:rsid w:val="00714E90"/>
    <w:rsid w:val="007216B0"/>
    <w:rsid w:val="007222D5"/>
    <w:rsid w:val="00724B0B"/>
    <w:rsid w:val="00725849"/>
    <w:rsid w:val="007265C2"/>
    <w:rsid w:val="00727D4D"/>
    <w:rsid w:val="00732676"/>
    <w:rsid w:val="0073569B"/>
    <w:rsid w:val="00742A40"/>
    <w:rsid w:val="00744707"/>
    <w:rsid w:val="00744D14"/>
    <w:rsid w:val="007475D3"/>
    <w:rsid w:val="007525CF"/>
    <w:rsid w:val="00752ACF"/>
    <w:rsid w:val="00753A54"/>
    <w:rsid w:val="00753C87"/>
    <w:rsid w:val="00754E11"/>
    <w:rsid w:val="0076121E"/>
    <w:rsid w:val="00765A3F"/>
    <w:rsid w:val="0076756F"/>
    <w:rsid w:val="007726D9"/>
    <w:rsid w:val="00772732"/>
    <w:rsid w:val="007734E2"/>
    <w:rsid w:val="0077598B"/>
    <w:rsid w:val="00777EF2"/>
    <w:rsid w:val="00781AA8"/>
    <w:rsid w:val="00782E0F"/>
    <w:rsid w:val="007852EB"/>
    <w:rsid w:val="007860FF"/>
    <w:rsid w:val="007914C3"/>
    <w:rsid w:val="00792E37"/>
    <w:rsid w:val="007A18BD"/>
    <w:rsid w:val="007A2794"/>
    <w:rsid w:val="007A42E0"/>
    <w:rsid w:val="007A4B9E"/>
    <w:rsid w:val="007A4D0A"/>
    <w:rsid w:val="007A790C"/>
    <w:rsid w:val="007B314D"/>
    <w:rsid w:val="007B6C82"/>
    <w:rsid w:val="007C368C"/>
    <w:rsid w:val="007C4053"/>
    <w:rsid w:val="007C6A32"/>
    <w:rsid w:val="007C7E19"/>
    <w:rsid w:val="007D05D6"/>
    <w:rsid w:val="007D1602"/>
    <w:rsid w:val="007D1613"/>
    <w:rsid w:val="007D1C7B"/>
    <w:rsid w:val="007D34A4"/>
    <w:rsid w:val="007D4413"/>
    <w:rsid w:val="007E10E0"/>
    <w:rsid w:val="007E4C0E"/>
    <w:rsid w:val="007E542F"/>
    <w:rsid w:val="007F17B2"/>
    <w:rsid w:val="007F22DB"/>
    <w:rsid w:val="007F36AF"/>
    <w:rsid w:val="007F5CCD"/>
    <w:rsid w:val="00802F2D"/>
    <w:rsid w:val="00804CC9"/>
    <w:rsid w:val="00805349"/>
    <w:rsid w:val="00805470"/>
    <w:rsid w:val="0081217F"/>
    <w:rsid w:val="008222CB"/>
    <w:rsid w:val="008228CD"/>
    <w:rsid w:val="00822AAC"/>
    <w:rsid w:val="00824816"/>
    <w:rsid w:val="00827490"/>
    <w:rsid w:val="008277D4"/>
    <w:rsid w:val="00831CE0"/>
    <w:rsid w:val="00833FC7"/>
    <w:rsid w:val="00835B2D"/>
    <w:rsid w:val="00836AEE"/>
    <w:rsid w:val="0084020C"/>
    <w:rsid w:val="008433EC"/>
    <w:rsid w:val="00843D99"/>
    <w:rsid w:val="00855311"/>
    <w:rsid w:val="008559EB"/>
    <w:rsid w:val="008575BF"/>
    <w:rsid w:val="008604AB"/>
    <w:rsid w:val="0086106B"/>
    <w:rsid w:val="00863B44"/>
    <w:rsid w:val="00865A0B"/>
    <w:rsid w:val="00867C7E"/>
    <w:rsid w:val="00867FDC"/>
    <w:rsid w:val="00871392"/>
    <w:rsid w:val="0087307F"/>
    <w:rsid w:val="008743AD"/>
    <w:rsid w:val="00875031"/>
    <w:rsid w:val="00876E63"/>
    <w:rsid w:val="00877FB1"/>
    <w:rsid w:val="00880DBE"/>
    <w:rsid w:val="00883569"/>
    <w:rsid w:val="00884C08"/>
    <w:rsid w:val="00885386"/>
    <w:rsid w:val="00890762"/>
    <w:rsid w:val="00895845"/>
    <w:rsid w:val="008A0173"/>
    <w:rsid w:val="008A04EB"/>
    <w:rsid w:val="008A134B"/>
    <w:rsid w:val="008A3F09"/>
    <w:rsid w:val="008A660D"/>
    <w:rsid w:val="008A7B37"/>
    <w:rsid w:val="008A7C0C"/>
    <w:rsid w:val="008B037C"/>
    <w:rsid w:val="008B07E5"/>
    <w:rsid w:val="008B0F67"/>
    <w:rsid w:val="008B2302"/>
    <w:rsid w:val="008B2CC1"/>
    <w:rsid w:val="008B5C25"/>
    <w:rsid w:val="008B60B2"/>
    <w:rsid w:val="008C1588"/>
    <w:rsid w:val="008C5721"/>
    <w:rsid w:val="008D095E"/>
    <w:rsid w:val="008D20C8"/>
    <w:rsid w:val="008D6637"/>
    <w:rsid w:val="008E1E62"/>
    <w:rsid w:val="008E2C3E"/>
    <w:rsid w:val="008E4C71"/>
    <w:rsid w:val="008F1112"/>
    <w:rsid w:val="008F1D81"/>
    <w:rsid w:val="008F3231"/>
    <w:rsid w:val="00901A17"/>
    <w:rsid w:val="00902774"/>
    <w:rsid w:val="0090631F"/>
    <w:rsid w:val="0090731E"/>
    <w:rsid w:val="009102AC"/>
    <w:rsid w:val="009102E7"/>
    <w:rsid w:val="00911AA1"/>
    <w:rsid w:val="00911E2E"/>
    <w:rsid w:val="00911E34"/>
    <w:rsid w:val="00913D0E"/>
    <w:rsid w:val="00916EE2"/>
    <w:rsid w:val="009203EF"/>
    <w:rsid w:val="009230F0"/>
    <w:rsid w:val="009231AB"/>
    <w:rsid w:val="009262E7"/>
    <w:rsid w:val="00927758"/>
    <w:rsid w:val="009343E8"/>
    <w:rsid w:val="00935613"/>
    <w:rsid w:val="0093753E"/>
    <w:rsid w:val="0093760E"/>
    <w:rsid w:val="00940A15"/>
    <w:rsid w:val="00940A48"/>
    <w:rsid w:val="009439EA"/>
    <w:rsid w:val="0094400B"/>
    <w:rsid w:val="0094519D"/>
    <w:rsid w:val="009515D7"/>
    <w:rsid w:val="00952C72"/>
    <w:rsid w:val="009578ED"/>
    <w:rsid w:val="00960C14"/>
    <w:rsid w:val="0096101C"/>
    <w:rsid w:val="00962CD5"/>
    <w:rsid w:val="00965756"/>
    <w:rsid w:val="00966A22"/>
    <w:rsid w:val="0096722F"/>
    <w:rsid w:val="00971F4E"/>
    <w:rsid w:val="00972C6B"/>
    <w:rsid w:val="00972D79"/>
    <w:rsid w:val="00980843"/>
    <w:rsid w:val="009813A7"/>
    <w:rsid w:val="009825B4"/>
    <w:rsid w:val="009826CC"/>
    <w:rsid w:val="00986892"/>
    <w:rsid w:val="00987187"/>
    <w:rsid w:val="0099114F"/>
    <w:rsid w:val="00996B81"/>
    <w:rsid w:val="009A3A75"/>
    <w:rsid w:val="009A7164"/>
    <w:rsid w:val="009B0712"/>
    <w:rsid w:val="009B3EC2"/>
    <w:rsid w:val="009B6122"/>
    <w:rsid w:val="009C0EDD"/>
    <w:rsid w:val="009C4544"/>
    <w:rsid w:val="009C6632"/>
    <w:rsid w:val="009C6784"/>
    <w:rsid w:val="009C79B2"/>
    <w:rsid w:val="009D0553"/>
    <w:rsid w:val="009D0855"/>
    <w:rsid w:val="009D131B"/>
    <w:rsid w:val="009D3812"/>
    <w:rsid w:val="009D4873"/>
    <w:rsid w:val="009D50C2"/>
    <w:rsid w:val="009D734F"/>
    <w:rsid w:val="009E0EAE"/>
    <w:rsid w:val="009E158C"/>
    <w:rsid w:val="009E2791"/>
    <w:rsid w:val="009E3F6F"/>
    <w:rsid w:val="009E4C0A"/>
    <w:rsid w:val="009E4D2F"/>
    <w:rsid w:val="009E7FF8"/>
    <w:rsid w:val="009F499F"/>
    <w:rsid w:val="009F6D7F"/>
    <w:rsid w:val="00A01759"/>
    <w:rsid w:val="00A01D40"/>
    <w:rsid w:val="00A031A1"/>
    <w:rsid w:val="00A03890"/>
    <w:rsid w:val="00A03BBF"/>
    <w:rsid w:val="00A049D5"/>
    <w:rsid w:val="00A04A60"/>
    <w:rsid w:val="00A118AB"/>
    <w:rsid w:val="00A11EC9"/>
    <w:rsid w:val="00A1366B"/>
    <w:rsid w:val="00A155A3"/>
    <w:rsid w:val="00A21470"/>
    <w:rsid w:val="00A215DC"/>
    <w:rsid w:val="00A23CE7"/>
    <w:rsid w:val="00A2424D"/>
    <w:rsid w:val="00A253AF"/>
    <w:rsid w:val="00A279C6"/>
    <w:rsid w:val="00A31147"/>
    <w:rsid w:val="00A32314"/>
    <w:rsid w:val="00A356DB"/>
    <w:rsid w:val="00A3584A"/>
    <w:rsid w:val="00A37342"/>
    <w:rsid w:val="00A37C3C"/>
    <w:rsid w:val="00A37CD0"/>
    <w:rsid w:val="00A37DCA"/>
    <w:rsid w:val="00A427AF"/>
    <w:rsid w:val="00A42DAF"/>
    <w:rsid w:val="00A4350A"/>
    <w:rsid w:val="00A43AFF"/>
    <w:rsid w:val="00A45BD8"/>
    <w:rsid w:val="00A47E4C"/>
    <w:rsid w:val="00A51ECC"/>
    <w:rsid w:val="00A52DE1"/>
    <w:rsid w:val="00A53C8B"/>
    <w:rsid w:val="00A57F49"/>
    <w:rsid w:val="00A6452A"/>
    <w:rsid w:val="00A706C4"/>
    <w:rsid w:val="00A74C05"/>
    <w:rsid w:val="00A7652A"/>
    <w:rsid w:val="00A85EAE"/>
    <w:rsid w:val="00A869B7"/>
    <w:rsid w:val="00A87B2F"/>
    <w:rsid w:val="00A91E72"/>
    <w:rsid w:val="00A92056"/>
    <w:rsid w:val="00A921FF"/>
    <w:rsid w:val="00A928DC"/>
    <w:rsid w:val="00A97211"/>
    <w:rsid w:val="00A975E1"/>
    <w:rsid w:val="00AA2258"/>
    <w:rsid w:val="00AA4E68"/>
    <w:rsid w:val="00AA58FA"/>
    <w:rsid w:val="00AA65F3"/>
    <w:rsid w:val="00AA6BB3"/>
    <w:rsid w:val="00AB2FA5"/>
    <w:rsid w:val="00AB3745"/>
    <w:rsid w:val="00AB5F55"/>
    <w:rsid w:val="00AB6302"/>
    <w:rsid w:val="00AB7D22"/>
    <w:rsid w:val="00AC12BD"/>
    <w:rsid w:val="00AC205C"/>
    <w:rsid w:val="00AC6CEA"/>
    <w:rsid w:val="00AD0F90"/>
    <w:rsid w:val="00AD3B3D"/>
    <w:rsid w:val="00AD4674"/>
    <w:rsid w:val="00AE2A46"/>
    <w:rsid w:val="00AE32EB"/>
    <w:rsid w:val="00AE3B59"/>
    <w:rsid w:val="00AE40D5"/>
    <w:rsid w:val="00AF0A6B"/>
    <w:rsid w:val="00AF1FEF"/>
    <w:rsid w:val="00AF5CFB"/>
    <w:rsid w:val="00B0250A"/>
    <w:rsid w:val="00B04762"/>
    <w:rsid w:val="00B0548B"/>
    <w:rsid w:val="00B05A69"/>
    <w:rsid w:val="00B0726A"/>
    <w:rsid w:val="00B07E69"/>
    <w:rsid w:val="00B137CD"/>
    <w:rsid w:val="00B168D8"/>
    <w:rsid w:val="00B17469"/>
    <w:rsid w:val="00B2497A"/>
    <w:rsid w:val="00B25823"/>
    <w:rsid w:val="00B31AD2"/>
    <w:rsid w:val="00B41F2E"/>
    <w:rsid w:val="00B4218D"/>
    <w:rsid w:val="00B42775"/>
    <w:rsid w:val="00B442DC"/>
    <w:rsid w:val="00B44BFC"/>
    <w:rsid w:val="00B46E97"/>
    <w:rsid w:val="00B47903"/>
    <w:rsid w:val="00B47F96"/>
    <w:rsid w:val="00B50204"/>
    <w:rsid w:val="00B510AA"/>
    <w:rsid w:val="00B51399"/>
    <w:rsid w:val="00B5168B"/>
    <w:rsid w:val="00B52085"/>
    <w:rsid w:val="00B6020D"/>
    <w:rsid w:val="00B64F5E"/>
    <w:rsid w:val="00B667AB"/>
    <w:rsid w:val="00B66ED8"/>
    <w:rsid w:val="00B71CE8"/>
    <w:rsid w:val="00B76210"/>
    <w:rsid w:val="00B80C4F"/>
    <w:rsid w:val="00B851DF"/>
    <w:rsid w:val="00B9013C"/>
    <w:rsid w:val="00B90C7A"/>
    <w:rsid w:val="00B935A3"/>
    <w:rsid w:val="00B94128"/>
    <w:rsid w:val="00B94DFC"/>
    <w:rsid w:val="00B969A0"/>
    <w:rsid w:val="00B96DD8"/>
    <w:rsid w:val="00B9734B"/>
    <w:rsid w:val="00BA0C2C"/>
    <w:rsid w:val="00BA30E2"/>
    <w:rsid w:val="00BA6977"/>
    <w:rsid w:val="00BA6C94"/>
    <w:rsid w:val="00BB5CB4"/>
    <w:rsid w:val="00BB7F9E"/>
    <w:rsid w:val="00BC0BF8"/>
    <w:rsid w:val="00BC28AE"/>
    <w:rsid w:val="00BC2AC5"/>
    <w:rsid w:val="00BC3D36"/>
    <w:rsid w:val="00BD76A3"/>
    <w:rsid w:val="00BE35BB"/>
    <w:rsid w:val="00BE5772"/>
    <w:rsid w:val="00BE5B4C"/>
    <w:rsid w:val="00BE7658"/>
    <w:rsid w:val="00BF7E2E"/>
    <w:rsid w:val="00C00652"/>
    <w:rsid w:val="00C0117C"/>
    <w:rsid w:val="00C02144"/>
    <w:rsid w:val="00C039B3"/>
    <w:rsid w:val="00C05453"/>
    <w:rsid w:val="00C0775C"/>
    <w:rsid w:val="00C11BFE"/>
    <w:rsid w:val="00C13035"/>
    <w:rsid w:val="00C13753"/>
    <w:rsid w:val="00C215AA"/>
    <w:rsid w:val="00C23882"/>
    <w:rsid w:val="00C23CE5"/>
    <w:rsid w:val="00C242CD"/>
    <w:rsid w:val="00C27B72"/>
    <w:rsid w:val="00C40B21"/>
    <w:rsid w:val="00C4586B"/>
    <w:rsid w:val="00C5068F"/>
    <w:rsid w:val="00C509F6"/>
    <w:rsid w:val="00C53131"/>
    <w:rsid w:val="00C5369F"/>
    <w:rsid w:val="00C546C4"/>
    <w:rsid w:val="00C5681E"/>
    <w:rsid w:val="00C64C65"/>
    <w:rsid w:val="00C67443"/>
    <w:rsid w:val="00C71A96"/>
    <w:rsid w:val="00C72872"/>
    <w:rsid w:val="00C77AFF"/>
    <w:rsid w:val="00C849E8"/>
    <w:rsid w:val="00C85033"/>
    <w:rsid w:val="00C865EA"/>
    <w:rsid w:val="00C86D74"/>
    <w:rsid w:val="00C92C0A"/>
    <w:rsid w:val="00C94367"/>
    <w:rsid w:val="00CA148E"/>
    <w:rsid w:val="00CA2B29"/>
    <w:rsid w:val="00CA367E"/>
    <w:rsid w:val="00CB0546"/>
    <w:rsid w:val="00CB1104"/>
    <w:rsid w:val="00CB27E1"/>
    <w:rsid w:val="00CB68F7"/>
    <w:rsid w:val="00CC43BC"/>
    <w:rsid w:val="00CC4440"/>
    <w:rsid w:val="00CD04F1"/>
    <w:rsid w:val="00CD29A1"/>
    <w:rsid w:val="00CD6D2B"/>
    <w:rsid w:val="00CD781C"/>
    <w:rsid w:val="00CE09FB"/>
    <w:rsid w:val="00CE1E52"/>
    <w:rsid w:val="00CE2A50"/>
    <w:rsid w:val="00CE2D22"/>
    <w:rsid w:val="00CE31F5"/>
    <w:rsid w:val="00CF143B"/>
    <w:rsid w:val="00CF1931"/>
    <w:rsid w:val="00CF3114"/>
    <w:rsid w:val="00CF73FA"/>
    <w:rsid w:val="00CF79B1"/>
    <w:rsid w:val="00CF7BD3"/>
    <w:rsid w:val="00D01016"/>
    <w:rsid w:val="00D030C6"/>
    <w:rsid w:val="00D06148"/>
    <w:rsid w:val="00D06B80"/>
    <w:rsid w:val="00D07A60"/>
    <w:rsid w:val="00D16D72"/>
    <w:rsid w:val="00D175EA"/>
    <w:rsid w:val="00D17743"/>
    <w:rsid w:val="00D2040B"/>
    <w:rsid w:val="00D20C01"/>
    <w:rsid w:val="00D222D4"/>
    <w:rsid w:val="00D25762"/>
    <w:rsid w:val="00D266DB"/>
    <w:rsid w:val="00D334A8"/>
    <w:rsid w:val="00D3397D"/>
    <w:rsid w:val="00D344D4"/>
    <w:rsid w:val="00D36C4D"/>
    <w:rsid w:val="00D37762"/>
    <w:rsid w:val="00D37F98"/>
    <w:rsid w:val="00D40A28"/>
    <w:rsid w:val="00D424EF"/>
    <w:rsid w:val="00D42BC1"/>
    <w:rsid w:val="00D43AA2"/>
    <w:rsid w:val="00D45252"/>
    <w:rsid w:val="00D4705B"/>
    <w:rsid w:val="00D50826"/>
    <w:rsid w:val="00D60395"/>
    <w:rsid w:val="00D648B6"/>
    <w:rsid w:val="00D650C7"/>
    <w:rsid w:val="00D6535E"/>
    <w:rsid w:val="00D71B4D"/>
    <w:rsid w:val="00D71C05"/>
    <w:rsid w:val="00D75DFE"/>
    <w:rsid w:val="00D80E18"/>
    <w:rsid w:val="00D81E31"/>
    <w:rsid w:val="00D823A3"/>
    <w:rsid w:val="00D842BC"/>
    <w:rsid w:val="00D84909"/>
    <w:rsid w:val="00D90966"/>
    <w:rsid w:val="00D9361B"/>
    <w:rsid w:val="00D93D55"/>
    <w:rsid w:val="00D95A63"/>
    <w:rsid w:val="00DA0F78"/>
    <w:rsid w:val="00DA6EF8"/>
    <w:rsid w:val="00DB6F74"/>
    <w:rsid w:val="00DB7F2B"/>
    <w:rsid w:val="00DC3593"/>
    <w:rsid w:val="00DC3EEA"/>
    <w:rsid w:val="00DC5D6A"/>
    <w:rsid w:val="00DD20F7"/>
    <w:rsid w:val="00DE1922"/>
    <w:rsid w:val="00DE50EB"/>
    <w:rsid w:val="00DE6272"/>
    <w:rsid w:val="00DE6749"/>
    <w:rsid w:val="00DE704E"/>
    <w:rsid w:val="00DE779E"/>
    <w:rsid w:val="00DF6028"/>
    <w:rsid w:val="00E02D72"/>
    <w:rsid w:val="00E072E5"/>
    <w:rsid w:val="00E10B4A"/>
    <w:rsid w:val="00E10CF5"/>
    <w:rsid w:val="00E13DCB"/>
    <w:rsid w:val="00E1435E"/>
    <w:rsid w:val="00E14CDF"/>
    <w:rsid w:val="00E15015"/>
    <w:rsid w:val="00E1574D"/>
    <w:rsid w:val="00E21544"/>
    <w:rsid w:val="00E248E7"/>
    <w:rsid w:val="00E24D53"/>
    <w:rsid w:val="00E25968"/>
    <w:rsid w:val="00E25BFD"/>
    <w:rsid w:val="00E335FE"/>
    <w:rsid w:val="00E34DF5"/>
    <w:rsid w:val="00E34FF0"/>
    <w:rsid w:val="00E419F0"/>
    <w:rsid w:val="00E446C3"/>
    <w:rsid w:val="00E449A7"/>
    <w:rsid w:val="00E47168"/>
    <w:rsid w:val="00E50A9C"/>
    <w:rsid w:val="00E52B1A"/>
    <w:rsid w:val="00E60492"/>
    <w:rsid w:val="00E6635E"/>
    <w:rsid w:val="00E7064C"/>
    <w:rsid w:val="00E71AC2"/>
    <w:rsid w:val="00E766B4"/>
    <w:rsid w:val="00E77BEF"/>
    <w:rsid w:val="00E81C9C"/>
    <w:rsid w:val="00E84AF8"/>
    <w:rsid w:val="00E86E4F"/>
    <w:rsid w:val="00E87F56"/>
    <w:rsid w:val="00E964B7"/>
    <w:rsid w:val="00E966E8"/>
    <w:rsid w:val="00EA47F8"/>
    <w:rsid w:val="00EA4A8F"/>
    <w:rsid w:val="00EA50FC"/>
    <w:rsid w:val="00EA7D6E"/>
    <w:rsid w:val="00EB007F"/>
    <w:rsid w:val="00EB15DB"/>
    <w:rsid w:val="00EB2945"/>
    <w:rsid w:val="00EB458D"/>
    <w:rsid w:val="00EC3A07"/>
    <w:rsid w:val="00EC44FA"/>
    <w:rsid w:val="00EC4E49"/>
    <w:rsid w:val="00ED47B1"/>
    <w:rsid w:val="00ED77FB"/>
    <w:rsid w:val="00ED7E11"/>
    <w:rsid w:val="00EE008D"/>
    <w:rsid w:val="00EE038E"/>
    <w:rsid w:val="00EE0C6A"/>
    <w:rsid w:val="00EE0F0D"/>
    <w:rsid w:val="00EE35A8"/>
    <w:rsid w:val="00EE45FA"/>
    <w:rsid w:val="00EE49AB"/>
    <w:rsid w:val="00EF33EF"/>
    <w:rsid w:val="00EF3450"/>
    <w:rsid w:val="00EF5458"/>
    <w:rsid w:val="00F0773F"/>
    <w:rsid w:val="00F11207"/>
    <w:rsid w:val="00F13AE2"/>
    <w:rsid w:val="00F14ACC"/>
    <w:rsid w:val="00F15D55"/>
    <w:rsid w:val="00F207BF"/>
    <w:rsid w:val="00F20B54"/>
    <w:rsid w:val="00F220AF"/>
    <w:rsid w:val="00F22275"/>
    <w:rsid w:val="00F26F79"/>
    <w:rsid w:val="00F32B8E"/>
    <w:rsid w:val="00F33BF2"/>
    <w:rsid w:val="00F36014"/>
    <w:rsid w:val="00F4149E"/>
    <w:rsid w:val="00F43385"/>
    <w:rsid w:val="00F44ABD"/>
    <w:rsid w:val="00F44E74"/>
    <w:rsid w:val="00F45897"/>
    <w:rsid w:val="00F45B8D"/>
    <w:rsid w:val="00F45C55"/>
    <w:rsid w:val="00F47F74"/>
    <w:rsid w:val="00F507DF"/>
    <w:rsid w:val="00F51916"/>
    <w:rsid w:val="00F55DAB"/>
    <w:rsid w:val="00F61DE8"/>
    <w:rsid w:val="00F64826"/>
    <w:rsid w:val="00F66152"/>
    <w:rsid w:val="00F67354"/>
    <w:rsid w:val="00F70389"/>
    <w:rsid w:val="00F7072F"/>
    <w:rsid w:val="00F744B7"/>
    <w:rsid w:val="00F76696"/>
    <w:rsid w:val="00F77A6F"/>
    <w:rsid w:val="00F811DA"/>
    <w:rsid w:val="00F81F04"/>
    <w:rsid w:val="00F82B42"/>
    <w:rsid w:val="00F8337B"/>
    <w:rsid w:val="00F83FD2"/>
    <w:rsid w:val="00F85796"/>
    <w:rsid w:val="00F85AA7"/>
    <w:rsid w:val="00F8764B"/>
    <w:rsid w:val="00F87E48"/>
    <w:rsid w:val="00F906F7"/>
    <w:rsid w:val="00F92C74"/>
    <w:rsid w:val="00FA5466"/>
    <w:rsid w:val="00FA7385"/>
    <w:rsid w:val="00FB1434"/>
    <w:rsid w:val="00FB245C"/>
    <w:rsid w:val="00FB5FDF"/>
    <w:rsid w:val="00FC4970"/>
    <w:rsid w:val="00FC65C5"/>
    <w:rsid w:val="00FC71C6"/>
    <w:rsid w:val="00FC75ED"/>
    <w:rsid w:val="00FD29C0"/>
    <w:rsid w:val="00FD4A82"/>
    <w:rsid w:val="00FD4FB0"/>
    <w:rsid w:val="00FD5FD7"/>
    <w:rsid w:val="00FE0224"/>
    <w:rsid w:val="00FE7160"/>
    <w:rsid w:val="00FF1031"/>
    <w:rsid w:val="00FF39CE"/>
    <w:rsid w:val="00FF5D1D"/>
    <w:rsid w:val="00FF5F81"/>
    <w:rsid w:val="00FF6783"/>
  </w:rsids>
  <m:mathPr>
    <m:mathFont m:val="Cambria Math"/>
    <m:brkBin m:val="before"/>
    <m:brkBinSub m:val="--"/>
    <m:smallFrac m:val="0"/>
    <m:dispDef/>
    <m:lMargin m:val="0"/>
    <m:rMargin m:val="0"/>
    <m:defJc m:val="centerGroup"/>
    <m:wrapIndent m:val="1440"/>
    <m:intLim m:val="subSup"/>
    <m:naryLim m:val="undOvr"/>
  </m:mathPr>
  <w:themeFontLang w:val="fr-CH"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fr-CH" w:eastAsia="fr-CH"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qFormat="1"/>
    <w:lsdException w:name="macro" w:semiHidden="0" w:unhideWhenUsed="0"/>
    <w:lsdException w:name="List Bullet" w:semiHidden="0" w:unhideWhenUsed="0"/>
    <w:lsdException w:name="List Number" w:semiHidden="0" w:unhideWhenUsed="0"/>
    <w:lsdException w:name="Title" w:semiHidden="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uiPriority="99"/>
    <w:lsdException w:name="Strong" w:semiHidden="0" w:unhideWhenUsed="0" w:qFormat="1"/>
    <w:lsdException w:name="Emphasis" w:semiHidden="0" w:unhideWhenUsed="0" w:qFormat="1"/>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76C5C"/>
    <w:rPr>
      <w:rFonts w:ascii="Arial" w:hAnsi="Arial" w:cs="Arial"/>
      <w:sz w:val="22"/>
      <w:lang w:val="en-US" w:eastAsia="zh-CN"/>
    </w:rPr>
  </w:style>
  <w:style w:type="paragraph" w:styleId="Heading1">
    <w:name w:val="heading 1"/>
    <w:basedOn w:val="Normal"/>
    <w:next w:val="Normal"/>
    <w:link w:val="Heading1Char"/>
    <w:uiPriority w:val="9"/>
    <w:qFormat/>
    <w:rsid w:val="00676C5C"/>
    <w:pPr>
      <w:keepNext/>
      <w:spacing w:before="240" w:after="60"/>
      <w:outlineLvl w:val="0"/>
    </w:pPr>
    <w:rPr>
      <w:b/>
      <w:bCs/>
      <w:caps/>
      <w:kern w:val="32"/>
      <w:szCs w:val="32"/>
    </w:rPr>
  </w:style>
  <w:style w:type="paragraph" w:styleId="Heading2">
    <w:name w:val="heading 2"/>
    <w:basedOn w:val="Normal"/>
    <w:next w:val="Normal"/>
    <w:link w:val="Heading2Char"/>
    <w:uiPriority w:val="9"/>
    <w:qFormat/>
    <w:rsid w:val="00676C5C"/>
    <w:pPr>
      <w:keepNext/>
      <w:spacing w:before="240" w:after="60"/>
      <w:outlineLvl w:val="1"/>
    </w:pPr>
    <w:rPr>
      <w:bCs/>
      <w:iCs/>
      <w:caps/>
      <w:szCs w:val="28"/>
    </w:rPr>
  </w:style>
  <w:style w:type="paragraph" w:styleId="Heading3">
    <w:name w:val="heading 3"/>
    <w:basedOn w:val="Normal"/>
    <w:next w:val="Normal"/>
    <w:qFormat/>
    <w:rsid w:val="00676C5C"/>
    <w:pPr>
      <w:keepNext/>
      <w:spacing w:before="240" w:after="60"/>
      <w:outlineLvl w:val="2"/>
    </w:pPr>
    <w:rPr>
      <w:bCs/>
      <w:szCs w:val="26"/>
      <w:u w:val="single"/>
    </w:rPr>
  </w:style>
  <w:style w:type="paragraph" w:styleId="Heading4">
    <w:name w:val="heading 4"/>
    <w:basedOn w:val="Normal"/>
    <w:next w:val="Normal"/>
    <w:qFormat/>
    <w:rsid w:val="00676C5C"/>
    <w:pPr>
      <w:keepNext/>
      <w:spacing w:before="240" w:after="60"/>
      <w:outlineLvl w:val="3"/>
    </w:pPr>
    <w:rPr>
      <w:bCs/>
      <w:i/>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ndofdocument-Annex">
    <w:name w:val="[End of document - Annex]"/>
    <w:basedOn w:val="Normal"/>
    <w:rsid w:val="0053057A"/>
    <w:pPr>
      <w:ind w:left="5534"/>
    </w:pPr>
  </w:style>
  <w:style w:type="paragraph" w:styleId="BodyText">
    <w:name w:val="Body Text"/>
    <w:basedOn w:val="Normal"/>
    <w:rsid w:val="00676C5C"/>
    <w:pPr>
      <w:spacing w:after="220"/>
    </w:pPr>
  </w:style>
  <w:style w:type="paragraph" w:styleId="Caption">
    <w:name w:val="caption"/>
    <w:basedOn w:val="Normal"/>
    <w:next w:val="Normal"/>
    <w:qFormat/>
    <w:rsid w:val="00676C5C"/>
    <w:rPr>
      <w:b/>
      <w:bCs/>
      <w:sz w:val="18"/>
    </w:rPr>
  </w:style>
  <w:style w:type="paragraph" w:styleId="CommentText">
    <w:name w:val="annotation text"/>
    <w:basedOn w:val="Normal"/>
    <w:link w:val="CommentTextChar"/>
    <w:semiHidden/>
    <w:rsid w:val="00676C5C"/>
    <w:rPr>
      <w:sz w:val="18"/>
    </w:rPr>
  </w:style>
  <w:style w:type="paragraph" w:styleId="EndnoteText">
    <w:name w:val="endnote text"/>
    <w:basedOn w:val="Normal"/>
    <w:semiHidden/>
    <w:rsid w:val="00676C5C"/>
    <w:rPr>
      <w:sz w:val="18"/>
    </w:rPr>
  </w:style>
  <w:style w:type="paragraph" w:styleId="Footer">
    <w:name w:val="footer"/>
    <w:basedOn w:val="Normal"/>
    <w:semiHidden/>
    <w:rsid w:val="00676C5C"/>
    <w:pPr>
      <w:tabs>
        <w:tab w:val="center" w:pos="4320"/>
        <w:tab w:val="right" w:pos="8640"/>
      </w:tabs>
    </w:pPr>
  </w:style>
  <w:style w:type="paragraph" w:styleId="FootnoteText">
    <w:name w:val="footnote text"/>
    <w:basedOn w:val="Normal"/>
    <w:semiHidden/>
    <w:rsid w:val="00676C5C"/>
    <w:rPr>
      <w:sz w:val="18"/>
    </w:rPr>
  </w:style>
  <w:style w:type="paragraph" w:styleId="Header">
    <w:name w:val="header"/>
    <w:basedOn w:val="Normal"/>
    <w:link w:val="HeaderChar"/>
    <w:uiPriority w:val="99"/>
    <w:rsid w:val="00676C5C"/>
    <w:pPr>
      <w:tabs>
        <w:tab w:val="center" w:pos="4536"/>
        <w:tab w:val="right" w:pos="9072"/>
      </w:tabs>
    </w:pPr>
  </w:style>
  <w:style w:type="paragraph" w:styleId="ListNumber">
    <w:name w:val="List Number"/>
    <w:basedOn w:val="Normal"/>
    <w:semiHidden/>
    <w:rsid w:val="00676C5C"/>
    <w:pPr>
      <w:numPr>
        <w:numId w:val="1"/>
      </w:numPr>
    </w:pPr>
  </w:style>
  <w:style w:type="paragraph" w:customStyle="1" w:styleId="ONUME">
    <w:name w:val="ONUM E"/>
    <w:basedOn w:val="BodyText"/>
    <w:qFormat/>
    <w:rsid w:val="00676C5C"/>
    <w:pPr>
      <w:numPr>
        <w:numId w:val="2"/>
      </w:numPr>
    </w:pPr>
  </w:style>
  <w:style w:type="paragraph" w:customStyle="1" w:styleId="ONUMFS">
    <w:name w:val="ONUM FS"/>
    <w:basedOn w:val="BodyText"/>
    <w:rsid w:val="00676C5C"/>
    <w:pPr>
      <w:numPr>
        <w:numId w:val="3"/>
      </w:numPr>
    </w:pPr>
  </w:style>
  <w:style w:type="paragraph" w:styleId="Salutation">
    <w:name w:val="Salutation"/>
    <w:basedOn w:val="Normal"/>
    <w:next w:val="Normal"/>
    <w:semiHidden/>
    <w:rsid w:val="00676C5C"/>
  </w:style>
  <w:style w:type="paragraph" w:styleId="Signature">
    <w:name w:val="Signature"/>
    <w:basedOn w:val="Normal"/>
    <w:semiHidden/>
    <w:rsid w:val="00676C5C"/>
    <w:pPr>
      <w:ind w:left="5250"/>
    </w:pPr>
  </w:style>
  <w:style w:type="paragraph" w:styleId="BalloonText">
    <w:name w:val="Balloon Text"/>
    <w:basedOn w:val="Normal"/>
    <w:link w:val="BalloonTextChar"/>
    <w:rsid w:val="005C7BDE"/>
    <w:rPr>
      <w:rFonts w:ascii="Tahoma" w:hAnsi="Tahoma" w:cs="Tahoma"/>
      <w:sz w:val="16"/>
      <w:szCs w:val="16"/>
    </w:rPr>
  </w:style>
  <w:style w:type="character" w:customStyle="1" w:styleId="BalloonTextChar">
    <w:name w:val="Balloon Text Char"/>
    <w:basedOn w:val="DefaultParagraphFont"/>
    <w:link w:val="BalloonText"/>
    <w:rsid w:val="005C7BDE"/>
    <w:rPr>
      <w:rFonts w:ascii="Tahoma" w:eastAsia="SimSun" w:hAnsi="Tahoma" w:cs="Tahoma"/>
      <w:sz w:val="16"/>
      <w:szCs w:val="16"/>
      <w:lang w:val="en-US" w:eastAsia="zh-CN"/>
    </w:rPr>
  </w:style>
  <w:style w:type="paragraph" w:styleId="Date">
    <w:name w:val="Date"/>
    <w:basedOn w:val="Normal"/>
    <w:next w:val="Normal"/>
    <w:link w:val="DateChar"/>
    <w:rsid w:val="00FF5D1D"/>
  </w:style>
  <w:style w:type="character" w:customStyle="1" w:styleId="DateChar">
    <w:name w:val="Date Char"/>
    <w:basedOn w:val="DefaultParagraphFont"/>
    <w:link w:val="Date"/>
    <w:rsid w:val="00FF5D1D"/>
    <w:rPr>
      <w:rFonts w:ascii="Arial" w:eastAsia="SimSun" w:hAnsi="Arial" w:cs="Arial"/>
      <w:sz w:val="22"/>
      <w:lang w:val="en-US" w:eastAsia="zh-CN"/>
    </w:rPr>
  </w:style>
  <w:style w:type="table" w:styleId="TableGrid">
    <w:name w:val="Table Grid"/>
    <w:basedOn w:val="TableNormal"/>
    <w:rsid w:val="003763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qFormat/>
    <w:rsid w:val="003E187B"/>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3E187B"/>
    <w:rPr>
      <w:rFonts w:asciiTheme="majorHAnsi" w:eastAsiaTheme="majorEastAsia" w:hAnsiTheme="majorHAnsi" w:cstheme="majorBidi"/>
      <w:color w:val="17365D" w:themeColor="text2" w:themeShade="BF"/>
      <w:spacing w:val="5"/>
      <w:kern w:val="28"/>
      <w:sz w:val="52"/>
      <w:szCs w:val="52"/>
      <w:lang w:val="en-US" w:eastAsia="zh-CN"/>
    </w:rPr>
  </w:style>
  <w:style w:type="character" w:styleId="Emphasis">
    <w:name w:val="Emphasis"/>
    <w:basedOn w:val="DefaultParagraphFont"/>
    <w:qFormat/>
    <w:rsid w:val="003E187B"/>
    <w:rPr>
      <w:i/>
      <w:iCs/>
    </w:rPr>
  </w:style>
  <w:style w:type="paragraph" w:styleId="ListParagraph">
    <w:name w:val="List Paragraph"/>
    <w:basedOn w:val="Normal"/>
    <w:uiPriority w:val="34"/>
    <w:qFormat/>
    <w:rsid w:val="009262E7"/>
    <w:pPr>
      <w:ind w:left="720"/>
      <w:contextualSpacing/>
    </w:pPr>
    <w:rPr>
      <w:rFonts w:asciiTheme="minorHAnsi" w:eastAsia="MS Mincho" w:hAnsiTheme="minorHAnsi" w:cstheme="minorBidi"/>
      <w:sz w:val="24"/>
      <w:szCs w:val="24"/>
      <w:lang w:eastAsia="en-US"/>
    </w:rPr>
  </w:style>
  <w:style w:type="character" w:styleId="Hyperlink">
    <w:name w:val="Hyperlink"/>
    <w:uiPriority w:val="99"/>
    <w:unhideWhenUsed/>
    <w:rsid w:val="009262E7"/>
    <w:rPr>
      <w:color w:val="0000FF"/>
      <w:u w:val="single"/>
    </w:rPr>
  </w:style>
  <w:style w:type="character" w:styleId="FootnoteReference">
    <w:name w:val="footnote reference"/>
    <w:basedOn w:val="DefaultParagraphFont"/>
    <w:rsid w:val="008D6637"/>
    <w:rPr>
      <w:vertAlign w:val="superscript"/>
    </w:rPr>
  </w:style>
  <w:style w:type="character" w:styleId="CommentReference">
    <w:name w:val="annotation reference"/>
    <w:basedOn w:val="DefaultParagraphFont"/>
    <w:rsid w:val="008A3F09"/>
    <w:rPr>
      <w:sz w:val="16"/>
      <w:szCs w:val="16"/>
    </w:rPr>
  </w:style>
  <w:style w:type="paragraph" w:styleId="CommentSubject">
    <w:name w:val="annotation subject"/>
    <w:basedOn w:val="CommentText"/>
    <w:next w:val="CommentText"/>
    <w:link w:val="CommentSubjectChar"/>
    <w:rsid w:val="008A3F09"/>
    <w:rPr>
      <w:b/>
      <w:bCs/>
      <w:sz w:val="20"/>
    </w:rPr>
  </w:style>
  <w:style w:type="character" w:customStyle="1" w:styleId="CommentTextChar">
    <w:name w:val="Comment Text Char"/>
    <w:basedOn w:val="DefaultParagraphFont"/>
    <w:link w:val="CommentText"/>
    <w:semiHidden/>
    <w:rsid w:val="008A3F09"/>
    <w:rPr>
      <w:rFonts w:ascii="Arial" w:eastAsia="SimSun" w:hAnsi="Arial" w:cs="Arial"/>
      <w:sz w:val="18"/>
      <w:lang w:val="en-US" w:eastAsia="zh-CN"/>
    </w:rPr>
  </w:style>
  <w:style w:type="character" w:customStyle="1" w:styleId="CommentSubjectChar">
    <w:name w:val="Comment Subject Char"/>
    <w:basedOn w:val="CommentTextChar"/>
    <w:link w:val="CommentSubject"/>
    <w:rsid w:val="008A3F09"/>
    <w:rPr>
      <w:rFonts w:ascii="Arial" w:eastAsia="SimSun" w:hAnsi="Arial" w:cs="Arial"/>
      <w:b/>
      <w:bCs/>
      <w:sz w:val="18"/>
      <w:lang w:val="en-US" w:eastAsia="zh-CN"/>
    </w:rPr>
  </w:style>
  <w:style w:type="character" w:customStyle="1" w:styleId="Heading2Char">
    <w:name w:val="Heading 2 Char"/>
    <w:basedOn w:val="DefaultParagraphFont"/>
    <w:link w:val="Heading2"/>
    <w:uiPriority w:val="9"/>
    <w:rsid w:val="00A97211"/>
    <w:rPr>
      <w:rFonts w:ascii="Arial" w:eastAsia="SimSun" w:hAnsi="Arial" w:cs="Arial"/>
      <w:bCs/>
      <w:iCs/>
      <w:caps/>
      <w:sz w:val="22"/>
      <w:szCs w:val="28"/>
      <w:lang w:val="en-US" w:eastAsia="zh-CN"/>
    </w:rPr>
  </w:style>
  <w:style w:type="paragraph" w:styleId="NormalWeb">
    <w:name w:val="Normal (Web)"/>
    <w:basedOn w:val="Normal"/>
    <w:rsid w:val="000A7BC0"/>
    <w:rPr>
      <w:rFonts w:ascii="Times New Roman" w:hAnsi="Times New Roman" w:cs="Times New Roman"/>
      <w:sz w:val="24"/>
      <w:szCs w:val="24"/>
    </w:rPr>
  </w:style>
  <w:style w:type="character" w:customStyle="1" w:styleId="Heading1Char">
    <w:name w:val="Heading 1 Char"/>
    <w:basedOn w:val="DefaultParagraphFont"/>
    <w:link w:val="Heading1"/>
    <w:uiPriority w:val="9"/>
    <w:rsid w:val="001A4331"/>
    <w:rPr>
      <w:rFonts w:ascii="Arial" w:eastAsia="SimSun" w:hAnsi="Arial" w:cs="Arial"/>
      <w:b/>
      <w:bCs/>
      <w:caps/>
      <w:kern w:val="32"/>
      <w:sz w:val="22"/>
      <w:szCs w:val="32"/>
      <w:lang w:val="en-US" w:eastAsia="zh-CN"/>
    </w:rPr>
  </w:style>
  <w:style w:type="character" w:customStyle="1" w:styleId="HeaderChar">
    <w:name w:val="Header Char"/>
    <w:basedOn w:val="DefaultParagraphFont"/>
    <w:link w:val="Header"/>
    <w:uiPriority w:val="99"/>
    <w:rsid w:val="004901CD"/>
    <w:rPr>
      <w:rFonts w:ascii="Arial" w:eastAsia="SimSun" w:hAnsi="Arial" w:cs="Arial"/>
      <w:sz w:val="22"/>
      <w:lang w:val="en-US" w:eastAsia="zh-CN"/>
    </w:rPr>
  </w:style>
  <w:style w:type="character" w:styleId="FollowedHyperlink">
    <w:name w:val="FollowedHyperlink"/>
    <w:basedOn w:val="DefaultParagraphFont"/>
    <w:semiHidden/>
    <w:unhideWhenUsed/>
    <w:rsid w:val="00BE5772"/>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fr-CH" w:eastAsia="fr-CH"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qFormat="1"/>
    <w:lsdException w:name="macro" w:semiHidden="0" w:unhideWhenUsed="0"/>
    <w:lsdException w:name="List Bullet" w:semiHidden="0" w:unhideWhenUsed="0"/>
    <w:lsdException w:name="List Number" w:semiHidden="0" w:unhideWhenUsed="0"/>
    <w:lsdException w:name="Title" w:semiHidden="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uiPriority="99"/>
    <w:lsdException w:name="Strong" w:semiHidden="0" w:unhideWhenUsed="0" w:qFormat="1"/>
    <w:lsdException w:name="Emphasis" w:semiHidden="0" w:unhideWhenUsed="0" w:qFormat="1"/>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76C5C"/>
    <w:rPr>
      <w:rFonts w:ascii="Arial" w:hAnsi="Arial" w:cs="Arial"/>
      <w:sz w:val="22"/>
      <w:lang w:val="en-US" w:eastAsia="zh-CN"/>
    </w:rPr>
  </w:style>
  <w:style w:type="paragraph" w:styleId="Heading1">
    <w:name w:val="heading 1"/>
    <w:basedOn w:val="Normal"/>
    <w:next w:val="Normal"/>
    <w:link w:val="Heading1Char"/>
    <w:uiPriority w:val="9"/>
    <w:qFormat/>
    <w:rsid w:val="00676C5C"/>
    <w:pPr>
      <w:keepNext/>
      <w:spacing w:before="240" w:after="60"/>
      <w:outlineLvl w:val="0"/>
    </w:pPr>
    <w:rPr>
      <w:b/>
      <w:bCs/>
      <w:caps/>
      <w:kern w:val="32"/>
      <w:szCs w:val="32"/>
    </w:rPr>
  </w:style>
  <w:style w:type="paragraph" w:styleId="Heading2">
    <w:name w:val="heading 2"/>
    <w:basedOn w:val="Normal"/>
    <w:next w:val="Normal"/>
    <w:link w:val="Heading2Char"/>
    <w:uiPriority w:val="9"/>
    <w:qFormat/>
    <w:rsid w:val="00676C5C"/>
    <w:pPr>
      <w:keepNext/>
      <w:spacing w:before="240" w:after="60"/>
      <w:outlineLvl w:val="1"/>
    </w:pPr>
    <w:rPr>
      <w:bCs/>
      <w:iCs/>
      <w:caps/>
      <w:szCs w:val="28"/>
    </w:rPr>
  </w:style>
  <w:style w:type="paragraph" w:styleId="Heading3">
    <w:name w:val="heading 3"/>
    <w:basedOn w:val="Normal"/>
    <w:next w:val="Normal"/>
    <w:qFormat/>
    <w:rsid w:val="00676C5C"/>
    <w:pPr>
      <w:keepNext/>
      <w:spacing w:before="240" w:after="60"/>
      <w:outlineLvl w:val="2"/>
    </w:pPr>
    <w:rPr>
      <w:bCs/>
      <w:szCs w:val="26"/>
      <w:u w:val="single"/>
    </w:rPr>
  </w:style>
  <w:style w:type="paragraph" w:styleId="Heading4">
    <w:name w:val="heading 4"/>
    <w:basedOn w:val="Normal"/>
    <w:next w:val="Normal"/>
    <w:qFormat/>
    <w:rsid w:val="00676C5C"/>
    <w:pPr>
      <w:keepNext/>
      <w:spacing w:before="240" w:after="60"/>
      <w:outlineLvl w:val="3"/>
    </w:pPr>
    <w:rPr>
      <w:bCs/>
      <w:i/>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ndofdocument-Annex">
    <w:name w:val="[End of document - Annex]"/>
    <w:basedOn w:val="Normal"/>
    <w:rsid w:val="0053057A"/>
    <w:pPr>
      <w:ind w:left="5534"/>
    </w:pPr>
  </w:style>
  <w:style w:type="paragraph" w:styleId="BodyText">
    <w:name w:val="Body Text"/>
    <w:basedOn w:val="Normal"/>
    <w:rsid w:val="00676C5C"/>
    <w:pPr>
      <w:spacing w:after="220"/>
    </w:pPr>
  </w:style>
  <w:style w:type="paragraph" w:styleId="Caption">
    <w:name w:val="caption"/>
    <w:basedOn w:val="Normal"/>
    <w:next w:val="Normal"/>
    <w:qFormat/>
    <w:rsid w:val="00676C5C"/>
    <w:rPr>
      <w:b/>
      <w:bCs/>
      <w:sz w:val="18"/>
    </w:rPr>
  </w:style>
  <w:style w:type="paragraph" w:styleId="CommentText">
    <w:name w:val="annotation text"/>
    <w:basedOn w:val="Normal"/>
    <w:link w:val="CommentTextChar"/>
    <w:semiHidden/>
    <w:rsid w:val="00676C5C"/>
    <w:rPr>
      <w:sz w:val="18"/>
    </w:rPr>
  </w:style>
  <w:style w:type="paragraph" w:styleId="EndnoteText">
    <w:name w:val="endnote text"/>
    <w:basedOn w:val="Normal"/>
    <w:semiHidden/>
    <w:rsid w:val="00676C5C"/>
    <w:rPr>
      <w:sz w:val="18"/>
    </w:rPr>
  </w:style>
  <w:style w:type="paragraph" w:styleId="Footer">
    <w:name w:val="footer"/>
    <w:basedOn w:val="Normal"/>
    <w:semiHidden/>
    <w:rsid w:val="00676C5C"/>
    <w:pPr>
      <w:tabs>
        <w:tab w:val="center" w:pos="4320"/>
        <w:tab w:val="right" w:pos="8640"/>
      </w:tabs>
    </w:pPr>
  </w:style>
  <w:style w:type="paragraph" w:styleId="FootnoteText">
    <w:name w:val="footnote text"/>
    <w:basedOn w:val="Normal"/>
    <w:semiHidden/>
    <w:rsid w:val="00676C5C"/>
    <w:rPr>
      <w:sz w:val="18"/>
    </w:rPr>
  </w:style>
  <w:style w:type="paragraph" w:styleId="Header">
    <w:name w:val="header"/>
    <w:basedOn w:val="Normal"/>
    <w:link w:val="HeaderChar"/>
    <w:uiPriority w:val="99"/>
    <w:rsid w:val="00676C5C"/>
    <w:pPr>
      <w:tabs>
        <w:tab w:val="center" w:pos="4536"/>
        <w:tab w:val="right" w:pos="9072"/>
      </w:tabs>
    </w:pPr>
  </w:style>
  <w:style w:type="paragraph" w:styleId="ListNumber">
    <w:name w:val="List Number"/>
    <w:basedOn w:val="Normal"/>
    <w:semiHidden/>
    <w:rsid w:val="00676C5C"/>
    <w:pPr>
      <w:numPr>
        <w:numId w:val="1"/>
      </w:numPr>
    </w:pPr>
  </w:style>
  <w:style w:type="paragraph" w:customStyle="1" w:styleId="ONUME">
    <w:name w:val="ONUM E"/>
    <w:basedOn w:val="BodyText"/>
    <w:qFormat/>
    <w:rsid w:val="00676C5C"/>
    <w:pPr>
      <w:numPr>
        <w:numId w:val="2"/>
      </w:numPr>
    </w:pPr>
  </w:style>
  <w:style w:type="paragraph" w:customStyle="1" w:styleId="ONUMFS">
    <w:name w:val="ONUM FS"/>
    <w:basedOn w:val="BodyText"/>
    <w:rsid w:val="00676C5C"/>
    <w:pPr>
      <w:numPr>
        <w:numId w:val="3"/>
      </w:numPr>
    </w:pPr>
  </w:style>
  <w:style w:type="paragraph" w:styleId="Salutation">
    <w:name w:val="Salutation"/>
    <w:basedOn w:val="Normal"/>
    <w:next w:val="Normal"/>
    <w:semiHidden/>
    <w:rsid w:val="00676C5C"/>
  </w:style>
  <w:style w:type="paragraph" w:styleId="Signature">
    <w:name w:val="Signature"/>
    <w:basedOn w:val="Normal"/>
    <w:semiHidden/>
    <w:rsid w:val="00676C5C"/>
    <w:pPr>
      <w:ind w:left="5250"/>
    </w:pPr>
  </w:style>
  <w:style w:type="paragraph" w:styleId="BalloonText">
    <w:name w:val="Balloon Text"/>
    <w:basedOn w:val="Normal"/>
    <w:link w:val="BalloonTextChar"/>
    <w:rsid w:val="005C7BDE"/>
    <w:rPr>
      <w:rFonts w:ascii="Tahoma" w:hAnsi="Tahoma" w:cs="Tahoma"/>
      <w:sz w:val="16"/>
      <w:szCs w:val="16"/>
    </w:rPr>
  </w:style>
  <w:style w:type="character" w:customStyle="1" w:styleId="BalloonTextChar">
    <w:name w:val="Balloon Text Char"/>
    <w:basedOn w:val="DefaultParagraphFont"/>
    <w:link w:val="BalloonText"/>
    <w:rsid w:val="005C7BDE"/>
    <w:rPr>
      <w:rFonts w:ascii="Tahoma" w:eastAsia="SimSun" w:hAnsi="Tahoma" w:cs="Tahoma"/>
      <w:sz w:val="16"/>
      <w:szCs w:val="16"/>
      <w:lang w:val="en-US" w:eastAsia="zh-CN"/>
    </w:rPr>
  </w:style>
  <w:style w:type="paragraph" w:styleId="Date">
    <w:name w:val="Date"/>
    <w:basedOn w:val="Normal"/>
    <w:next w:val="Normal"/>
    <w:link w:val="DateChar"/>
    <w:rsid w:val="00FF5D1D"/>
  </w:style>
  <w:style w:type="character" w:customStyle="1" w:styleId="DateChar">
    <w:name w:val="Date Char"/>
    <w:basedOn w:val="DefaultParagraphFont"/>
    <w:link w:val="Date"/>
    <w:rsid w:val="00FF5D1D"/>
    <w:rPr>
      <w:rFonts w:ascii="Arial" w:eastAsia="SimSun" w:hAnsi="Arial" w:cs="Arial"/>
      <w:sz w:val="22"/>
      <w:lang w:val="en-US" w:eastAsia="zh-CN"/>
    </w:rPr>
  </w:style>
  <w:style w:type="table" w:styleId="TableGrid">
    <w:name w:val="Table Grid"/>
    <w:basedOn w:val="TableNormal"/>
    <w:rsid w:val="003763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qFormat/>
    <w:rsid w:val="003E187B"/>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3E187B"/>
    <w:rPr>
      <w:rFonts w:asciiTheme="majorHAnsi" w:eastAsiaTheme="majorEastAsia" w:hAnsiTheme="majorHAnsi" w:cstheme="majorBidi"/>
      <w:color w:val="17365D" w:themeColor="text2" w:themeShade="BF"/>
      <w:spacing w:val="5"/>
      <w:kern w:val="28"/>
      <w:sz w:val="52"/>
      <w:szCs w:val="52"/>
      <w:lang w:val="en-US" w:eastAsia="zh-CN"/>
    </w:rPr>
  </w:style>
  <w:style w:type="character" w:styleId="Emphasis">
    <w:name w:val="Emphasis"/>
    <w:basedOn w:val="DefaultParagraphFont"/>
    <w:qFormat/>
    <w:rsid w:val="003E187B"/>
    <w:rPr>
      <w:i/>
      <w:iCs/>
    </w:rPr>
  </w:style>
  <w:style w:type="paragraph" w:styleId="ListParagraph">
    <w:name w:val="List Paragraph"/>
    <w:basedOn w:val="Normal"/>
    <w:uiPriority w:val="34"/>
    <w:qFormat/>
    <w:rsid w:val="009262E7"/>
    <w:pPr>
      <w:ind w:left="720"/>
      <w:contextualSpacing/>
    </w:pPr>
    <w:rPr>
      <w:rFonts w:asciiTheme="minorHAnsi" w:eastAsia="MS Mincho" w:hAnsiTheme="minorHAnsi" w:cstheme="minorBidi"/>
      <w:sz w:val="24"/>
      <w:szCs w:val="24"/>
      <w:lang w:eastAsia="en-US"/>
    </w:rPr>
  </w:style>
  <w:style w:type="character" w:styleId="Hyperlink">
    <w:name w:val="Hyperlink"/>
    <w:uiPriority w:val="99"/>
    <w:unhideWhenUsed/>
    <w:rsid w:val="009262E7"/>
    <w:rPr>
      <w:color w:val="0000FF"/>
      <w:u w:val="single"/>
    </w:rPr>
  </w:style>
  <w:style w:type="character" w:styleId="FootnoteReference">
    <w:name w:val="footnote reference"/>
    <w:basedOn w:val="DefaultParagraphFont"/>
    <w:rsid w:val="008D6637"/>
    <w:rPr>
      <w:vertAlign w:val="superscript"/>
    </w:rPr>
  </w:style>
  <w:style w:type="character" w:styleId="CommentReference">
    <w:name w:val="annotation reference"/>
    <w:basedOn w:val="DefaultParagraphFont"/>
    <w:rsid w:val="008A3F09"/>
    <w:rPr>
      <w:sz w:val="16"/>
      <w:szCs w:val="16"/>
    </w:rPr>
  </w:style>
  <w:style w:type="paragraph" w:styleId="CommentSubject">
    <w:name w:val="annotation subject"/>
    <w:basedOn w:val="CommentText"/>
    <w:next w:val="CommentText"/>
    <w:link w:val="CommentSubjectChar"/>
    <w:rsid w:val="008A3F09"/>
    <w:rPr>
      <w:b/>
      <w:bCs/>
      <w:sz w:val="20"/>
    </w:rPr>
  </w:style>
  <w:style w:type="character" w:customStyle="1" w:styleId="CommentTextChar">
    <w:name w:val="Comment Text Char"/>
    <w:basedOn w:val="DefaultParagraphFont"/>
    <w:link w:val="CommentText"/>
    <w:semiHidden/>
    <w:rsid w:val="008A3F09"/>
    <w:rPr>
      <w:rFonts w:ascii="Arial" w:eastAsia="SimSun" w:hAnsi="Arial" w:cs="Arial"/>
      <w:sz w:val="18"/>
      <w:lang w:val="en-US" w:eastAsia="zh-CN"/>
    </w:rPr>
  </w:style>
  <w:style w:type="character" w:customStyle="1" w:styleId="CommentSubjectChar">
    <w:name w:val="Comment Subject Char"/>
    <w:basedOn w:val="CommentTextChar"/>
    <w:link w:val="CommentSubject"/>
    <w:rsid w:val="008A3F09"/>
    <w:rPr>
      <w:rFonts w:ascii="Arial" w:eastAsia="SimSun" w:hAnsi="Arial" w:cs="Arial"/>
      <w:b/>
      <w:bCs/>
      <w:sz w:val="18"/>
      <w:lang w:val="en-US" w:eastAsia="zh-CN"/>
    </w:rPr>
  </w:style>
  <w:style w:type="character" w:customStyle="1" w:styleId="Heading2Char">
    <w:name w:val="Heading 2 Char"/>
    <w:basedOn w:val="DefaultParagraphFont"/>
    <w:link w:val="Heading2"/>
    <w:uiPriority w:val="9"/>
    <w:rsid w:val="00A97211"/>
    <w:rPr>
      <w:rFonts w:ascii="Arial" w:eastAsia="SimSun" w:hAnsi="Arial" w:cs="Arial"/>
      <w:bCs/>
      <w:iCs/>
      <w:caps/>
      <w:sz w:val="22"/>
      <w:szCs w:val="28"/>
      <w:lang w:val="en-US" w:eastAsia="zh-CN"/>
    </w:rPr>
  </w:style>
  <w:style w:type="paragraph" w:styleId="NormalWeb">
    <w:name w:val="Normal (Web)"/>
    <w:basedOn w:val="Normal"/>
    <w:rsid w:val="000A7BC0"/>
    <w:rPr>
      <w:rFonts w:ascii="Times New Roman" w:hAnsi="Times New Roman" w:cs="Times New Roman"/>
      <w:sz w:val="24"/>
      <w:szCs w:val="24"/>
    </w:rPr>
  </w:style>
  <w:style w:type="character" w:customStyle="1" w:styleId="Heading1Char">
    <w:name w:val="Heading 1 Char"/>
    <w:basedOn w:val="DefaultParagraphFont"/>
    <w:link w:val="Heading1"/>
    <w:uiPriority w:val="9"/>
    <w:rsid w:val="001A4331"/>
    <w:rPr>
      <w:rFonts w:ascii="Arial" w:eastAsia="SimSun" w:hAnsi="Arial" w:cs="Arial"/>
      <w:b/>
      <w:bCs/>
      <w:caps/>
      <w:kern w:val="32"/>
      <w:sz w:val="22"/>
      <w:szCs w:val="32"/>
      <w:lang w:val="en-US" w:eastAsia="zh-CN"/>
    </w:rPr>
  </w:style>
  <w:style w:type="character" w:customStyle="1" w:styleId="HeaderChar">
    <w:name w:val="Header Char"/>
    <w:basedOn w:val="DefaultParagraphFont"/>
    <w:link w:val="Header"/>
    <w:uiPriority w:val="99"/>
    <w:rsid w:val="004901CD"/>
    <w:rPr>
      <w:rFonts w:ascii="Arial" w:eastAsia="SimSun" w:hAnsi="Arial" w:cs="Arial"/>
      <w:sz w:val="22"/>
      <w:lang w:val="en-US" w:eastAsia="zh-CN"/>
    </w:rPr>
  </w:style>
  <w:style w:type="character" w:styleId="FollowedHyperlink">
    <w:name w:val="FollowedHyperlink"/>
    <w:basedOn w:val="DefaultParagraphFont"/>
    <w:semiHidden/>
    <w:unhideWhenUsed/>
    <w:rsid w:val="00BE5772"/>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78751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em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emf"/><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eader" Target="header1.xml"/></Relationships>
</file>

<file path=word/_rels/footnotes.xml.rels><?xml version="1.0" encoding="UTF-8" standalone="yes"?>
<Relationships xmlns="http://schemas.openxmlformats.org/package/2006/relationships"><Relationship Id="rId3" Type="http://schemas.openxmlformats.org/officeDocument/2006/relationships/hyperlink" Target="http://www.wipo.int/edocs/mdocs/cws/zh/cws_5/cws_5_22.pdf" TargetMode="External"/><Relationship Id="rId7" Type="http://schemas.openxmlformats.org/officeDocument/2006/relationships/hyperlink" Target="http://www.wipo.int/edocs/mdocs/cws/zh/cws_5/cws_5_22.pdf" TargetMode="External"/><Relationship Id="rId2" Type="http://schemas.openxmlformats.org/officeDocument/2006/relationships/hyperlink" Target="http://www.wipo.int/edocs/mdocs/cws/zh/cws_5/cws_5_22.pdf" TargetMode="External"/><Relationship Id="rId1" Type="http://schemas.openxmlformats.org/officeDocument/2006/relationships/hyperlink" Target="http://www.wipo.int/edocs/mdocs/sct/zh/sct_39/sct_39_2.pdf" TargetMode="External"/><Relationship Id="rId6" Type="http://schemas.openxmlformats.org/officeDocument/2006/relationships/hyperlink" Target="http://www.wipo.int/pressroom/zh/articles/2017/article_0010.html" TargetMode="External"/><Relationship Id="rId5" Type="http://schemas.openxmlformats.org/officeDocument/2006/relationships/hyperlink" Target="http://www.wipo.int/classifications/ipc/zh/" TargetMode="External"/><Relationship Id="rId4" Type="http://schemas.openxmlformats.org/officeDocument/2006/relationships/hyperlink" Target="http://www.wipo.int/standards/en/part_03_standards.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4BA2D6-8E83-4380-83C3-15DDBB8422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24</Pages>
  <Words>25255</Words>
  <Characters>1338</Characters>
  <Application>Microsoft Office Word</Application>
  <DocSecurity>4</DocSecurity>
  <Lines>11</Lines>
  <Paragraphs>53</Paragraphs>
  <ScaleCrop>false</ScaleCrop>
  <HeadingPairs>
    <vt:vector size="2" baseType="variant">
      <vt:variant>
        <vt:lpstr>Title</vt:lpstr>
      </vt:variant>
      <vt:variant>
        <vt:i4>1</vt:i4>
      </vt:variant>
    </vt:vector>
  </HeadingPairs>
  <TitlesOfParts>
    <vt:vector size="1" baseType="lpstr">
      <vt:lpstr>WIPO/IP/ITAI/GE/18/3</vt:lpstr>
    </vt:vector>
  </TitlesOfParts>
  <Company>WIPO</Company>
  <LinksUpToDate>false</LinksUpToDate>
  <CharactersWithSpaces>26540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WIPO/IP/ITAI/GE/18/3</dc:title>
  <dc:subject>知识产权局的国家和国际信通技术战略</dc:subject>
  <dc:creator>FEDER-AGUILERA Nancy</dc:creator>
  <cp:lastModifiedBy>FEDER-AGUILERA Nancy</cp:lastModifiedBy>
  <cp:revision>2</cp:revision>
  <cp:lastPrinted>2018-03-20T09:35:00Z</cp:lastPrinted>
  <dcterms:created xsi:type="dcterms:W3CDTF">2018-04-05T07:27:00Z</dcterms:created>
  <dcterms:modified xsi:type="dcterms:W3CDTF">2018-04-05T07:27:00Z</dcterms:modified>
</cp:coreProperties>
</file>