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bidi="ar-EG"/>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F74BC0">
            <w:pPr>
              <w:pStyle w:val="DocumentCodeAR"/>
              <w:bidi/>
              <w:rPr>
                <w:rtl/>
              </w:rPr>
            </w:pPr>
            <w:r>
              <w:t>A</w:t>
            </w:r>
            <w:r w:rsidR="00100F97">
              <w:t>/</w:t>
            </w:r>
            <w:r w:rsidR="00B774A4">
              <w:t>5</w:t>
            </w:r>
            <w:r w:rsidR="00703293">
              <w:t>6</w:t>
            </w:r>
            <w:r w:rsidR="00F74BC0">
              <w:t>/INF/5</w:t>
            </w:r>
          </w:p>
        </w:tc>
      </w:tr>
      <w:tr w:rsidR="001667B6" w:rsidTr="00BF164F">
        <w:tc>
          <w:tcPr>
            <w:tcW w:w="9571" w:type="dxa"/>
            <w:gridSpan w:val="3"/>
          </w:tcPr>
          <w:p w:rsidR="001667B6" w:rsidRPr="00B6101C" w:rsidRDefault="00B6101C" w:rsidP="00F74BC0">
            <w:pPr>
              <w:pStyle w:val="DocumentLanguageAR"/>
              <w:bidi/>
              <w:rPr>
                <w:rtl/>
              </w:rPr>
            </w:pPr>
            <w:r w:rsidRPr="00B6101C">
              <w:rPr>
                <w:rFonts w:hint="cs"/>
                <w:rtl/>
              </w:rPr>
              <w:t xml:space="preserve">الأصل: </w:t>
            </w:r>
            <w:r w:rsidR="00F74BC0" w:rsidRPr="00F74BC0">
              <w:rPr>
                <w:rtl/>
              </w:rPr>
              <w:t>بالإنكليزية</w:t>
            </w:r>
          </w:p>
        </w:tc>
      </w:tr>
      <w:tr w:rsidR="001667B6" w:rsidTr="00BF164F">
        <w:tc>
          <w:tcPr>
            <w:tcW w:w="9571" w:type="dxa"/>
            <w:gridSpan w:val="3"/>
          </w:tcPr>
          <w:p w:rsidR="001667B6" w:rsidRPr="00B6101C" w:rsidRDefault="00B6101C" w:rsidP="00E86AC6">
            <w:pPr>
              <w:pStyle w:val="DocumentDateAR"/>
              <w:bidi/>
              <w:rPr>
                <w:rtl/>
              </w:rPr>
            </w:pPr>
            <w:r w:rsidRPr="00B6101C">
              <w:rPr>
                <w:rFonts w:hint="cs"/>
                <w:rtl/>
              </w:rPr>
              <w:t xml:space="preserve">التاريخ: </w:t>
            </w:r>
            <w:r w:rsidR="00E86AC6">
              <w:rPr>
                <w:rFonts w:hint="cs"/>
                <w:rtl/>
              </w:rPr>
              <w:t>18</w:t>
            </w:r>
            <w:r w:rsidRPr="00B6101C">
              <w:rPr>
                <w:rFonts w:hint="cs"/>
                <w:rtl/>
              </w:rPr>
              <w:t xml:space="preserve"> </w:t>
            </w:r>
            <w:r w:rsidR="00F74BC0">
              <w:rPr>
                <w:rFonts w:hint="cs"/>
                <w:rtl/>
              </w:rPr>
              <w:t>يو</w:t>
            </w:r>
            <w:r w:rsidR="00E86AC6">
              <w:rPr>
                <w:rFonts w:hint="cs"/>
                <w:rtl/>
              </w:rPr>
              <w:t>ل</w:t>
            </w:r>
            <w:r w:rsidR="00F74BC0">
              <w:rPr>
                <w:rFonts w:hint="cs"/>
                <w:rtl/>
              </w:rPr>
              <w:t>يو</w:t>
            </w:r>
            <w:r w:rsidRPr="00B6101C">
              <w:rPr>
                <w:rFonts w:hint="cs"/>
                <w:rtl/>
              </w:rPr>
              <w:t xml:space="preserve"> </w:t>
            </w:r>
            <w:r w:rsidR="00B774A4">
              <w:rPr>
                <w:rFonts w:hint="cs"/>
                <w:rtl/>
              </w:rPr>
              <w:t>201</w:t>
            </w:r>
            <w:r w:rsidR="00703293">
              <w:rPr>
                <w:rFonts w:hint="cs"/>
                <w:rtl/>
              </w:rPr>
              <w:t>6</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703293">
      <w:pPr>
        <w:pStyle w:val="MeetingSessionAR"/>
        <w:bidi/>
        <w:rPr>
          <w:rtl/>
        </w:rPr>
      </w:pPr>
      <w:r w:rsidRPr="00D61541">
        <w:rPr>
          <w:rFonts w:hint="cs"/>
          <w:rtl/>
        </w:rPr>
        <w:t xml:space="preserve">سلسلة الاجتماعات </w:t>
      </w:r>
      <w:r w:rsidR="00703293">
        <w:rPr>
          <w:rFonts w:hint="cs"/>
          <w:rtl/>
        </w:rPr>
        <w:t>السادسة</w:t>
      </w:r>
      <w:r w:rsidR="00C76865">
        <w:rPr>
          <w:rFonts w:hint="cs"/>
          <w:rtl/>
        </w:rPr>
        <w:t xml:space="preserve"> </w:t>
      </w:r>
      <w:r>
        <w:rPr>
          <w:rFonts w:hint="cs"/>
          <w:rtl/>
        </w:rPr>
        <w:t>والخمسون</w:t>
      </w:r>
    </w:p>
    <w:p w:rsidR="001E12A4" w:rsidRPr="00D61541" w:rsidRDefault="001E12A4" w:rsidP="00703293">
      <w:pPr>
        <w:pStyle w:val="MeetingDatesAR"/>
        <w:bidi/>
        <w:rPr>
          <w:rtl/>
        </w:rPr>
      </w:pPr>
      <w:r w:rsidRPr="00D61541">
        <w:rPr>
          <w:rFonts w:hint="cs"/>
          <w:rtl/>
        </w:rPr>
        <w:t xml:space="preserve">جنيف، </w:t>
      </w:r>
      <w:r w:rsidR="008C50F7">
        <w:rPr>
          <w:rFonts w:hint="cs"/>
          <w:rtl/>
        </w:rPr>
        <w:t xml:space="preserve">من </w:t>
      </w:r>
      <w:r w:rsidR="00703293">
        <w:rPr>
          <w:rFonts w:hint="cs"/>
          <w:rtl/>
        </w:rPr>
        <w:t>3</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B774A4">
        <w:rPr>
          <w:rFonts w:hint="cs"/>
          <w:rtl/>
        </w:rPr>
        <w:t>201</w:t>
      </w:r>
      <w:r w:rsidR="00703293">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74BC0" w:rsidP="00FB7EC9">
      <w:pPr>
        <w:pStyle w:val="DocumentTitleAR"/>
        <w:bidi/>
        <w:rPr>
          <w:rtl/>
          <w:lang w:bidi="ar-EG"/>
        </w:rPr>
      </w:pPr>
      <w:r>
        <w:rPr>
          <w:rFonts w:hint="cs"/>
          <w:rtl/>
          <w:lang w:bidi="ar-EG"/>
        </w:rPr>
        <w:t>وضع الانضمام إلى المعاهدات التي تديرها الويبو ومسائل الإصلاح الدستوري</w:t>
      </w:r>
    </w:p>
    <w:p w:rsidR="00D61541" w:rsidRPr="00D61541" w:rsidRDefault="00237F46"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sidR="00F74BC0">
        <w:rPr>
          <w:rFonts w:hint="cs"/>
          <w:rtl/>
        </w:rPr>
        <w:t xml:space="preserve"> الأمانة</w:t>
      </w:r>
    </w:p>
    <w:p w:rsidR="008C50F7" w:rsidRDefault="00F74BC0" w:rsidP="00E86AC6">
      <w:pPr>
        <w:pStyle w:val="NormalParaAR"/>
        <w:rPr>
          <w:rtl/>
          <w:lang w:bidi="ar-EG"/>
        </w:rPr>
      </w:pPr>
      <w:r>
        <w:rPr>
          <w:rFonts w:hint="cs"/>
          <w:rtl/>
        </w:rPr>
        <w:t xml:space="preserve">تورد هذه الوثيقة تطور </w:t>
      </w:r>
      <w:r w:rsidR="00DB03A3">
        <w:rPr>
          <w:rFonts w:hint="cs"/>
          <w:rtl/>
        </w:rPr>
        <w:t>الانضما</w:t>
      </w:r>
      <w:r w:rsidR="00DB03A3">
        <w:rPr>
          <w:rFonts w:hint="eastAsia"/>
          <w:rtl/>
        </w:rPr>
        <w:t>م</w:t>
      </w:r>
      <w:r>
        <w:rPr>
          <w:rFonts w:hint="cs"/>
          <w:rtl/>
        </w:rPr>
        <w:t xml:space="preserve"> إلى</w:t>
      </w:r>
      <w:r w:rsidR="00DB03A3">
        <w:rPr>
          <w:rFonts w:hint="cs"/>
          <w:rtl/>
        </w:rPr>
        <w:t xml:space="preserve"> المعاهدات التي تديرها المنظمة العالمية للملكية الفكرية (الويبو)</w:t>
      </w:r>
      <w:r w:rsidR="00DB03A3">
        <w:rPr>
          <w:rFonts w:hint="cs"/>
          <w:rtl/>
          <w:lang w:bidi="ar-EG"/>
        </w:rPr>
        <w:t xml:space="preserve"> من</w:t>
      </w:r>
      <w:r w:rsidR="00DB03A3">
        <w:rPr>
          <w:rFonts w:hint="eastAsia"/>
          <w:rtl/>
          <w:lang w:bidi="ar-EG"/>
        </w:rPr>
        <w:t> </w:t>
      </w:r>
      <w:r w:rsidR="00DB03A3">
        <w:rPr>
          <w:rFonts w:hint="cs"/>
          <w:rtl/>
          <w:lang w:bidi="ar-EG"/>
        </w:rPr>
        <w:t>1 يناير 1970 إلى</w:t>
      </w:r>
      <w:r w:rsidR="00E86AC6">
        <w:rPr>
          <w:rFonts w:hint="eastAsia"/>
          <w:rtl/>
          <w:lang w:bidi="ar-EG"/>
        </w:rPr>
        <w:t> </w:t>
      </w:r>
      <w:r w:rsidR="00E86AC6">
        <w:rPr>
          <w:rFonts w:hint="cs"/>
          <w:rtl/>
          <w:lang w:bidi="ar-EG"/>
        </w:rPr>
        <w:t>18</w:t>
      </w:r>
      <w:r w:rsidR="00DB03A3">
        <w:rPr>
          <w:rFonts w:hint="cs"/>
          <w:rtl/>
          <w:lang w:bidi="ar-EG"/>
        </w:rPr>
        <w:t> </w:t>
      </w:r>
      <w:r w:rsidR="00E86AC6">
        <w:rPr>
          <w:rFonts w:hint="cs"/>
          <w:rtl/>
          <w:lang w:bidi="ar-EG"/>
        </w:rPr>
        <w:t>يوليو</w:t>
      </w:r>
      <w:r w:rsidR="00DB03A3">
        <w:rPr>
          <w:rFonts w:hint="eastAsia"/>
          <w:rtl/>
          <w:lang w:bidi="ar-EG"/>
        </w:rPr>
        <w:t> 2016 و</w:t>
      </w:r>
      <w:r w:rsidR="00DB03A3">
        <w:rPr>
          <w:rFonts w:hint="cs"/>
          <w:rtl/>
          <w:lang w:bidi="ar-EG"/>
        </w:rPr>
        <w:t>المستجدات في مسائل الإصلاح الدستوري.</w:t>
      </w:r>
    </w:p>
    <w:p w:rsidR="00EF5EE9" w:rsidRDefault="00DB03A3" w:rsidP="00E86AC6">
      <w:pPr>
        <w:pStyle w:val="NormalParaAR"/>
        <w:rPr>
          <w:rtl/>
          <w:lang w:bidi="ar-EG"/>
        </w:rPr>
      </w:pPr>
      <w:r>
        <w:rPr>
          <w:rFonts w:hint="cs"/>
          <w:rtl/>
          <w:lang w:bidi="ar-EG"/>
        </w:rPr>
        <w:t>وتلفت الوثيقة النظر تح</w:t>
      </w:r>
      <w:r w:rsidR="005E6352">
        <w:rPr>
          <w:rFonts w:hint="cs"/>
          <w:rtl/>
          <w:lang w:bidi="ar-EG"/>
        </w:rPr>
        <w:t>ديدا إلى معاهدات الويبو التي حُدِّ</w:t>
      </w:r>
      <w:r>
        <w:rPr>
          <w:rFonts w:hint="cs"/>
          <w:rtl/>
          <w:lang w:bidi="ar-EG"/>
        </w:rPr>
        <w:t>ث</w:t>
      </w:r>
      <w:r w:rsidR="005E6352">
        <w:rPr>
          <w:rFonts w:hint="cs"/>
          <w:rtl/>
          <w:lang w:bidi="ar-EG"/>
        </w:rPr>
        <w:t>َ</w:t>
      </w:r>
      <w:r>
        <w:rPr>
          <w:rFonts w:hint="cs"/>
          <w:rtl/>
          <w:lang w:bidi="ar-EG"/>
        </w:rPr>
        <w:t xml:space="preserve">ت إما عن طريق اعتماد </w:t>
      </w:r>
      <w:r w:rsidR="00265FDC">
        <w:rPr>
          <w:rFonts w:hint="cs"/>
          <w:rtl/>
          <w:lang w:bidi="ar-EG"/>
        </w:rPr>
        <w:t>وثيقة</w:t>
      </w:r>
      <w:r>
        <w:rPr>
          <w:rFonts w:hint="cs"/>
          <w:rtl/>
          <w:lang w:bidi="ar-EG"/>
        </w:rPr>
        <w:t xml:space="preserve"> أو صك جديد</w:t>
      </w:r>
      <w:r>
        <w:rPr>
          <w:rStyle w:val="FootnoteReference"/>
          <w:rtl/>
          <w:lang w:bidi="ar-EG"/>
        </w:rPr>
        <w:footnoteReference w:id="1"/>
      </w:r>
      <w:r w:rsidR="00265FDC">
        <w:rPr>
          <w:rFonts w:hint="cs"/>
          <w:rtl/>
          <w:lang w:bidi="ar-EG"/>
        </w:rPr>
        <w:t xml:space="preserve"> (يتطلب</w:t>
      </w:r>
      <w:r w:rsidR="001072A2">
        <w:rPr>
          <w:rFonts w:hint="cs"/>
          <w:rtl/>
          <w:lang w:bidi="ar-EG"/>
        </w:rPr>
        <w:t>ان</w:t>
      </w:r>
      <w:r w:rsidR="00265FDC">
        <w:rPr>
          <w:rFonts w:hint="cs"/>
          <w:rtl/>
          <w:lang w:bidi="ar-EG"/>
        </w:rPr>
        <w:t xml:space="preserve"> الانضمام</w:t>
      </w:r>
      <w:r w:rsidR="00E86AC6">
        <w:rPr>
          <w:rFonts w:hint="eastAsia"/>
          <w:rtl/>
          <w:lang w:bidi="ar-EG"/>
        </w:rPr>
        <w:t> </w:t>
      </w:r>
      <w:r w:rsidR="00265FDC">
        <w:rPr>
          <w:rFonts w:hint="cs"/>
          <w:rtl/>
          <w:lang w:bidi="ar-EG"/>
        </w:rPr>
        <w:t>إليه</w:t>
      </w:r>
      <w:r w:rsidR="001072A2">
        <w:rPr>
          <w:rFonts w:hint="cs"/>
          <w:rtl/>
          <w:lang w:bidi="ar-EG"/>
        </w:rPr>
        <w:t>ما</w:t>
      </w:r>
      <w:r w:rsidR="00265FDC">
        <w:rPr>
          <w:rFonts w:hint="cs"/>
          <w:rtl/>
          <w:lang w:bidi="ar-EG"/>
        </w:rPr>
        <w:t xml:space="preserve">) من خلال قرار </w:t>
      </w:r>
      <w:r w:rsidR="00BA6310">
        <w:rPr>
          <w:rFonts w:hint="cs"/>
          <w:rtl/>
          <w:lang w:bidi="ar-EG"/>
        </w:rPr>
        <w:t xml:space="preserve">بتجميد </w:t>
      </w:r>
      <w:r w:rsidR="005C4462">
        <w:rPr>
          <w:rFonts w:hint="cs"/>
          <w:rtl/>
          <w:lang w:bidi="ar-EG"/>
        </w:rPr>
        <w:t>تطبيق</w:t>
      </w:r>
      <w:r w:rsidR="00BA6310">
        <w:rPr>
          <w:rFonts w:hint="cs"/>
          <w:rtl/>
          <w:lang w:bidi="ar-EG"/>
        </w:rPr>
        <w:t xml:space="preserve"> وثيقة </w:t>
      </w:r>
      <w:r w:rsidR="00E86F03">
        <w:rPr>
          <w:rFonts w:hint="cs"/>
          <w:rtl/>
          <w:lang w:bidi="ar-EG"/>
        </w:rPr>
        <w:t>أقدم</w:t>
      </w:r>
      <w:r w:rsidR="00BA6310">
        <w:rPr>
          <w:rStyle w:val="FootnoteReference"/>
          <w:rtl/>
          <w:lang w:bidi="ar-EG"/>
        </w:rPr>
        <w:footnoteReference w:id="2"/>
      </w:r>
      <w:r w:rsidR="007959C8">
        <w:rPr>
          <w:rFonts w:hint="cs"/>
          <w:rtl/>
          <w:lang w:bidi="ar-EG"/>
        </w:rPr>
        <w:t>، أو عن طريق تعديل</w:t>
      </w:r>
      <w:r w:rsidR="007959C8">
        <w:rPr>
          <w:rStyle w:val="FootnoteReference"/>
          <w:rtl/>
          <w:lang w:bidi="ar-EG"/>
        </w:rPr>
        <w:footnoteReference w:id="3"/>
      </w:r>
      <w:r w:rsidR="007959C8">
        <w:rPr>
          <w:rFonts w:hint="cs"/>
          <w:rtl/>
          <w:lang w:bidi="ar-EG"/>
        </w:rPr>
        <w:t xml:space="preserve"> (</w:t>
      </w:r>
      <w:r w:rsidR="00E86F03">
        <w:rPr>
          <w:rFonts w:hint="cs"/>
          <w:rtl/>
          <w:lang w:bidi="ar-EG"/>
        </w:rPr>
        <w:t>ويتطلب</w:t>
      </w:r>
      <w:r w:rsidR="007959C8">
        <w:rPr>
          <w:rFonts w:hint="cs"/>
          <w:rtl/>
          <w:lang w:bidi="ar-EG"/>
        </w:rPr>
        <w:t xml:space="preserve"> قبول</w:t>
      </w:r>
      <w:r w:rsidR="001072A2">
        <w:rPr>
          <w:rFonts w:hint="cs"/>
          <w:rtl/>
          <w:lang w:bidi="ar-EG"/>
        </w:rPr>
        <w:t>ه</w:t>
      </w:r>
      <w:r w:rsidR="007959C8">
        <w:rPr>
          <w:rFonts w:hint="cs"/>
          <w:rtl/>
          <w:lang w:bidi="ar-EG"/>
        </w:rPr>
        <w:t>) كما هو موصوف في هذه الوثيقة (انظر الفقرات 2 و3 و5 و6 و7 و25 حتى 34). والأطراف المتعاقدة المعنية مدعوة إلى النظر في تحديث عضويتها كما ينطبق.</w:t>
      </w:r>
    </w:p>
    <w:p w:rsidR="00DB03A3" w:rsidRPr="00E01E2E" w:rsidRDefault="00EF5EE9" w:rsidP="00E01E2E">
      <w:pPr>
        <w:rPr>
          <w:rFonts w:ascii="Arabic Typesetting" w:hAnsi="Arabic Typesetting" w:cs="Arabic Typesetting"/>
          <w:sz w:val="36"/>
          <w:szCs w:val="36"/>
          <w:rtl/>
          <w:lang w:bidi="ar-EG"/>
        </w:rPr>
      </w:pPr>
      <w:r>
        <w:rPr>
          <w:rtl/>
          <w:lang w:bidi="ar-EG"/>
        </w:rPr>
        <w:br w:type="page"/>
      </w:r>
    </w:p>
    <w:p w:rsidR="00BE3D9A" w:rsidRPr="007959C8" w:rsidRDefault="007959C8" w:rsidP="00E01E2E">
      <w:pPr>
        <w:pStyle w:val="NormalParaAR"/>
        <w:rPr>
          <w:b/>
          <w:bCs/>
          <w:rtl/>
          <w:lang w:bidi="ar-EG"/>
        </w:rPr>
      </w:pPr>
      <w:r w:rsidRPr="007959C8">
        <w:rPr>
          <w:rFonts w:hint="cs"/>
          <w:b/>
          <w:bCs/>
          <w:rtl/>
          <w:lang w:bidi="ar-EG"/>
        </w:rPr>
        <w:lastRenderedPageBreak/>
        <w:t>أولا: الأطراف في المعاهدات التي تديرها الويبو</w:t>
      </w:r>
    </w:p>
    <w:p w:rsidR="00BE3D9A" w:rsidRDefault="007959C8" w:rsidP="00FF1CC1">
      <w:pPr>
        <w:pStyle w:val="NormalParaAR"/>
        <w:numPr>
          <w:ilvl w:val="0"/>
          <w:numId w:val="21"/>
        </w:numPr>
        <w:ind w:left="566" w:hanging="566"/>
        <w:rPr>
          <w:i/>
          <w:iCs/>
          <w:lang w:bidi="ar-EG"/>
        </w:rPr>
      </w:pPr>
      <w:r w:rsidRPr="007959C8">
        <w:rPr>
          <w:i/>
          <w:iCs/>
          <w:rtl/>
          <w:lang w:bidi="ar-EG"/>
        </w:rPr>
        <w:t>اتفاقية إنشاء المنظمة العالمية للملكية الفكرية (</w:t>
      </w:r>
      <w:r>
        <w:rPr>
          <w:rFonts w:hint="cs"/>
          <w:i/>
          <w:iCs/>
          <w:rtl/>
          <w:lang w:bidi="ar-EG"/>
        </w:rPr>
        <w:t>1967)</w:t>
      </w:r>
    </w:p>
    <w:p w:rsidR="00BE3D9A" w:rsidRPr="000F4257" w:rsidRDefault="000F4257" w:rsidP="00B86A66">
      <w:pPr>
        <w:pStyle w:val="NormalParaAR"/>
        <w:spacing w:after="480" w:line="240" w:lineRule="auto"/>
        <w:ind w:left="-23"/>
        <w:rPr>
          <w:i/>
          <w:iCs/>
          <w:rtl/>
        </w:rPr>
      </w:pPr>
      <w:r>
        <w:rPr>
          <w:noProof/>
        </w:rPr>
        <w:drawing>
          <wp:inline distT="0" distB="0" distL="0" distR="0" wp14:anchorId="497C1C6F" wp14:editId="395BA983">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E3D9A" w:rsidRPr="008544ED" w:rsidRDefault="00746331" w:rsidP="00FF1CC1">
      <w:pPr>
        <w:pStyle w:val="NormalParaAR"/>
        <w:numPr>
          <w:ilvl w:val="0"/>
          <w:numId w:val="21"/>
        </w:numPr>
        <w:ind w:left="566" w:hanging="566"/>
        <w:rPr>
          <w:i/>
          <w:iCs/>
          <w:lang w:bidi="ar-EG"/>
        </w:rPr>
      </w:pPr>
      <w:r w:rsidRPr="008544ED">
        <w:rPr>
          <w:i/>
          <w:iCs/>
          <w:rtl/>
          <w:lang w:bidi="ar-EG"/>
        </w:rPr>
        <w:t>اتفاقية باريس لحماية الملكية الصناعية</w:t>
      </w:r>
      <w:r w:rsidRPr="008544ED">
        <w:rPr>
          <w:rFonts w:hint="cs"/>
          <w:i/>
          <w:iCs/>
          <w:rtl/>
          <w:lang w:bidi="ar-EG"/>
        </w:rPr>
        <w:t xml:space="preserve"> (1883)</w:t>
      </w:r>
    </w:p>
    <w:p w:rsidR="00335510" w:rsidRDefault="008E6076" w:rsidP="00335510">
      <w:pPr>
        <w:pStyle w:val="NormalParaAR"/>
        <w:spacing w:line="240" w:lineRule="auto"/>
        <w:ind w:left="-23"/>
        <w:rPr>
          <w:i/>
          <w:rtl/>
          <w:lang w:bidi="ar-EG"/>
        </w:rPr>
      </w:pPr>
      <w:r>
        <w:rPr>
          <w:noProof/>
        </w:rPr>
        <w:drawing>
          <wp:inline distT="0" distB="0" distL="0" distR="0" wp14:anchorId="40BBF80D" wp14:editId="0627F1FA">
            <wp:extent cx="4572000" cy="2956812"/>
            <wp:effectExtent l="0" t="0" r="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35510" w:rsidRDefault="008E6076" w:rsidP="00E01E2E">
      <w:pPr>
        <w:pStyle w:val="NormalParaAR"/>
        <w:ind w:left="-23"/>
        <w:rPr>
          <w:i/>
          <w:rtl/>
          <w:lang w:bidi="ar-EG"/>
        </w:rPr>
      </w:pPr>
      <w:r w:rsidRPr="008E6076">
        <w:rPr>
          <w:rFonts w:hint="cs"/>
          <w:i/>
          <w:rtl/>
          <w:lang w:bidi="ar-EG"/>
        </w:rPr>
        <w:t xml:space="preserve">روجعت </w:t>
      </w:r>
      <w:r w:rsidRPr="008E6076">
        <w:rPr>
          <w:i/>
          <w:rtl/>
          <w:lang w:bidi="ar-EG"/>
        </w:rPr>
        <w:t xml:space="preserve">اتفاقية باريس لحماية الملكية الصناعية </w:t>
      </w:r>
      <w:r w:rsidRPr="008E6076">
        <w:rPr>
          <w:rFonts w:hint="cs"/>
          <w:i/>
          <w:rtl/>
          <w:lang w:bidi="ar-EG"/>
        </w:rPr>
        <w:t xml:space="preserve">(اتفاقية باريس) عدة مرات منذ إبرامها في 1883. </w:t>
      </w:r>
      <w:r w:rsidR="00BE2E31">
        <w:rPr>
          <w:rFonts w:hint="cs"/>
          <w:i/>
          <w:rtl/>
          <w:lang w:bidi="ar-EG"/>
        </w:rPr>
        <w:t>و</w:t>
      </w:r>
      <w:r w:rsidRPr="008E6076">
        <w:rPr>
          <w:rFonts w:hint="cs"/>
          <w:i/>
          <w:rtl/>
          <w:lang w:bidi="ar-EG"/>
        </w:rPr>
        <w:t>روجعت في بروكسل (1900) وواشنطن (1911) ولاهاي (1925) ولندن (1934</w:t>
      </w:r>
      <w:r w:rsidR="00BE2E31">
        <w:rPr>
          <w:rFonts w:hint="cs"/>
          <w:i/>
          <w:rtl/>
          <w:lang w:bidi="ar-EG"/>
        </w:rPr>
        <w:t>)</w:t>
      </w:r>
      <w:r w:rsidRPr="008E6076">
        <w:rPr>
          <w:rFonts w:hint="cs"/>
          <w:i/>
          <w:rtl/>
          <w:lang w:bidi="ar-EG"/>
        </w:rPr>
        <w:t xml:space="preserve"> ولشبونة (</w:t>
      </w:r>
      <w:r w:rsidR="00BE2E31">
        <w:rPr>
          <w:rFonts w:hint="cs"/>
          <w:i/>
          <w:rtl/>
          <w:lang w:bidi="ar-EG"/>
        </w:rPr>
        <w:t>1958</w:t>
      </w:r>
      <w:r w:rsidRPr="008E6076">
        <w:rPr>
          <w:rFonts w:hint="cs"/>
          <w:i/>
          <w:rtl/>
          <w:lang w:bidi="ar-EG"/>
        </w:rPr>
        <w:t xml:space="preserve">) </w:t>
      </w:r>
      <w:r w:rsidR="00BE2E31">
        <w:rPr>
          <w:rFonts w:hint="cs"/>
          <w:i/>
          <w:rtl/>
          <w:lang w:bidi="ar-EG"/>
        </w:rPr>
        <w:t>واستوكهولم</w:t>
      </w:r>
      <w:r w:rsidRPr="008E6076">
        <w:rPr>
          <w:rFonts w:hint="cs"/>
          <w:i/>
          <w:rtl/>
          <w:lang w:bidi="ar-EG"/>
        </w:rPr>
        <w:t xml:space="preserve"> (1967) وعدلت في 1979.</w:t>
      </w:r>
    </w:p>
    <w:p w:rsidR="00335510" w:rsidRDefault="00335510">
      <w:pPr>
        <w:rPr>
          <w:rFonts w:ascii="Arabic Typesetting" w:hAnsi="Arabic Typesetting" w:cs="Arabic Typesetting"/>
          <w:i/>
          <w:sz w:val="36"/>
          <w:szCs w:val="36"/>
          <w:rtl/>
          <w:lang w:bidi="ar-EG"/>
        </w:rPr>
      </w:pPr>
      <w:r>
        <w:rPr>
          <w:i/>
          <w:rtl/>
          <w:lang w:bidi="ar-EG"/>
        </w:rPr>
        <w:br w:type="page"/>
      </w:r>
    </w:p>
    <w:p w:rsidR="008E6076" w:rsidRDefault="008E6076" w:rsidP="00E86AC6">
      <w:pPr>
        <w:pStyle w:val="NormalParaAR"/>
        <w:rPr>
          <w:rtl/>
          <w:lang w:val="fr-CH" w:bidi="ar-EG"/>
        </w:rPr>
      </w:pPr>
      <w:r>
        <w:rPr>
          <w:rFonts w:hint="cs"/>
          <w:rtl/>
          <w:lang w:val="fr-CH" w:bidi="ar-EG"/>
        </w:rPr>
        <w:lastRenderedPageBreak/>
        <w:t xml:space="preserve">ولأسباب </w:t>
      </w:r>
      <w:r w:rsidR="00837D1B">
        <w:rPr>
          <w:rFonts w:hint="cs"/>
          <w:rtl/>
          <w:lang w:val="fr-CH" w:bidi="ar-EG"/>
        </w:rPr>
        <w:t>تاريخية م</w:t>
      </w:r>
      <w:r w:rsidR="00A11CEB">
        <w:rPr>
          <w:rFonts w:hint="cs"/>
          <w:rtl/>
          <w:lang w:val="fr-CH" w:bidi="ar-EG"/>
        </w:rPr>
        <w:t>َ</w:t>
      </w:r>
      <w:r w:rsidR="00837D1B">
        <w:rPr>
          <w:rFonts w:hint="cs"/>
          <w:rtl/>
          <w:lang w:val="fr-CH" w:bidi="ar-EG"/>
        </w:rPr>
        <w:t>ن</w:t>
      </w:r>
      <w:r>
        <w:rPr>
          <w:rFonts w:hint="cs"/>
          <w:rtl/>
          <w:lang w:val="fr-CH" w:bidi="ar-EG"/>
        </w:rPr>
        <w:t>حت مراجعة</w:t>
      </w:r>
      <w:r w:rsidR="00C70F94">
        <w:rPr>
          <w:rFonts w:hint="cs"/>
          <w:rtl/>
          <w:lang w:val="fr-CH" w:bidi="ar-EG"/>
        </w:rPr>
        <w:t>ُ</w:t>
      </w:r>
      <w:r>
        <w:rPr>
          <w:rFonts w:hint="cs"/>
          <w:rtl/>
          <w:lang w:val="fr-CH" w:bidi="ar-EG"/>
        </w:rPr>
        <w:t xml:space="preserve"> </w:t>
      </w:r>
      <w:r w:rsidR="00BE2E31">
        <w:rPr>
          <w:rFonts w:hint="cs"/>
          <w:rtl/>
          <w:lang w:val="fr-CH" w:bidi="ar-EG"/>
        </w:rPr>
        <w:t>استوكهولم</w:t>
      </w:r>
      <w:r>
        <w:rPr>
          <w:rFonts w:hint="cs"/>
          <w:rtl/>
          <w:lang w:val="fr-CH" w:bidi="ar-EG"/>
        </w:rPr>
        <w:t xml:space="preserve"> </w:t>
      </w:r>
      <w:r w:rsidR="00A360B7">
        <w:rPr>
          <w:rFonts w:hint="cs"/>
          <w:rtl/>
          <w:lang w:val="fr-CH" w:bidi="ar-EG"/>
        </w:rPr>
        <w:t>الدول</w:t>
      </w:r>
      <w:r w:rsidR="00A11CEB">
        <w:rPr>
          <w:rFonts w:hint="cs"/>
          <w:rtl/>
          <w:lang w:val="fr-CH" w:bidi="ar-EG"/>
        </w:rPr>
        <w:t>َ</w:t>
      </w:r>
      <w:r w:rsidR="00A360B7">
        <w:rPr>
          <w:rFonts w:hint="cs"/>
          <w:rtl/>
          <w:lang w:val="fr-CH" w:bidi="ar-EG"/>
        </w:rPr>
        <w:t xml:space="preserve"> الأعضاء </w:t>
      </w:r>
      <w:r w:rsidR="00837D1B">
        <w:rPr>
          <w:rFonts w:hint="cs"/>
          <w:rtl/>
          <w:lang w:val="fr-CH" w:bidi="ar-EG"/>
        </w:rPr>
        <w:t>فرصة</w:t>
      </w:r>
      <w:r w:rsidR="00952EEB">
        <w:rPr>
          <w:rFonts w:hint="cs"/>
          <w:rtl/>
          <w:lang w:val="fr-CH" w:bidi="ar-EG"/>
        </w:rPr>
        <w:t>ً</w:t>
      </w:r>
      <w:r w:rsidR="00837D1B">
        <w:rPr>
          <w:rFonts w:hint="cs"/>
          <w:rtl/>
          <w:lang w:val="fr-CH" w:bidi="ar-EG"/>
        </w:rPr>
        <w:t xml:space="preserve"> ل</w:t>
      </w:r>
      <w:r>
        <w:rPr>
          <w:rFonts w:hint="cs"/>
          <w:rtl/>
          <w:lang w:val="fr-CH" w:bidi="ar-EG"/>
        </w:rPr>
        <w:t xml:space="preserve">لقبول بجزء واحد فقط من المراجعة (المواد من 1 إلى 12 التي </w:t>
      </w:r>
      <w:r w:rsidR="00E86AC6">
        <w:rPr>
          <w:rFonts w:hint="cs"/>
          <w:rtl/>
          <w:lang w:val="fr-CH" w:bidi="ar-EG"/>
        </w:rPr>
        <w:t>فيها</w:t>
      </w:r>
      <w:r w:rsidR="00C70F94">
        <w:rPr>
          <w:rFonts w:hint="cs"/>
          <w:rtl/>
          <w:lang w:val="fr-CH" w:bidi="ar-EG"/>
        </w:rPr>
        <w:t xml:space="preserve"> </w:t>
      </w:r>
      <w:r>
        <w:rPr>
          <w:rFonts w:hint="cs"/>
          <w:rtl/>
          <w:lang w:val="fr-CH" w:bidi="ar-EG"/>
        </w:rPr>
        <w:t xml:space="preserve">الأحكام </w:t>
      </w:r>
      <w:r w:rsidR="00C70F94">
        <w:rPr>
          <w:rFonts w:hint="cs"/>
          <w:rtl/>
          <w:lang w:val="fr-CH" w:bidi="ar-EG"/>
        </w:rPr>
        <w:t>الموضوعية</w:t>
      </w:r>
      <w:r>
        <w:rPr>
          <w:rFonts w:hint="cs"/>
          <w:rtl/>
          <w:lang w:val="fr-CH" w:bidi="ar-EG"/>
        </w:rPr>
        <w:t xml:space="preserve"> أو المواد من 13 إلى 30 التي </w:t>
      </w:r>
      <w:r w:rsidR="00E86AC6">
        <w:rPr>
          <w:rFonts w:hint="cs"/>
          <w:rtl/>
          <w:lang w:val="fr-CH" w:bidi="ar-EG"/>
        </w:rPr>
        <w:t>فيها</w:t>
      </w:r>
      <w:r>
        <w:rPr>
          <w:rFonts w:hint="cs"/>
          <w:rtl/>
          <w:lang w:val="fr-CH" w:bidi="ar-EG"/>
        </w:rPr>
        <w:t xml:space="preserve"> الأحكام </w:t>
      </w:r>
      <w:r w:rsidR="00E86AC6">
        <w:rPr>
          <w:rFonts w:hint="cs"/>
          <w:rtl/>
          <w:lang w:val="fr-CH" w:bidi="ar-EG"/>
        </w:rPr>
        <w:t>الختامية</w:t>
      </w:r>
      <w:r>
        <w:rPr>
          <w:rFonts w:hint="cs"/>
          <w:rtl/>
          <w:lang w:val="fr-CH" w:bidi="ar-EG"/>
        </w:rPr>
        <w:t xml:space="preserve"> والإدارية) أو قبول جزء قبل الثاني.</w:t>
      </w:r>
    </w:p>
    <w:p w:rsidR="008E6076" w:rsidRDefault="008E6076" w:rsidP="00E01E2E">
      <w:pPr>
        <w:pStyle w:val="NormalParaAR"/>
        <w:rPr>
          <w:lang w:bidi="ar-EG"/>
        </w:rPr>
      </w:pPr>
      <w:r>
        <w:rPr>
          <w:rFonts w:hint="cs"/>
          <w:rtl/>
          <w:lang w:val="fr-CH" w:bidi="ar-EG"/>
        </w:rPr>
        <w:t>و</w:t>
      </w:r>
      <w:r w:rsidR="00C70F94">
        <w:rPr>
          <w:rFonts w:hint="cs"/>
          <w:rtl/>
          <w:lang w:val="fr-CH" w:bidi="ar-EG"/>
        </w:rPr>
        <w:t xml:space="preserve">لاتزال </w:t>
      </w:r>
      <w:r>
        <w:rPr>
          <w:rFonts w:hint="cs"/>
          <w:rtl/>
          <w:lang w:val="fr-CH" w:bidi="ar-EG"/>
        </w:rPr>
        <w:t xml:space="preserve">بعض الدول التي استبعدت الأحكام </w:t>
      </w:r>
      <w:r w:rsidR="00C70F94">
        <w:rPr>
          <w:rFonts w:hint="cs"/>
          <w:rtl/>
          <w:lang w:val="fr-CH" w:bidi="ar-EG"/>
        </w:rPr>
        <w:t>الموضوعية</w:t>
      </w:r>
      <w:r>
        <w:rPr>
          <w:rFonts w:hint="cs"/>
          <w:rtl/>
          <w:lang w:val="fr-CH" w:bidi="ar-EG"/>
        </w:rPr>
        <w:t xml:space="preserve"> من </w:t>
      </w:r>
      <w:r w:rsidR="005412A5">
        <w:rPr>
          <w:rFonts w:hint="cs"/>
          <w:rtl/>
          <w:lang w:val="fr-CH" w:bidi="ar-EG"/>
        </w:rPr>
        <w:t xml:space="preserve">قبولها لوثيقة </w:t>
      </w:r>
      <w:r w:rsidR="00BE2E31">
        <w:rPr>
          <w:rFonts w:hint="cs"/>
          <w:rtl/>
          <w:lang w:val="fr-CH" w:bidi="ar-EG"/>
        </w:rPr>
        <w:t>استوكهولم</w:t>
      </w:r>
      <w:r w:rsidR="005412A5">
        <w:rPr>
          <w:rFonts w:hint="cs"/>
          <w:rtl/>
          <w:lang w:val="fr-CH" w:bidi="ar-EG"/>
        </w:rPr>
        <w:t xml:space="preserve"> </w:t>
      </w:r>
      <w:r w:rsidR="00C70F94">
        <w:rPr>
          <w:rFonts w:hint="cs"/>
          <w:rtl/>
          <w:lang w:val="fr-CH" w:bidi="ar-EG"/>
        </w:rPr>
        <w:t>حتى اليوم ملتزمة</w:t>
      </w:r>
      <w:r>
        <w:rPr>
          <w:rFonts w:hint="cs"/>
          <w:rtl/>
          <w:lang w:val="fr-CH" w:bidi="ar-EG"/>
        </w:rPr>
        <w:t xml:space="preserve"> بالأحكام </w:t>
      </w:r>
      <w:r w:rsidR="00C70F94">
        <w:rPr>
          <w:rFonts w:hint="cs"/>
          <w:rtl/>
          <w:lang w:val="fr-CH" w:bidi="ar-EG"/>
        </w:rPr>
        <w:t>الموضوعية</w:t>
      </w:r>
      <w:r>
        <w:rPr>
          <w:rFonts w:hint="cs"/>
          <w:rtl/>
          <w:lang w:val="fr-CH" w:bidi="ar-EG"/>
        </w:rPr>
        <w:t xml:space="preserve"> لوثيقة أقدم لا تعكس </w:t>
      </w:r>
      <w:r w:rsidR="00C70F94">
        <w:rPr>
          <w:rFonts w:hint="cs"/>
          <w:rtl/>
          <w:lang w:val="fr-CH" w:bidi="ar-EG"/>
        </w:rPr>
        <w:t>الفكر ال</w:t>
      </w:r>
      <w:r>
        <w:rPr>
          <w:rFonts w:hint="cs"/>
          <w:rtl/>
          <w:lang w:val="fr-CH" w:bidi="ar-EG"/>
        </w:rPr>
        <w:t xml:space="preserve">أحدث بشأن المسائل التي تغطيها الاتفاقية. والدول الأعضاء المعنية هي الأرجنتين </w:t>
      </w:r>
      <w:r w:rsidR="005412A5">
        <w:rPr>
          <w:rFonts w:hint="cs"/>
          <w:rtl/>
          <w:lang w:val="fr-CH" w:bidi="ar-EG"/>
        </w:rPr>
        <w:t>و</w:t>
      </w:r>
      <w:r w:rsidR="005412A5" w:rsidRPr="005412A5">
        <w:rPr>
          <w:rtl/>
          <w:lang w:val="fr-CH" w:bidi="ar-EG"/>
        </w:rPr>
        <w:t>جزر البهاما</w:t>
      </w:r>
      <w:r w:rsidR="005412A5">
        <w:rPr>
          <w:rFonts w:hint="cs"/>
          <w:rtl/>
          <w:lang w:val="fr-CH" w:bidi="ar-EG"/>
        </w:rPr>
        <w:t xml:space="preserve"> ولبنان ومالطة </w:t>
      </w:r>
      <w:r w:rsidR="005412A5">
        <w:rPr>
          <w:rFonts w:hint="cs"/>
          <w:rtl/>
          <w:lang w:bidi="ar-EG"/>
        </w:rPr>
        <w:t>و</w:t>
      </w:r>
      <w:r w:rsidR="005412A5" w:rsidRPr="005412A5">
        <w:rPr>
          <w:rtl/>
          <w:lang w:bidi="ar-EG"/>
        </w:rPr>
        <w:t>نيوزيلندا</w:t>
      </w:r>
      <w:r w:rsidR="005412A5">
        <w:rPr>
          <w:rFonts w:hint="cs"/>
          <w:rtl/>
          <w:lang w:bidi="ar-EG"/>
        </w:rPr>
        <w:t xml:space="preserve"> والفلبين و</w:t>
      </w:r>
      <w:r w:rsidR="005412A5" w:rsidRPr="005412A5">
        <w:rPr>
          <w:rtl/>
          <w:lang w:bidi="ar-EG"/>
        </w:rPr>
        <w:t>سري لانكا</w:t>
      </w:r>
      <w:r w:rsidR="005412A5">
        <w:rPr>
          <w:rFonts w:hint="cs"/>
          <w:rtl/>
          <w:lang w:bidi="ar-EG"/>
        </w:rPr>
        <w:t xml:space="preserve"> و</w:t>
      </w:r>
      <w:r w:rsidR="005412A5">
        <w:rPr>
          <w:rtl/>
          <w:lang w:bidi="ar-EG"/>
        </w:rPr>
        <w:t>جمهوري</w:t>
      </w:r>
      <w:r w:rsidR="005412A5">
        <w:rPr>
          <w:rFonts w:hint="cs"/>
          <w:rtl/>
          <w:lang w:bidi="ar-EG"/>
        </w:rPr>
        <w:t xml:space="preserve">ة </w:t>
      </w:r>
      <w:r w:rsidR="005412A5" w:rsidRPr="005412A5">
        <w:rPr>
          <w:rtl/>
          <w:lang w:bidi="ar-EG"/>
        </w:rPr>
        <w:t>تنزانيا المتحدة</w:t>
      </w:r>
      <w:r w:rsidR="005412A5">
        <w:rPr>
          <w:rFonts w:hint="cs"/>
          <w:rtl/>
          <w:lang w:bidi="ar-EG"/>
        </w:rPr>
        <w:t xml:space="preserve"> و</w:t>
      </w:r>
      <w:r w:rsidR="005412A5" w:rsidRPr="005412A5">
        <w:rPr>
          <w:rtl/>
          <w:lang w:bidi="ar-EG"/>
        </w:rPr>
        <w:t>زامبيا</w:t>
      </w:r>
      <w:r w:rsidR="005412A5">
        <w:rPr>
          <w:rFonts w:hint="cs"/>
          <w:rtl/>
          <w:lang w:bidi="ar-EG"/>
        </w:rPr>
        <w:t>.</w:t>
      </w:r>
    </w:p>
    <w:p w:rsidR="005412A5" w:rsidRDefault="005412A5" w:rsidP="00E01E2E">
      <w:pPr>
        <w:pStyle w:val="NormalParaAR"/>
        <w:rPr>
          <w:rtl/>
          <w:lang w:bidi="ar-EG"/>
        </w:rPr>
      </w:pPr>
      <w:r>
        <w:rPr>
          <w:rFonts w:hint="cs"/>
          <w:rtl/>
          <w:lang w:bidi="ar-EG"/>
        </w:rPr>
        <w:t>ول</w:t>
      </w:r>
      <w:r w:rsidR="00E86F03">
        <w:rPr>
          <w:rFonts w:hint="cs"/>
          <w:rtl/>
          <w:lang w:bidi="ar-EG"/>
        </w:rPr>
        <w:t>م تنضم بعض الدول الأعضاء الأخرى</w:t>
      </w:r>
      <w:r>
        <w:rPr>
          <w:rFonts w:hint="cs"/>
          <w:rtl/>
          <w:lang w:bidi="ar-EG"/>
        </w:rPr>
        <w:t xml:space="preserve"> وهي </w:t>
      </w:r>
      <w:r w:rsidRPr="005412A5">
        <w:rPr>
          <w:rtl/>
          <w:lang w:bidi="ar-EG"/>
        </w:rPr>
        <w:t>الجمهورية الدومينيكية</w:t>
      </w:r>
      <w:r>
        <w:rPr>
          <w:rFonts w:hint="cs"/>
          <w:rtl/>
          <w:lang w:bidi="ar-EG"/>
        </w:rPr>
        <w:t xml:space="preserve"> ونيجيريا إلى وثيقة </w:t>
      </w:r>
      <w:r w:rsidR="00BE2E31">
        <w:rPr>
          <w:rFonts w:hint="cs"/>
          <w:rtl/>
          <w:lang w:bidi="ar-EG"/>
        </w:rPr>
        <w:t>استوكهولم</w:t>
      </w:r>
      <w:r w:rsidR="00C70F94">
        <w:rPr>
          <w:rFonts w:hint="cs"/>
          <w:rtl/>
          <w:lang w:bidi="ar-EG"/>
        </w:rPr>
        <w:t xml:space="preserve"> مطلقا</w:t>
      </w:r>
      <w:r>
        <w:rPr>
          <w:rFonts w:hint="cs"/>
          <w:rtl/>
          <w:lang w:bidi="ar-EG"/>
        </w:rPr>
        <w:t>، ولكنهما لا يزالا</w:t>
      </w:r>
      <w:r>
        <w:rPr>
          <w:rFonts w:hint="eastAsia"/>
          <w:rtl/>
          <w:lang w:bidi="ar-EG"/>
        </w:rPr>
        <w:t>ن</w:t>
      </w:r>
      <w:r>
        <w:rPr>
          <w:rFonts w:hint="cs"/>
          <w:rtl/>
          <w:lang w:bidi="ar-EG"/>
        </w:rPr>
        <w:t xml:space="preserve"> طرفين في وثيقة أقدم. وهما ليسا </w:t>
      </w:r>
      <w:r w:rsidR="00E86F03">
        <w:rPr>
          <w:rFonts w:hint="cs"/>
          <w:rtl/>
          <w:lang w:bidi="ar-EG"/>
        </w:rPr>
        <w:t xml:space="preserve">من </w:t>
      </w:r>
      <w:r>
        <w:rPr>
          <w:rFonts w:hint="cs"/>
          <w:rtl/>
          <w:lang w:bidi="ar-EG"/>
        </w:rPr>
        <w:t xml:space="preserve">أعضاء جمعية اتحاد باريس </w:t>
      </w:r>
      <w:r w:rsidR="00C70F94">
        <w:rPr>
          <w:rFonts w:hint="cs"/>
          <w:rtl/>
          <w:lang w:bidi="ar-EG"/>
        </w:rPr>
        <w:t>ومن ثم</w:t>
      </w:r>
      <w:r>
        <w:rPr>
          <w:rFonts w:hint="cs"/>
          <w:rtl/>
          <w:lang w:bidi="ar-EG"/>
        </w:rPr>
        <w:t xml:space="preserve"> لا يمكنهما المشاركة في </w:t>
      </w:r>
      <w:r w:rsidR="00C70F94">
        <w:rPr>
          <w:rFonts w:hint="cs"/>
          <w:rtl/>
          <w:lang w:bidi="ar-EG"/>
        </w:rPr>
        <w:t>هيئة</w:t>
      </w:r>
      <w:r>
        <w:rPr>
          <w:rFonts w:hint="cs"/>
          <w:rtl/>
          <w:lang w:bidi="ar-EG"/>
        </w:rPr>
        <w:t xml:space="preserve"> اتخاذ القرار في الاتحاد.</w:t>
      </w:r>
    </w:p>
    <w:p w:rsidR="005412A5" w:rsidRPr="005412A5" w:rsidRDefault="005412A5" w:rsidP="00E01E2E">
      <w:pPr>
        <w:pStyle w:val="NormalParaAR"/>
        <w:spacing w:after="480"/>
        <w:rPr>
          <w:rtl/>
          <w:lang w:bidi="ar-EG"/>
        </w:rPr>
      </w:pPr>
      <w:r>
        <w:rPr>
          <w:rFonts w:hint="cs"/>
          <w:rtl/>
          <w:lang w:bidi="ar-EG"/>
        </w:rPr>
        <w:t xml:space="preserve">والدول الأعضاء المعنية مدعوة </w:t>
      </w:r>
      <w:r w:rsidR="00952EEB">
        <w:rPr>
          <w:rFonts w:hint="cs"/>
          <w:rtl/>
          <w:lang w:bidi="ar-EG"/>
        </w:rPr>
        <w:t>إلى ا</w:t>
      </w:r>
      <w:r>
        <w:rPr>
          <w:rFonts w:hint="cs"/>
          <w:rtl/>
          <w:lang w:bidi="ar-EG"/>
        </w:rPr>
        <w:t>لنظر في الانضمام إلى آخر وثيقة من الاتفاقية أو القبول بجميع أحكامها كما ينطبق.</w:t>
      </w:r>
    </w:p>
    <w:p w:rsidR="00A065E3" w:rsidRDefault="00A065E3" w:rsidP="00FF1CC1">
      <w:pPr>
        <w:pStyle w:val="NormalParaAR"/>
        <w:numPr>
          <w:ilvl w:val="0"/>
          <w:numId w:val="21"/>
        </w:numPr>
        <w:ind w:left="566" w:hanging="566"/>
        <w:rPr>
          <w:i/>
          <w:iCs/>
          <w:lang w:bidi="ar-EG"/>
        </w:rPr>
      </w:pPr>
      <w:r w:rsidRPr="00A065E3">
        <w:rPr>
          <w:i/>
          <w:iCs/>
          <w:rtl/>
          <w:lang w:bidi="ar-EG"/>
        </w:rPr>
        <w:t xml:space="preserve">اتفاقية برن </w:t>
      </w:r>
      <w:r w:rsidR="00DB70D2">
        <w:rPr>
          <w:rFonts w:hint="cs"/>
          <w:i/>
          <w:iCs/>
          <w:rtl/>
          <w:lang w:bidi="ar-EG"/>
        </w:rPr>
        <w:t>ل</w:t>
      </w:r>
      <w:r w:rsidRPr="00A065E3">
        <w:rPr>
          <w:i/>
          <w:iCs/>
          <w:rtl/>
          <w:lang w:bidi="ar-EG"/>
        </w:rPr>
        <w:t>حماية المصنفات الأدبية والفنية</w:t>
      </w:r>
      <w:r w:rsidR="00952EEB">
        <w:rPr>
          <w:rFonts w:hint="cs"/>
          <w:i/>
          <w:iCs/>
          <w:rtl/>
          <w:lang w:bidi="ar-EG"/>
        </w:rPr>
        <w:t xml:space="preserve"> (1886)</w:t>
      </w:r>
    </w:p>
    <w:p w:rsidR="00035971" w:rsidRPr="00035971" w:rsidRDefault="0087134C" w:rsidP="00035971">
      <w:pPr>
        <w:pStyle w:val="NormalParaAR"/>
        <w:spacing w:line="240" w:lineRule="auto"/>
        <w:ind w:left="-23"/>
        <w:rPr>
          <w:lang w:bidi="ar-EG"/>
        </w:rPr>
      </w:pPr>
      <w:r>
        <w:rPr>
          <w:noProof/>
        </w:rPr>
        <w:drawing>
          <wp:inline distT="0" distB="0" distL="0" distR="0" wp14:anchorId="7AED8161" wp14:editId="27BE3CB2">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065E3" w:rsidRDefault="00526584" w:rsidP="00DB70D2">
      <w:pPr>
        <w:pStyle w:val="NormalParaAR"/>
        <w:ind w:left="-25"/>
        <w:rPr>
          <w:rtl/>
          <w:lang w:bidi="ar-EG"/>
        </w:rPr>
      </w:pPr>
      <w:r>
        <w:rPr>
          <w:rFonts w:hint="cs"/>
          <w:rtl/>
          <w:lang w:bidi="ar-EG"/>
        </w:rPr>
        <w:t>و</w:t>
      </w:r>
      <w:r w:rsidR="00952EEB">
        <w:rPr>
          <w:rFonts w:hint="cs"/>
          <w:rtl/>
          <w:lang w:bidi="ar-EG"/>
        </w:rPr>
        <w:t xml:space="preserve">روجعت </w:t>
      </w:r>
      <w:r w:rsidR="00837D1B" w:rsidRPr="00837D1B">
        <w:rPr>
          <w:rtl/>
          <w:lang w:bidi="ar-EG"/>
        </w:rPr>
        <w:t xml:space="preserve">اتفاقية برن </w:t>
      </w:r>
      <w:r w:rsidR="00DB70D2">
        <w:rPr>
          <w:rFonts w:hint="cs"/>
          <w:rtl/>
          <w:lang w:bidi="ar-EG"/>
        </w:rPr>
        <w:t>ل</w:t>
      </w:r>
      <w:r w:rsidR="00837D1B" w:rsidRPr="00837D1B">
        <w:rPr>
          <w:rtl/>
          <w:lang w:bidi="ar-EG"/>
        </w:rPr>
        <w:t>حماية المصنفات الأدبية والفنية</w:t>
      </w:r>
      <w:r w:rsidR="00837D1B">
        <w:rPr>
          <w:rFonts w:hint="cs"/>
          <w:rtl/>
          <w:lang w:bidi="ar-EG"/>
        </w:rPr>
        <w:t xml:space="preserve"> (اتفاقية برن) عدة مرات منذ إبرامها في 1886. واست</w:t>
      </w:r>
      <w:r w:rsidR="00952EEB">
        <w:rPr>
          <w:rFonts w:hint="cs"/>
          <w:rtl/>
          <w:lang w:bidi="ar-EG"/>
        </w:rPr>
        <w:t>ُ</w:t>
      </w:r>
      <w:r w:rsidR="00837D1B">
        <w:rPr>
          <w:rFonts w:hint="cs"/>
          <w:rtl/>
          <w:lang w:bidi="ar-EG"/>
        </w:rPr>
        <w:t xml:space="preserve">كملت في باريس (1896) وروجعت في برلين (1908) واستكملت في برن (1914) وروجعت في روما (1928) وبروكسل (1948) </w:t>
      </w:r>
      <w:r w:rsidR="00BE2E31">
        <w:rPr>
          <w:rFonts w:hint="cs"/>
          <w:rtl/>
          <w:lang w:bidi="ar-EG"/>
        </w:rPr>
        <w:t>واستوكهولم</w:t>
      </w:r>
      <w:r w:rsidR="00837D1B">
        <w:rPr>
          <w:rFonts w:hint="cs"/>
          <w:rtl/>
          <w:lang w:bidi="ar-EG"/>
        </w:rPr>
        <w:t xml:space="preserve"> (1967) وباريس (1971) وعدلت في 1979.</w:t>
      </w:r>
    </w:p>
    <w:p w:rsidR="00837D1B" w:rsidRDefault="00837D1B" w:rsidP="00E86F03">
      <w:pPr>
        <w:pStyle w:val="NormalParaAR"/>
        <w:ind w:left="-25"/>
        <w:rPr>
          <w:rtl/>
          <w:lang w:bidi="ar-EG"/>
        </w:rPr>
      </w:pPr>
      <w:r>
        <w:rPr>
          <w:rtl/>
          <w:lang w:bidi="ar-EG"/>
        </w:rPr>
        <w:t>ولأسباب تاريخية منحت مراجع</w:t>
      </w:r>
      <w:r>
        <w:rPr>
          <w:rFonts w:hint="cs"/>
          <w:rtl/>
          <w:lang w:bidi="ar-EG"/>
        </w:rPr>
        <w:t>تا</w:t>
      </w:r>
      <w:r>
        <w:rPr>
          <w:rtl/>
          <w:lang w:bidi="ar-EG"/>
        </w:rPr>
        <w:t xml:space="preserve"> </w:t>
      </w:r>
      <w:r w:rsidR="00BE2E31">
        <w:rPr>
          <w:rtl/>
          <w:lang w:bidi="ar-EG"/>
        </w:rPr>
        <w:t>استوكهولم</w:t>
      </w:r>
      <w:r>
        <w:rPr>
          <w:rtl/>
          <w:lang w:bidi="ar-EG"/>
        </w:rPr>
        <w:t xml:space="preserve"> </w:t>
      </w:r>
      <w:r>
        <w:rPr>
          <w:rFonts w:hint="cs"/>
          <w:rtl/>
          <w:lang w:bidi="ar-EG"/>
        </w:rPr>
        <w:t>وباريس</w:t>
      </w:r>
      <w:r w:rsidR="00952EEB">
        <w:rPr>
          <w:rFonts w:hint="cs"/>
          <w:rtl/>
          <w:lang w:bidi="ar-EG"/>
        </w:rPr>
        <w:t xml:space="preserve"> للاتفاقية أيضا</w:t>
      </w:r>
      <w:r>
        <w:rPr>
          <w:rFonts w:hint="cs"/>
          <w:rtl/>
          <w:lang w:bidi="ar-EG"/>
        </w:rPr>
        <w:t xml:space="preserve"> </w:t>
      </w:r>
      <w:r w:rsidR="00A360B7">
        <w:rPr>
          <w:rtl/>
          <w:lang w:bidi="ar-EG"/>
        </w:rPr>
        <w:t>الدول</w:t>
      </w:r>
      <w:r w:rsidR="00952EEB">
        <w:rPr>
          <w:rFonts w:hint="cs"/>
          <w:rtl/>
          <w:lang w:bidi="ar-EG"/>
        </w:rPr>
        <w:t>َ</w:t>
      </w:r>
      <w:r w:rsidR="00A360B7">
        <w:rPr>
          <w:rtl/>
          <w:lang w:bidi="ar-EG"/>
        </w:rPr>
        <w:t xml:space="preserve"> الأعضاء </w:t>
      </w:r>
      <w:r>
        <w:rPr>
          <w:rtl/>
          <w:lang w:bidi="ar-EG"/>
        </w:rPr>
        <w:t>فرصة</w:t>
      </w:r>
      <w:r w:rsidR="00A360B7">
        <w:rPr>
          <w:rFonts w:hint="cs"/>
          <w:rtl/>
          <w:lang w:bidi="ar-EG"/>
        </w:rPr>
        <w:t>ً</w:t>
      </w:r>
      <w:r>
        <w:rPr>
          <w:rtl/>
          <w:lang w:bidi="ar-EG"/>
        </w:rPr>
        <w:t xml:space="preserve"> </w:t>
      </w:r>
      <w:r>
        <w:rPr>
          <w:rFonts w:hint="cs"/>
          <w:rtl/>
          <w:lang w:bidi="ar-EG"/>
        </w:rPr>
        <w:t>ل</w:t>
      </w:r>
      <w:r>
        <w:rPr>
          <w:rtl/>
          <w:lang w:bidi="ar-EG"/>
        </w:rPr>
        <w:t>لقبول بجزء واحد فقط من المراجعة</w:t>
      </w:r>
      <w:r w:rsidR="00952EEB">
        <w:rPr>
          <w:rFonts w:hint="cs"/>
          <w:rtl/>
          <w:lang w:bidi="ar-EG"/>
        </w:rPr>
        <w:t xml:space="preserve"> وهو القبول بالأ</w:t>
      </w:r>
      <w:r w:rsidR="00A360B7">
        <w:rPr>
          <w:rFonts w:hint="cs"/>
          <w:rtl/>
          <w:lang w:bidi="ar-EG"/>
        </w:rPr>
        <w:t xml:space="preserve">حكام </w:t>
      </w:r>
      <w:r w:rsidR="00C70F94">
        <w:rPr>
          <w:rFonts w:hint="cs"/>
          <w:rtl/>
          <w:lang w:bidi="ar-EG"/>
        </w:rPr>
        <w:t>الموضوعية</w:t>
      </w:r>
      <w:r w:rsidR="00A360B7">
        <w:rPr>
          <w:rFonts w:hint="cs"/>
          <w:rtl/>
          <w:lang w:bidi="ar-EG"/>
        </w:rPr>
        <w:t xml:space="preserve"> والإدارية فقط</w:t>
      </w:r>
      <w:r>
        <w:rPr>
          <w:rtl/>
          <w:lang w:bidi="ar-EG"/>
        </w:rPr>
        <w:t xml:space="preserve"> (المواد من </w:t>
      </w:r>
      <w:r w:rsidR="00A360B7">
        <w:rPr>
          <w:rFonts w:hint="cs"/>
          <w:rtl/>
          <w:lang w:bidi="ar-EG"/>
        </w:rPr>
        <w:t>22</w:t>
      </w:r>
      <w:r>
        <w:rPr>
          <w:rtl/>
          <w:lang w:bidi="ar-EG"/>
        </w:rPr>
        <w:t xml:space="preserve"> إلى </w:t>
      </w:r>
      <w:r w:rsidR="00A360B7">
        <w:rPr>
          <w:rFonts w:hint="cs"/>
          <w:rtl/>
          <w:lang w:bidi="ar-EG"/>
        </w:rPr>
        <w:t>38</w:t>
      </w:r>
      <w:r w:rsidR="00952EEB">
        <w:rPr>
          <w:rFonts w:hint="cs"/>
          <w:rtl/>
          <w:lang w:bidi="ar-EG"/>
        </w:rPr>
        <w:t>).</w:t>
      </w:r>
      <w:r>
        <w:rPr>
          <w:rtl/>
          <w:lang w:bidi="ar-EG"/>
        </w:rPr>
        <w:t xml:space="preserve"> </w:t>
      </w:r>
      <w:r w:rsidR="00A360B7">
        <w:rPr>
          <w:rFonts w:hint="cs"/>
          <w:rtl/>
          <w:lang w:bidi="ar-EG"/>
        </w:rPr>
        <w:t xml:space="preserve">وحتى الآن لاتزال </w:t>
      </w:r>
      <w:r>
        <w:rPr>
          <w:rtl/>
          <w:lang w:bidi="ar-EG"/>
        </w:rPr>
        <w:t xml:space="preserve">بعض الدول </w:t>
      </w:r>
      <w:r w:rsidR="00952EEB">
        <w:rPr>
          <w:rFonts w:hint="cs"/>
          <w:rtl/>
          <w:lang w:bidi="ar-EG"/>
        </w:rPr>
        <w:t>ملتزمة</w:t>
      </w:r>
      <w:r w:rsidR="00A360B7">
        <w:rPr>
          <w:rFonts w:hint="cs"/>
          <w:rtl/>
          <w:lang w:bidi="ar-EG"/>
        </w:rPr>
        <w:t xml:space="preserve"> ب</w:t>
      </w:r>
      <w:r>
        <w:rPr>
          <w:rtl/>
          <w:lang w:bidi="ar-EG"/>
        </w:rPr>
        <w:t xml:space="preserve">الأحكام </w:t>
      </w:r>
      <w:r w:rsidR="00952EEB">
        <w:rPr>
          <w:rFonts w:hint="cs"/>
          <w:rtl/>
          <w:lang w:bidi="ar-EG"/>
        </w:rPr>
        <w:t xml:space="preserve">الإدارية </w:t>
      </w:r>
      <w:r w:rsidR="00A360B7">
        <w:rPr>
          <w:rFonts w:hint="cs"/>
          <w:rtl/>
          <w:lang w:bidi="ar-EG"/>
        </w:rPr>
        <w:t>لوث</w:t>
      </w:r>
      <w:r w:rsidR="00952EEB">
        <w:rPr>
          <w:rFonts w:hint="cs"/>
          <w:rtl/>
          <w:lang w:bidi="ar-EG"/>
        </w:rPr>
        <w:t>يقة باريس فقط (وفي بعض الأحيان لو</w:t>
      </w:r>
      <w:r w:rsidR="00A360B7">
        <w:rPr>
          <w:rFonts w:hint="cs"/>
          <w:rtl/>
          <w:lang w:bidi="ar-EG"/>
        </w:rPr>
        <w:t xml:space="preserve">ثيقة </w:t>
      </w:r>
      <w:r w:rsidR="00BE2E31">
        <w:rPr>
          <w:rFonts w:hint="cs"/>
          <w:rtl/>
          <w:lang w:bidi="ar-EG"/>
        </w:rPr>
        <w:t>استوكهولم</w:t>
      </w:r>
      <w:r w:rsidR="00A360B7">
        <w:rPr>
          <w:rFonts w:hint="cs"/>
          <w:rtl/>
          <w:lang w:bidi="ar-EG"/>
        </w:rPr>
        <w:t xml:space="preserve">) وليس بأحكامها </w:t>
      </w:r>
      <w:r w:rsidR="00C70F94">
        <w:rPr>
          <w:rFonts w:hint="cs"/>
          <w:rtl/>
          <w:lang w:bidi="ar-EG"/>
        </w:rPr>
        <w:t>الموضوعية</w:t>
      </w:r>
      <w:r w:rsidR="00E86F03">
        <w:rPr>
          <w:rFonts w:hint="cs"/>
          <w:rtl/>
          <w:lang w:bidi="ar-EG"/>
        </w:rPr>
        <w:t>،</w:t>
      </w:r>
      <w:r w:rsidR="00A360B7">
        <w:rPr>
          <w:rFonts w:hint="cs"/>
          <w:rtl/>
          <w:lang w:bidi="ar-EG"/>
        </w:rPr>
        <w:t xml:space="preserve"> وهذه الدول هي </w:t>
      </w:r>
      <w:r>
        <w:rPr>
          <w:rtl/>
          <w:lang w:bidi="ar-EG"/>
        </w:rPr>
        <w:t xml:space="preserve">جزر البهاما </w:t>
      </w:r>
      <w:r w:rsidR="00A360B7">
        <w:rPr>
          <w:rFonts w:hint="cs"/>
          <w:rtl/>
          <w:lang w:bidi="ar-EG"/>
        </w:rPr>
        <w:t>وتشاد</w:t>
      </w:r>
      <w:r>
        <w:rPr>
          <w:rtl/>
          <w:lang w:bidi="ar-EG"/>
        </w:rPr>
        <w:t xml:space="preserve"> </w:t>
      </w:r>
      <w:r w:rsidR="00952EEB">
        <w:rPr>
          <w:rFonts w:hint="cs"/>
          <w:rtl/>
          <w:lang w:bidi="ar-EG"/>
        </w:rPr>
        <w:t xml:space="preserve">وفيجي </w:t>
      </w:r>
      <w:r>
        <w:rPr>
          <w:rtl/>
          <w:lang w:bidi="ar-EG"/>
        </w:rPr>
        <w:t xml:space="preserve">ومالطة </w:t>
      </w:r>
      <w:r w:rsidR="00A360B7">
        <w:rPr>
          <w:rFonts w:hint="cs"/>
          <w:rtl/>
          <w:lang w:bidi="ar-EG"/>
        </w:rPr>
        <w:t>وباكستان وجنوب أفريقيا و</w:t>
      </w:r>
      <w:r w:rsidR="00A360B7" w:rsidRPr="00A360B7">
        <w:rPr>
          <w:rtl/>
          <w:lang w:bidi="ar-EG"/>
        </w:rPr>
        <w:t>زمبابوي</w:t>
      </w:r>
      <w:r w:rsidR="00A360B7">
        <w:rPr>
          <w:rFonts w:hint="cs"/>
          <w:rtl/>
          <w:lang w:bidi="ar-EG"/>
        </w:rPr>
        <w:t>.</w:t>
      </w:r>
    </w:p>
    <w:p w:rsidR="00A360B7" w:rsidRDefault="00A360B7" w:rsidP="00E86F03">
      <w:pPr>
        <w:pStyle w:val="NormalParaAR"/>
        <w:ind w:left="-25"/>
        <w:rPr>
          <w:rtl/>
          <w:lang w:bidi="ar-EG"/>
        </w:rPr>
      </w:pPr>
      <w:r>
        <w:rPr>
          <w:rFonts w:hint="cs"/>
          <w:rtl/>
          <w:lang w:bidi="ar-EG"/>
        </w:rPr>
        <w:t>ومن جهة أخرى</w:t>
      </w:r>
      <w:r w:rsidR="00952EEB">
        <w:rPr>
          <w:rFonts w:hint="cs"/>
          <w:rtl/>
          <w:lang w:bidi="ar-EG"/>
        </w:rPr>
        <w:t xml:space="preserve"> بما أن</w:t>
      </w:r>
      <w:r>
        <w:rPr>
          <w:rFonts w:hint="cs"/>
          <w:rtl/>
          <w:lang w:bidi="ar-EG"/>
        </w:rPr>
        <w:t xml:space="preserve"> بعض الدول الأعضاء ليست أعضاء </w:t>
      </w:r>
      <w:r w:rsidR="00E86F03">
        <w:rPr>
          <w:rFonts w:hint="cs"/>
          <w:rtl/>
          <w:lang w:bidi="ar-EG"/>
        </w:rPr>
        <w:t xml:space="preserve">في </w:t>
      </w:r>
      <w:r>
        <w:rPr>
          <w:rFonts w:hint="cs"/>
          <w:rtl/>
          <w:lang w:bidi="ar-EG"/>
        </w:rPr>
        <w:t xml:space="preserve">وثيقتي </w:t>
      </w:r>
      <w:r w:rsidR="00BE2E31">
        <w:rPr>
          <w:rFonts w:hint="cs"/>
          <w:rtl/>
          <w:lang w:bidi="ar-EG"/>
        </w:rPr>
        <w:t>استوكهولم</w:t>
      </w:r>
      <w:r>
        <w:rPr>
          <w:rFonts w:hint="cs"/>
          <w:rtl/>
          <w:lang w:bidi="ar-EG"/>
        </w:rPr>
        <w:t xml:space="preserve"> وباريس </w:t>
      </w:r>
      <w:r w:rsidR="00952EEB">
        <w:rPr>
          <w:rFonts w:hint="cs"/>
          <w:rtl/>
          <w:lang w:bidi="ar-EG"/>
        </w:rPr>
        <w:t xml:space="preserve">فهي ليست </w:t>
      </w:r>
      <w:r>
        <w:rPr>
          <w:rFonts w:hint="cs"/>
          <w:rtl/>
          <w:lang w:bidi="ar-EG"/>
        </w:rPr>
        <w:t xml:space="preserve">أعضاء </w:t>
      </w:r>
      <w:r w:rsidR="00E86F03">
        <w:rPr>
          <w:rFonts w:hint="cs"/>
          <w:rtl/>
          <w:lang w:bidi="ar-EG"/>
        </w:rPr>
        <w:t xml:space="preserve">في </w:t>
      </w:r>
      <w:r>
        <w:rPr>
          <w:rFonts w:hint="cs"/>
          <w:rtl/>
          <w:lang w:bidi="ar-EG"/>
        </w:rPr>
        <w:t>جمعية اتحاد برن وعليه لا يمكنها أن تشارك في هيئة اتخاذ القرار في الاتحاد. وتندرج لبنان و</w:t>
      </w:r>
      <w:r w:rsidRPr="00A360B7">
        <w:rPr>
          <w:rtl/>
          <w:lang w:bidi="ar-EG"/>
        </w:rPr>
        <w:t>مدغشقر</w:t>
      </w:r>
      <w:r>
        <w:rPr>
          <w:rFonts w:hint="cs"/>
          <w:rtl/>
          <w:lang w:bidi="ar-EG"/>
        </w:rPr>
        <w:t xml:space="preserve"> </w:t>
      </w:r>
      <w:r w:rsidRPr="00A360B7">
        <w:rPr>
          <w:rtl/>
          <w:lang w:bidi="ar-EG"/>
        </w:rPr>
        <w:t>ونيوزيلندا</w:t>
      </w:r>
      <w:r>
        <w:rPr>
          <w:rFonts w:hint="cs"/>
          <w:rtl/>
          <w:lang w:bidi="ar-EG"/>
        </w:rPr>
        <w:t xml:space="preserve"> في هذه الفئة.</w:t>
      </w:r>
    </w:p>
    <w:p w:rsidR="00A360B7" w:rsidRPr="00035971" w:rsidRDefault="00A360B7" w:rsidP="00B86A66">
      <w:pPr>
        <w:pStyle w:val="NormalParaAR"/>
        <w:spacing w:after="480"/>
        <w:ind w:left="-23"/>
        <w:rPr>
          <w:lang w:bidi="ar-EG"/>
        </w:rPr>
      </w:pPr>
      <w:r>
        <w:rPr>
          <w:rFonts w:hint="cs"/>
          <w:rtl/>
          <w:lang w:bidi="ar-EG"/>
        </w:rPr>
        <w:t>والبلدان</w:t>
      </w:r>
      <w:r w:rsidRPr="00A360B7">
        <w:rPr>
          <w:rtl/>
          <w:lang w:bidi="ar-EG"/>
        </w:rPr>
        <w:t xml:space="preserve"> المعنية مدعوة </w:t>
      </w:r>
      <w:r w:rsidR="00952EEB">
        <w:rPr>
          <w:rFonts w:hint="cs"/>
          <w:rtl/>
          <w:lang w:bidi="ar-EG"/>
        </w:rPr>
        <w:t>إلى</w:t>
      </w:r>
      <w:r w:rsidRPr="00A360B7">
        <w:rPr>
          <w:rtl/>
          <w:lang w:bidi="ar-EG"/>
        </w:rPr>
        <w:t xml:space="preserve"> الانضمام إلى </w:t>
      </w:r>
      <w:r>
        <w:rPr>
          <w:rFonts w:hint="cs"/>
          <w:rtl/>
          <w:lang w:bidi="ar-EG"/>
        </w:rPr>
        <w:t xml:space="preserve">أحدث </w:t>
      </w:r>
      <w:r w:rsidR="00952EEB">
        <w:rPr>
          <w:rFonts w:hint="cs"/>
          <w:rtl/>
          <w:lang w:bidi="ar-EG"/>
        </w:rPr>
        <w:t xml:space="preserve">نسخة من </w:t>
      </w:r>
      <w:r>
        <w:rPr>
          <w:rFonts w:hint="cs"/>
          <w:rtl/>
          <w:lang w:bidi="ar-EG"/>
        </w:rPr>
        <w:t xml:space="preserve">وثيقة اتفاقية برن </w:t>
      </w:r>
      <w:r w:rsidRPr="00A360B7">
        <w:rPr>
          <w:rtl/>
          <w:lang w:bidi="ar-EG"/>
        </w:rPr>
        <w:t>أو القبول بجميع أحكامها كما ينطبق.</w:t>
      </w:r>
    </w:p>
    <w:p w:rsidR="00A360B7" w:rsidRDefault="00A360B7" w:rsidP="00FF1CC1">
      <w:pPr>
        <w:pStyle w:val="NormalParaAR"/>
        <w:numPr>
          <w:ilvl w:val="0"/>
          <w:numId w:val="21"/>
        </w:numPr>
        <w:ind w:left="566" w:hanging="566"/>
        <w:rPr>
          <w:i/>
          <w:iCs/>
          <w:lang w:bidi="ar-EG"/>
        </w:rPr>
      </w:pPr>
      <w:r w:rsidRPr="00A360B7">
        <w:rPr>
          <w:i/>
          <w:iCs/>
          <w:rtl/>
          <w:lang w:bidi="ar-EG"/>
        </w:rPr>
        <w:lastRenderedPageBreak/>
        <w:t>اتفاق مدريد بشأن قمع بيانات مصدر السلع، الزائفة أو المضللة (1891)</w:t>
      </w:r>
    </w:p>
    <w:p w:rsidR="00A360B7" w:rsidRPr="00A360B7" w:rsidRDefault="00A360B7" w:rsidP="00B86A66">
      <w:pPr>
        <w:pStyle w:val="NormalParaAR"/>
        <w:spacing w:after="480" w:line="240" w:lineRule="auto"/>
        <w:ind w:left="-23"/>
        <w:rPr>
          <w:lang w:bidi="ar-EG"/>
        </w:rPr>
      </w:pPr>
      <w:r>
        <w:rPr>
          <w:noProof/>
        </w:rPr>
        <w:drawing>
          <wp:inline distT="0" distB="0" distL="0" distR="0" wp14:anchorId="622C0076" wp14:editId="4D1AA9E6">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97059" w:rsidRPr="00772646" w:rsidRDefault="00797059" w:rsidP="00FF1CC1">
      <w:pPr>
        <w:pStyle w:val="NormalParaAR"/>
        <w:numPr>
          <w:ilvl w:val="0"/>
          <w:numId w:val="21"/>
        </w:numPr>
        <w:ind w:left="566" w:hanging="566"/>
        <w:rPr>
          <w:i/>
          <w:iCs/>
          <w:lang w:bidi="ar-EG"/>
        </w:rPr>
      </w:pPr>
      <w:r w:rsidRPr="00772646">
        <w:rPr>
          <w:rFonts w:hint="cs"/>
          <w:i/>
          <w:iCs/>
          <w:rtl/>
          <w:lang w:bidi="ar-EG"/>
        </w:rPr>
        <w:t>اتفاق</w:t>
      </w:r>
      <w:r w:rsidRPr="00772646">
        <w:rPr>
          <w:i/>
          <w:iCs/>
          <w:rtl/>
          <w:lang w:bidi="ar-EG"/>
        </w:rPr>
        <w:t xml:space="preserve"> </w:t>
      </w:r>
      <w:r w:rsidRPr="00772646">
        <w:rPr>
          <w:rFonts w:hint="cs"/>
          <w:i/>
          <w:iCs/>
          <w:rtl/>
          <w:lang w:bidi="ar-EG"/>
        </w:rPr>
        <w:t>مدريد</w:t>
      </w:r>
      <w:r w:rsidRPr="00772646">
        <w:rPr>
          <w:i/>
          <w:iCs/>
          <w:rtl/>
          <w:lang w:bidi="ar-EG"/>
        </w:rPr>
        <w:t xml:space="preserve"> </w:t>
      </w:r>
      <w:r w:rsidRPr="00772646">
        <w:rPr>
          <w:rFonts w:hint="cs"/>
          <w:i/>
          <w:iCs/>
          <w:rtl/>
          <w:lang w:bidi="ar-EG"/>
        </w:rPr>
        <w:t>بشأن</w:t>
      </w:r>
      <w:r w:rsidRPr="00772646">
        <w:rPr>
          <w:i/>
          <w:iCs/>
          <w:rtl/>
          <w:lang w:bidi="ar-EG"/>
        </w:rPr>
        <w:t xml:space="preserve"> </w:t>
      </w:r>
      <w:r w:rsidRPr="00772646">
        <w:rPr>
          <w:rFonts w:hint="cs"/>
          <w:i/>
          <w:iCs/>
          <w:rtl/>
          <w:lang w:bidi="ar-EG"/>
        </w:rPr>
        <w:t>التسجيل</w:t>
      </w:r>
      <w:r w:rsidRPr="00772646">
        <w:rPr>
          <w:i/>
          <w:iCs/>
          <w:rtl/>
          <w:lang w:bidi="ar-EG"/>
        </w:rPr>
        <w:t xml:space="preserve"> </w:t>
      </w:r>
      <w:r w:rsidRPr="00772646">
        <w:rPr>
          <w:rFonts w:hint="cs"/>
          <w:i/>
          <w:iCs/>
          <w:rtl/>
          <w:lang w:bidi="ar-EG"/>
        </w:rPr>
        <w:t>الدولي</w:t>
      </w:r>
      <w:r w:rsidRPr="00772646">
        <w:rPr>
          <w:i/>
          <w:iCs/>
          <w:rtl/>
          <w:lang w:bidi="ar-EG"/>
        </w:rPr>
        <w:t xml:space="preserve"> </w:t>
      </w:r>
      <w:r w:rsidRPr="00772646">
        <w:rPr>
          <w:rFonts w:hint="cs"/>
          <w:i/>
          <w:iCs/>
          <w:rtl/>
          <w:lang w:bidi="ar-EG"/>
        </w:rPr>
        <w:t>للعلامات</w:t>
      </w:r>
      <w:r w:rsidRPr="00772646">
        <w:rPr>
          <w:i/>
          <w:iCs/>
          <w:rtl/>
          <w:lang w:bidi="ar-EG"/>
        </w:rPr>
        <w:t xml:space="preserve"> (1891) </w:t>
      </w:r>
      <w:r w:rsidRPr="00772646">
        <w:rPr>
          <w:rFonts w:hint="cs"/>
          <w:i/>
          <w:iCs/>
          <w:rtl/>
          <w:lang w:bidi="ar-EG"/>
        </w:rPr>
        <w:t>و</w:t>
      </w:r>
      <w:r w:rsidR="00B12495" w:rsidRPr="00772646">
        <w:rPr>
          <w:rFonts w:hint="cs"/>
          <w:i/>
          <w:iCs/>
          <w:rtl/>
          <w:lang w:bidi="ar-EG"/>
        </w:rPr>
        <w:t>ال</w:t>
      </w:r>
      <w:r w:rsidRPr="00772646">
        <w:rPr>
          <w:rFonts w:hint="cs"/>
          <w:i/>
          <w:iCs/>
          <w:rtl/>
          <w:lang w:bidi="ar-EG"/>
        </w:rPr>
        <w:t>بروتوكول</w:t>
      </w:r>
      <w:r w:rsidRPr="00772646">
        <w:rPr>
          <w:i/>
          <w:iCs/>
          <w:rtl/>
          <w:lang w:bidi="ar-EG"/>
        </w:rPr>
        <w:t xml:space="preserve"> </w:t>
      </w:r>
      <w:r w:rsidR="00B12495" w:rsidRPr="00772646">
        <w:rPr>
          <w:rFonts w:hint="cs"/>
          <w:i/>
          <w:iCs/>
          <w:rtl/>
          <w:lang w:bidi="ar-EG"/>
        </w:rPr>
        <w:t>المتعلق ب</w:t>
      </w:r>
      <w:r w:rsidRPr="00772646">
        <w:rPr>
          <w:rFonts w:hint="cs"/>
          <w:i/>
          <w:iCs/>
          <w:rtl/>
          <w:lang w:bidi="ar-EG"/>
        </w:rPr>
        <w:t>اتفاق</w:t>
      </w:r>
      <w:r w:rsidRPr="00772646">
        <w:rPr>
          <w:i/>
          <w:iCs/>
          <w:rtl/>
          <w:lang w:bidi="ar-EG"/>
        </w:rPr>
        <w:t xml:space="preserve"> </w:t>
      </w:r>
      <w:r w:rsidRPr="00772646">
        <w:rPr>
          <w:rFonts w:hint="cs"/>
          <w:i/>
          <w:iCs/>
          <w:rtl/>
          <w:lang w:bidi="ar-EG"/>
        </w:rPr>
        <w:t>مدريد</w:t>
      </w:r>
      <w:r w:rsidRPr="00772646">
        <w:rPr>
          <w:i/>
          <w:iCs/>
          <w:rtl/>
          <w:lang w:bidi="ar-EG"/>
        </w:rPr>
        <w:t xml:space="preserve"> (1989)</w:t>
      </w:r>
    </w:p>
    <w:p w:rsidR="00797059" w:rsidRDefault="00F744F6" w:rsidP="00E01E2E">
      <w:pPr>
        <w:pStyle w:val="NormalParaAR"/>
        <w:ind w:left="-23"/>
        <w:rPr>
          <w:rtl/>
        </w:rPr>
      </w:pPr>
      <w:r>
        <w:rPr>
          <w:rFonts w:hint="cs"/>
          <w:rtl/>
          <w:lang w:bidi="ar-EG"/>
        </w:rPr>
        <w:t xml:space="preserve">يتكون نظام مدريد من معاهدتين وهما </w:t>
      </w:r>
      <w:r w:rsidRPr="00F744F6">
        <w:rPr>
          <w:rFonts w:hint="cs"/>
          <w:rtl/>
        </w:rPr>
        <w:t>اتفاق</w:t>
      </w:r>
      <w:r w:rsidRPr="00F744F6">
        <w:rPr>
          <w:rtl/>
        </w:rPr>
        <w:t xml:space="preserve"> </w:t>
      </w:r>
      <w:r w:rsidRPr="00F744F6">
        <w:rPr>
          <w:rFonts w:hint="cs"/>
          <w:rtl/>
        </w:rPr>
        <w:t>مدريد</w:t>
      </w:r>
      <w:r w:rsidRPr="00F744F6">
        <w:rPr>
          <w:rtl/>
        </w:rPr>
        <w:t xml:space="preserve"> </w:t>
      </w:r>
      <w:r w:rsidRPr="00F744F6">
        <w:rPr>
          <w:rFonts w:hint="cs"/>
          <w:rtl/>
        </w:rPr>
        <w:t>بشأن</w:t>
      </w:r>
      <w:r w:rsidRPr="00F744F6">
        <w:rPr>
          <w:rtl/>
        </w:rPr>
        <w:t xml:space="preserve"> </w:t>
      </w:r>
      <w:r w:rsidRPr="00F744F6">
        <w:rPr>
          <w:rFonts w:hint="cs"/>
          <w:rtl/>
        </w:rPr>
        <w:t>التسجيل</w:t>
      </w:r>
      <w:r w:rsidRPr="00F744F6">
        <w:rPr>
          <w:rtl/>
        </w:rPr>
        <w:t xml:space="preserve"> </w:t>
      </w:r>
      <w:r w:rsidRPr="00F744F6">
        <w:rPr>
          <w:rFonts w:hint="cs"/>
          <w:rtl/>
        </w:rPr>
        <w:t>الدولي</w:t>
      </w:r>
      <w:r w:rsidRPr="00F744F6">
        <w:rPr>
          <w:rtl/>
        </w:rPr>
        <w:t xml:space="preserve"> </w:t>
      </w:r>
      <w:r w:rsidRPr="00F744F6">
        <w:rPr>
          <w:rFonts w:hint="cs"/>
          <w:rtl/>
        </w:rPr>
        <w:t>للعلامات</w:t>
      </w:r>
      <w:r>
        <w:rPr>
          <w:rFonts w:hint="cs"/>
          <w:rtl/>
        </w:rPr>
        <w:t xml:space="preserve"> والبروتوكول </w:t>
      </w:r>
      <w:r w:rsidR="00A7013D">
        <w:rPr>
          <w:rFonts w:hint="cs"/>
          <w:rtl/>
        </w:rPr>
        <w:t>المتعلق</w:t>
      </w:r>
      <w:r>
        <w:rPr>
          <w:rFonts w:hint="cs"/>
          <w:rtl/>
        </w:rPr>
        <w:t xml:space="preserve"> </w:t>
      </w:r>
      <w:r w:rsidR="00A7013D">
        <w:rPr>
          <w:rFonts w:hint="cs"/>
          <w:rtl/>
        </w:rPr>
        <w:t>ب</w:t>
      </w:r>
      <w:r>
        <w:rPr>
          <w:rFonts w:hint="cs"/>
          <w:rtl/>
        </w:rPr>
        <w:t xml:space="preserve">اتفاق مدريد (البروتوكول). غير أنه مع دخول بروتوكول مدريد حيز النفاذ </w:t>
      </w:r>
      <w:r w:rsidR="00A7013D">
        <w:rPr>
          <w:rFonts w:hint="cs"/>
          <w:rtl/>
        </w:rPr>
        <w:t xml:space="preserve">يوم 31 أكتوبر 2015 </w:t>
      </w:r>
      <w:r>
        <w:rPr>
          <w:rFonts w:hint="cs"/>
          <w:rtl/>
        </w:rPr>
        <w:t xml:space="preserve">بالنسبة للجزائر، أصبح نظام مدريد </w:t>
      </w:r>
      <w:r w:rsidRPr="00A7013D">
        <w:rPr>
          <w:rFonts w:hint="cs"/>
          <w:i/>
          <w:iCs/>
          <w:rtl/>
        </w:rPr>
        <w:t>بحكم الواقع</w:t>
      </w:r>
      <w:r>
        <w:rPr>
          <w:rFonts w:hint="cs"/>
          <w:rtl/>
        </w:rPr>
        <w:t xml:space="preserve"> نظاما قائما على معاهدة واحدة </w:t>
      </w:r>
      <w:r w:rsidR="00E86F03">
        <w:rPr>
          <w:rFonts w:hint="cs"/>
          <w:rtl/>
        </w:rPr>
        <w:t>و</w:t>
      </w:r>
      <w:r>
        <w:rPr>
          <w:rFonts w:hint="cs"/>
          <w:rtl/>
        </w:rPr>
        <w:t xml:space="preserve">البروتوكول </w:t>
      </w:r>
      <w:r w:rsidR="00E86F03">
        <w:rPr>
          <w:rFonts w:hint="cs"/>
          <w:rtl/>
        </w:rPr>
        <w:t xml:space="preserve">فيه </w:t>
      </w:r>
      <w:r>
        <w:rPr>
          <w:rFonts w:hint="cs"/>
          <w:rtl/>
        </w:rPr>
        <w:t xml:space="preserve">هو المعاهدة الوحيدة القابلة للتطبيق. وبموجب النظام القائم على معاهدة واحدة، أصبح الانضمام </w:t>
      </w:r>
      <w:r w:rsidR="00A7013D">
        <w:rPr>
          <w:rFonts w:hint="cs"/>
          <w:rtl/>
        </w:rPr>
        <w:t xml:space="preserve">وحده </w:t>
      </w:r>
      <w:r>
        <w:rPr>
          <w:rFonts w:hint="cs"/>
          <w:rtl/>
        </w:rPr>
        <w:t xml:space="preserve">إلى الاتفاق خالٍ من التبرير </w:t>
      </w:r>
      <w:r w:rsidR="00A7013D">
        <w:rPr>
          <w:rFonts w:hint="cs"/>
          <w:rtl/>
        </w:rPr>
        <w:t>العملي</w:t>
      </w:r>
      <w:r>
        <w:rPr>
          <w:rFonts w:hint="cs"/>
          <w:rtl/>
        </w:rPr>
        <w:t xml:space="preserve">. لذا أعضاء الاتحاد من غير الأعضاء في مدريد مدعوون </w:t>
      </w:r>
      <w:r w:rsidR="00A7013D">
        <w:rPr>
          <w:rFonts w:hint="cs"/>
          <w:rtl/>
        </w:rPr>
        <w:t>إلى ا</w:t>
      </w:r>
      <w:r>
        <w:rPr>
          <w:rFonts w:hint="cs"/>
          <w:rtl/>
        </w:rPr>
        <w:t>لانضمام إلى البروتوكول</w:t>
      </w:r>
      <w:r w:rsidR="00A7013D">
        <w:rPr>
          <w:rFonts w:hint="cs"/>
          <w:rtl/>
        </w:rPr>
        <w:t xml:space="preserve"> فقط</w:t>
      </w:r>
      <w:r>
        <w:rPr>
          <w:rFonts w:hint="cs"/>
          <w:rtl/>
        </w:rPr>
        <w:t>.</w:t>
      </w:r>
    </w:p>
    <w:p w:rsidR="00E055B9" w:rsidRDefault="00E055B9" w:rsidP="00E055B9">
      <w:pPr>
        <w:pStyle w:val="NormalParaAR"/>
        <w:spacing w:line="240" w:lineRule="auto"/>
        <w:ind w:left="-23"/>
        <w:rPr>
          <w:rtl/>
          <w:lang w:bidi="ar-EG"/>
        </w:rPr>
      </w:pPr>
      <w:r>
        <w:rPr>
          <w:noProof/>
        </w:rPr>
        <w:drawing>
          <wp:inline distT="0" distB="0" distL="0" distR="0" wp14:anchorId="7928E59C" wp14:editId="30FD8297">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055B9" w:rsidRPr="00F744F6" w:rsidRDefault="00E055B9" w:rsidP="00B86A66">
      <w:pPr>
        <w:pStyle w:val="NormalParaAR"/>
        <w:spacing w:after="480" w:line="240" w:lineRule="auto"/>
        <w:ind w:left="-23"/>
        <w:rPr>
          <w:lang w:bidi="ar-EG"/>
        </w:rPr>
      </w:pPr>
      <w:r>
        <w:rPr>
          <w:noProof/>
        </w:rPr>
        <w:lastRenderedPageBreak/>
        <w:drawing>
          <wp:inline distT="0" distB="0" distL="0" distR="0" wp14:anchorId="385308D3" wp14:editId="64866536">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055B9" w:rsidRDefault="00E86F03" w:rsidP="00FF1CC1">
      <w:pPr>
        <w:pStyle w:val="NormalParaAR"/>
        <w:numPr>
          <w:ilvl w:val="0"/>
          <w:numId w:val="21"/>
        </w:numPr>
        <w:ind w:left="566" w:hanging="566"/>
        <w:rPr>
          <w:i/>
          <w:iCs/>
          <w:lang w:bidi="ar-EG"/>
        </w:rPr>
      </w:pPr>
      <w:r>
        <w:rPr>
          <w:i/>
          <w:iCs/>
          <w:rtl/>
          <w:lang w:bidi="ar-EG"/>
        </w:rPr>
        <w:t>اتفاق لاهاي بشأن ال</w:t>
      </w:r>
      <w:r>
        <w:rPr>
          <w:rFonts w:hint="cs"/>
          <w:i/>
          <w:iCs/>
          <w:rtl/>
          <w:lang w:bidi="ar-EG"/>
        </w:rPr>
        <w:t>إ</w:t>
      </w:r>
      <w:r w:rsidR="00E055B9" w:rsidRPr="00E055B9">
        <w:rPr>
          <w:i/>
          <w:iCs/>
          <w:rtl/>
          <w:lang w:bidi="ar-EG"/>
        </w:rPr>
        <w:t>يداع الدولي للرسوم والنماذج الصناعي</w:t>
      </w:r>
      <w:r w:rsidR="00E055B9" w:rsidRPr="000F4257">
        <w:rPr>
          <w:i/>
          <w:iCs/>
          <w:rtl/>
          <w:lang w:bidi="ar-EG"/>
        </w:rPr>
        <w:t>ة</w:t>
      </w:r>
    </w:p>
    <w:p w:rsidR="000F4257" w:rsidRDefault="000F4257" w:rsidP="00E01E2E">
      <w:pPr>
        <w:pStyle w:val="NormalParaAR"/>
        <w:ind w:left="-25"/>
        <w:rPr>
          <w:rtl/>
          <w:lang w:bidi="ar-EG"/>
        </w:rPr>
      </w:pPr>
      <w:r>
        <w:rPr>
          <w:rFonts w:hint="cs"/>
          <w:rtl/>
          <w:lang w:bidi="ar-EG"/>
        </w:rPr>
        <w:t xml:space="preserve">يتكون </w:t>
      </w:r>
      <w:r w:rsidR="00E86F03">
        <w:rPr>
          <w:rtl/>
          <w:lang w:bidi="ar-EG"/>
        </w:rPr>
        <w:t>اتفاق لاهاي بشأن ال</w:t>
      </w:r>
      <w:r w:rsidR="00E86F03">
        <w:rPr>
          <w:rFonts w:hint="cs"/>
          <w:rtl/>
          <w:lang w:bidi="ar-EG"/>
        </w:rPr>
        <w:t>إ</w:t>
      </w:r>
      <w:r w:rsidRPr="000F4257">
        <w:rPr>
          <w:rtl/>
          <w:lang w:bidi="ar-EG"/>
        </w:rPr>
        <w:t>يداع الدولي للرسوم والنماذج الصناعية</w:t>
      </w:r>
      <w:r w:rsidR="00266981">
        <w:rPr>
          <w:rFonts w:hint="cs"/>
          <w:rtl/>
          <w:lang w:bidi="ar-EG"/>
        </w:rPr>
        <w:t xml:space="preserve"> من ثلاث</w:t>
      </w:r>
      <w:r>
        <w:rPr>
          <w:rFonts w:hint="cs"/>
          <w:rtl/>
          <w:lang w:bidi="ar-EG"/>
        </w:rPr>
        <w:t xml:space="preserve"> وثائق وهي وثيقة لندن (1934) </w:t>
      </w:r>
      <w:r w:rsidR="00E86F03">
        <w:rPr>
          <w:rFonts w:hint="cs"/>
          <w:rtl/>
          <w:lang w:bidi="ar-EG"/>
        </w:rPr>
        <w:t>و</w:t>
      </w:r>
      <w:r>
        <w:rPr>
          <w:rFonts w:hint="cs"/>
          <w:rtl/>
          <w:lang w:bidi="ar-EG"/>
        </w:rPr>
        <w:t>وثيقة لاهاي (1960) ووثيقة جنيف (1999).</w:t>
      </w:r>
    </w:p>
    <w:p w:rsidR="000F4257" w:rsidRDefault="00A7013D" w:rsidP="00E01E2E">
      <w:pPr>
        <w:pStyle w:val="NormalParaAR"/>
        <w:ind w:left="-25"/>
        <w:rPr>
          <w:rtl/>
          <w:lang w:bidi="ar-EG"/>
        </w:rPr>
      </w:pPr>
      <w:r>
        <w:rPr>
          <w:rFonts w:hint="cs"/>
          <w:rtl/>
          <w:lang w:bidi="ar-EG"/>
        </w:rPr>
        <w:t>و</w:t>
      </w:r>
      <w:r w:rsidR="000F4257">
        <w:rPr>
          <w:rFonts w:hint="cs"/>
          <w:rtl/>
          <w:lang w:bidi="ar-EG"/>
        </w:rPr>
        <w:t xml:space="preserve">قررت 15 دولة متعاقدة في وثيقة 1934 في 4 سبتمبر 2009 تجميد </w:t>
      </w:r>
      <w:r w:rsidR="00EF0325">
        <w:rPr>
          <w:rFonts w:hint="cs"/>
          <w:rtl/>
          <w:lang w:bidi="ar-EG"/>
        </w:rPr>
        <w:t>تطبيق</w:t>
      </w:r>
      <w:r w:rsidR="000F4257">
        <w:rPr>
          <w:rFonts w:hint="cs"/>
          <w:rtl/>
          <w:lang w:bidi="ar-EG"/>
        </w:rPr>
        <w:t xml:space="preserve"> وثيقة </w:t>
      </w:r>
      <w:r w:rsidR="00EF0325">
        <w:rPr>
          <w:rFonts w:hint="cs"/>
          <w:rtl/>
          <w:lang w:bidi="ar-EG"/>
        </w:rPr>
        <w:t>1934 ك</w:t>
      </w:r>
      <w:r>
        <w:rPr>
          <w:rFonts w:hint="cs"/>
          <w:rtl/>
          <w:lang w:bidi="ar-EG"/>
        </w:rPr>
        <w:t>خطوة أولى لتبسيط نظام لاهاي</w:t>
      </w:r>
      <w:r w:rsidR="000F4257">
        <w:rPr>
          <w:rFonts w:hint="cs"/>
          <w:rtl/>
          <w:lang w:bidi="ar-EG"/>
        </w:rPr>
        <w:t xml:space="preserve">. كما </w:t>
      </w:r>
      <w:r w:rsidR="00EF0325">
        <w:rPr>
          <w:rFonts w:hint="cs"/>
          <w:rtl/>
          <w:lang w:bidi="ar-EG"/>
        </w:rPr>
        <w:t xml:space="preserve">اتفقت تلك </w:t>
      </w:r>
      <w:r w:rsidR="000F4257">
        <w:rPr>
          <w:rFonts w:hint="cs"/>
          <w:rtl/>
          <w:lang w:bidi="ar-EG"/>
        </w:rPr>
        <w:t xml:space="preserve">الدول </w:t>
      </w:r>
      <w:r w:rsidR="00D10021">
        <w:rPr>
          <w:rFonts w:hint="cs"/>
          <w:rtl/>
          <w:lang w:bidi="ar-EG"/>
        </w:rPr>
        <w:t xml:space="preserve">على أن </w:t>
      </w:r>
      <w:r w:rsidR="00EF0325">
        <w:rPr>
          <w:rFonts w:hint="cs"/>
          <w:rtl/>
          <w:lang w:bidi="ar-EG"/>
        </w:rPr>
        <w:t xml:space="preserve">الغاية </w:t>
      </w:r>
      <w:r w:rsidR="00D10021">
        <w:rPr>
          <w:rFonts w:hint="cs"/>
          <w:rtl/>
          <w:lang w:bidi="ar-EG"/>
        </w:rPr>
        <w:t>النهائي</w:t>
      </w:r>
      <w:r w:rsidR="00EF0325">
        <w:rPr>
          <w:rFonts w:hint="cs"/>
          <w:rtl/>
          <w:lang w:bidi="ar-EG"/>
        </w:rPr>
        <w:t>ة</w:t>
      </w:r>
      <w:r w:rsidR="00D10021">
        <w:rPr>
          <w:rFonts w:hint="cs"/>
          <w:rtl/>
          <w:lang w:bidi="ar-EG"/>
        </w:rPr>
        <w:t xml:space="preserve"> </w:t>
      </w:r>
      <w:r w:rsidR="00EF0325">
        <w:rPr>
          <w:rFonts w:hint="cs"/>
          <w:rtl/>
          <w:lang w:bidi="ar-EG"/>
        </w:rPr>
        <w:t xml:space="preserve">هي </w:t>
      </w:r>
      <w:r w:rsidR="00D10021">
        <w:rPr>
          <w:rFonts w:hint="cs"/>
          <w:rtl/>
          <w:lang w:bidi="ar-EG"/>
        </w:rPr>
        <w:t>إنهاء وثيقة 1934.</w:t>
      </w:r>
    </w:p>
    <w:p w:rsidR="00D10021" w:rsidRDefault="00E86AC6" w:rsidP="00E86AC6">
      <w:pPr>
        <w:pStyle w:val="NormalParaAR"/>
        <w:ind w:left="-25"/>
        <w:rPr>
          <w:rtl/>
          <w:lang w:bidi="ar-EG"/>
        </w:rPr>
      </w:pPr>
      <w:r>
        <w:rPr>
          <w:rFonts w:hint="cs"/>
          <w:rtl/>
          <w:lang w:bidi="ar-EG"/>
        </w:rPr>
        <w:t>وتسلّم المدير العام للويبو، في 18 يوليو 2016، آخر موافقة ضرورية لإنهاء وثيقة 1934، أي موافقة مصر. ويُذكّر أن</w:t>
      </w:r>
      <w:r>
        <w:rPr>
          <w:rFonts w:hint="eastAsia"/>
          <w:rtl/>
          <w:lang w:bidi="ar-EG"/>
        </w:rPr>
        <w:t> </w:t>
      </w:r>
      <w:r>
        <w:rPr>
          <w:rFonts w:hint="cs"/>
          <w:rtl/>
          <w:lang w:bidi="ar-EG"/>
        </w:rPr>
        <w:t>12</w:t>
      </w:r>
      <w:r>
        <w:rPr>
          <w:rFonts w:hint="eastAsia"/>
          <w:rtl/>
        </w:rPr>
        <w:t> </w:t>
      </w:r>
      <w:r>
        <w:rPr>
          <w:rFonts w:hint="cs"/>
          <w:rtl/>
          <w:lang w:bidi="ar-EG"/>
        </w:rPr>
        <w:t xml:space="preserve">طرفا </w:t>
      </w:r>
      <w:r w:rsidR="00AA4E6F">
        <w:rPr>
          <w:rFonts w:hint="cs"/>
          <w:rtl/>
          <w:lang w:bidi="ar-EG"/>
        </w:rPr>
        <w:t>متعاقدا بموجب وثيقة 1934 قد أعرب عن موافقته على إنهاء الوثيقة المذكورة ونقضها ثلاثة. وسيصبح إنهاء الوثيقة نافذا في 18 أكتوبر 2016.</w:t>
      </w:r>
    </w:p>
    <w:p w:rsidR="00D10021" w:rsidRDefault="00D10021" w:rsidP="005C791E">
      <w:pPr>
        <w:pStyle w:val="NormalParaAR"/>
        <w:ind w:left="-23"/>
        <w:rPr>
          <w:rtl/>
          <w:lang w:bidi="ar-EG"/>
        </w:rPr>
      </w:pPr>
      <w:r>
        <w:rPr>
          <w:rFonts w:hint="cs"/>
          <w:rtl/>
          <w:lang w:bidi="ar-EG"/>
        </w:rPr>
        <w:t xml:space="preserve">وحتى الآن 65 دولة أو منظمة حكومية دولية أعضاء </w:t>
      </w:r>
      <w:r w:rsidR="00266981">
        <w:rPr>
          <w:rFonts w:hint="cs"/>
          <w:rtl/>
          <w:lang w:bidi="ar-EG"/>
        </w:rPr>
        <w:t xml:space="preserve">في </w:t>
      </w:r>
      <w:r>
        <w:rPr>
          <w:rFonts w:hint="cs"/>
          <w:rtl/>
          <w:lang w:bidi="ar-EG"/>
        </w:rPr>
        <w:t xml:space="preserve">اتحاد لاهاي، </w:t>
      </w:r>
      <w:r w:rsidR="00FA6448">
        <w:rPr>
          <w:rFonts w:hint="cs"/>
          <w:rtl/>
          <w:lang w:bidi="ar-EG"/>
        </w:rPr>
        <w:t>و</w:t>
      </w:r>
      <w:r>
        <w:rPr>
          <w:rFonts w:hint="cs"/>
          <w:rtl/>
          <w:lang w:bidi="ar-EG"/>
        </w:rPr>
        <w:t>5</w:t>
      </w:r>
      <w:r w:rsidR="005C791E">
        <w:rPr>
          <w:rFonts w:hint="cs"/>
          <w:rtl/>
          <w:lang w:bidi="ar-EG"/>
        </w:rPr>
        <w:t>1</w:t>
      </w:r>
      <w:r>
        <w:rPr>
          <w:rFonts w:hint="cs"/>
          <w:rtl/>
          <w:lang w:bidi="ar-EG"/>
        </w:rPr>
        <w:t xml:space="preserve"> منها</w:t>
      </w:r>
      <w:r w:rsidR="00FA6448">
        <w:rPr>
          <w:rFonts w:hint="cs"/>
          <w:rtl/>
          <w:lang w:bidi="ar-EG"/>
        </w:rPr>
        <w:t xml:space="preserve"> ملتزمة</w:t>
      </w:r>
      <w:r>
        <w:rPr>
          <w:rFonts w:hint="cs"/>
          <w:rtl/>
          <w:lang w:bidi="ar-EG"/>
        </w:rPr>
        <w:t xml:space="preserve"> </w:t>
      </w:r>
      <w:r w:rsidR="00FA6448">
        <w:rPr>
          <w:rFonts w:hint="cs"/>
          <w:rtl/>
          <w:lang w:bidi="ar-EG"/>
        </w:rPr>
        <w:t>ب</w:t>
      </w:r>
      <w:r>
        <w:rPr>
          <w:rFonts w:hint="cs"/>
          <w:rtl/>
          <w:lang w:bidi="ar-EG"/>
        </w:rPr>
        <w:t xml:space="preserve">وثيقة 1999 و34 </w:t>
      </w:r>
      <w:r w:rsidR="008F54F3">
        <w:rPr>
          <w:rFonts w:hint="cs"/>
          <w:rtl/>
          <w:lang w:bidi="ar-EG"/>
        </w:rPr>
        <w:t>ملتزمة ب</w:t>
      </w:r>
      <w:r>
        <w:rPr>
          <w:rFonts w:hint="cs"/>
          <w:rtl/>
          <w:lang w:bidi="ar-EG"/>
        </w:rPr>
        <w:t>وثيقة</w:t>
      </w:r>
      <w:r w:rsidR="00FE2891">
        <w:rPr>
          <w:rFonts w:hint="eastAsia"/>
          <w:rtl/>
          <w:lang w:bidi="ar-EG"/>
        </w:rPr>
        <w:t> </w:t>
      </w:r>
      <w:r>
        <w:rPr>
          <w:rFonts w:hint="cs"/>
          <w:rtl/>
          <w:lang w:bidi="ar-EG"/>
        </w:rPr>
        <w:t xml:space="preserve">1960. ويوفر الرسمان البيانيان التاليان معلومات عن تطور </w:t>
      </w:r>
      <w:r w:rsidR="00432961">
        <w:rPr>
          <w:rFonts w:hint="cs"/>
          <w:rtl/>
          <w:lang w:bidi="ar-EG"/>
        </w:rPr>
        <w:t>العضوية في اتحاد لاهاي.</w:t>
      </w:r>
    </w:p>
    <w:p w:rsidR="00432961" w:rsidRDefault="00432961" w:rsidP="00432961">
      <w:pPr>
        <w:pStyle w:val="NormalParaAR"/>
        <w:spacing w:line="240" w:lineRule="auto"/>
        <w:ind w:left="-23"/>
        <w:rPr>
          <w:rtl/>
          <w:lang w:bidi="ar-EG"/>
        </w:rPr>
      </w:pPr>
      <w:r>
        <w:rPr>
          <w:noProof/>
        </w:rPr>
        <w:drawing>
          <wp:inline distT="0" distB="0" distL="0" distR="0" wp14:anchorId="21E93411" wp14:editId="0A7F309E">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32961" w:rsidRPr="000F4257" w:rsidRDefault="0087134C" w:rsidP="00B86A66">
      <w:pPr>
        <w:pStyle w:val="NormalParaAR"/>
        <w:spacing w:after="480" w:line="240" w:lineRule="auto"/>
        <w:ind w:left="-23"/>
        <w:rPr>
          <w:rtl/>
          <w:lang w:bidi="ar-EG"/>
        </w:rPr>
      </w:pPr>
      <w:r>
        <w:rPr>
          <w:noProof/>
        </w:rPr>
        <w:lastRenderedPageBreak/>
        <w:drawing>
          <wp:inline distT="0" distB="0" distL="0" distR="0" wp14:anchorId="250EDD04" wp14:editId="5FF5FC8B">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32961" w:rsidRPr="004A0415" w:rsidRDefault="00432961" w:rsidP="0003578C">
      <w:pPr>
        <w:pStyle w:val="NormalParaAR"/>
        <w:numPr>
          <w:ilvl w:val="0"/>
          <w:numId w:val="21"/>
        </w:numPr>
        <w:ind w:left="567" w:hanging="567"/>
        <w:rPr>
          <w:i/>
          <w:iCs/>
          <w:lang w:bidi="ar-EG"/>
        </w:rPr>
      </w:pPr>
      <w:r w:rsidRPr="004A0415">
        <w:rPr>
          <w:i/>
          <w:iCs/>
          <w:rtl/>
          <w:lang w:bidi="ar-EG"/>
        </w:rPr>
        <w:t>اتفاق نيس بشأن التصنيف الدولي للسلع والخدمات لأغراض تسجيل العلامات</w:t>
      </w:r>
      <w:r w:rsidRPr="004A0415">
        <w:rPr>
          <w:rFonts w:hint="cs"/>
          <w:i/>
          <w:iCs/>
          <w:rtl/>
          <w:lang w:bidi="ar-EG"/>
        </w:rPr>
        <w:t xml:space="preserve"> (1957)</w:t>
      </w:r>
    </w:p>
    <w:p w:rsidR="00432961" w:rsidRPr="00432961" w:rsidRDefault="00432961" w:rsidP="00432961">
      <w:pPr>
        <w:pStyle w:val="NormalParaAR"/>
        <w:spacing w:line="240" w:lineRule="auto"/>
        <w:ind w:left="-23"/>
        <w:rPr>
          <w:lang w:bidi="ar-EG"/>
        </w:rPr>
      </w:pPr>
      <w:r>
        <w:rPr>
          <w:noProof/>
        </w:rPr>
        <w:drawing>
          <wp:inline distT="0" distB="0" distL="0" distR="0" wp14:anchorId="2B257F3F" wp14:editId="588F63FC">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E2891" w:rsidRDefault="00266981" w:rsidP="00266981">
      <w:pPr>
        <w:pStyle w:val="NormalParaAR"/>
        <w:spacing w:after="480"/>
        <w:rPr>
          <w:rtl/>
          <w:lang w:bidi="ar-EG"/>
        </w:rPr>
      </w:pPr>
      <w:r>
        <w:rPr>
          <w:rFonts w:hint="cs"/>
          <w:rtl/>
          <w:lang w:bidi="ar-EG"/>
        </w:rPr>
        <w:t>روجع اتفاق نيس مرتي</w:t>
      </w:r>
      <w:r w:rsidR="00432961">
        <w:rPr>
          <w:rFonts w:hint="cs"/>
          <w:rtl/>
          <w:lang w:bidi="ar-EG"/>
        </w:rPr>
        <w:t xml:space="preserve">ن بعد اعتماده في 1957 </w:t>
      </w:r>
      <w:r>
        <w:rPr>
          <w:rFonts w:hint="cs"/>
          <w:rtl/>
          <w:lang w:bidi="ar-EG"/>
        </w:rPr>
        <w:t>الأول</w:t>
      </w:r>
      <w:r w:rsidR="00432961">
        <w:rPr>
          <w:rFonts w:hint="cs"/>
          <w:rtl/>
          <w:lang w:bidi="ar-EG"/>
        </w:rPr>
        <w:t xml:space="preserve"> في </w:t>
      </w:r>
      <w:r w:rsidR="00BE2E31">
        <w:rPr>
          <w:rFonts w:hint="cs"/>
          <w:rtl/>
          <w:lang w:bidi="ar-EG"/>
        </w:rPr>
        <w:t>استوكهولم</w:t>
      </w:r>
      <w:r w:rsidR="00432961">
        <w:rPr>
          <w:rFonts w:hint="cs"/>
          <w:rtl/>
          <w:lang w:bidi="ar-EG"/>
        </w:rPr>
        <w:t xml:space="preserve"> (1967) و</w:t>
      </w:r>
      <w:r>
        <w:rPr>
          <w:rFonts w:hint="cs"/>
          <w:rtl/>
          <w:lang w:bidi="ar-EG"/>
        </w:rPr>
        <w:t>الثاني في جنيف (1977). ولازالت بعض</w:t>
      </w:r>
      <w:r w:rsidR="00432961">
        <w:rPr>
          <w:rFonts w:hint="cs"/>
          <w:rtl/>
          <w:lang w:bidi="ar-EG"/>
        </w:rPr>
        <w:t xml:space="preserve"> الدول الأعضاء </w:t>
      </w:r>
      <w:r w:rsidR="00D00A88">
        <w:rPr>
          <w:rFonts w:hint="cs"/>
          <w:rtl/>
          <w:lang w:bidi="ar-EG"/>
        </w:rPr>
        <w:t>ملتزمة</w:t>
      </w:r>
      <w:r w:rsidR="00432961">
        <w:rPr>
          <w:rFonts w:hint="cs"/>
          <w:rtl/>
          <w:lang w:bidi="ar-EG"/>
        </w:rPr>
        <w:t xml:space="preserve"> </w:t>
      </w:r>
      <w:r w:rsidR="004A0415">
        <w:rPr>
          <w:rFonts w:hint="cs"/>
          <w:rtl/>
          <w:lang w:bidi="ar-EG"/>
        </w:rPr>
        <w:t>ب</w:t>
      </w:r>
      <w:r w:rsidR="00432961">
        <w:rPr>
          <w:rFonts w:hint="cs"/>
          <w:rtl/>
          <w:lang w:bidi="ar-EG"/>
        </w:rPr>
        <w:t xml:space="preserve">وثيقة </w:t>
      </w:r>
      <w:r w:rsidR="00BE2E31">
        <w:rPr>
          <w:rFonts w:hint="cs"/>
          <w:rtl/>
          <w:lang w:bidi="ar-EG"/>
        </w:rPr>
        <w:t>استوكهولم</w:t>
      </w:r>
      <w:r w:rsidR="00432961">
        <w:rPr>
          <w:rFonts w:hint="cs"/>
          <w:rtl/>
          <w:lang w:bidi="ar-EG"/>
        </w:rPr>
        <w:t xml:space="preserve"> وهي الجزائر وإسرائيل والمغرب، ولازالت دولتان </w:t>
      </w:r>
      <w:r w:rsidR="00215BF1">
        <w:rPr>
          <w:rFonts w:hint="cs"/>
          <w:rtl/>
          <w:lang w:bidi="ar-EG"/>
        </w:rPr>
        <w:t>ملتزمتي</w:t>
      </w:r>
      <w:r w:rsidR="004A0415">
        <w:rPr>
          <w:rFonts w:hint="cs"/>
          <w:rtl/>
          <w:lang w:bidi="ar-EG"/>
        </w:rPr>
        <w:t>ن ب</w:t>
      </w:r>
      <w:r w:rsidR="00432961">
        <w:rPr>
          <w:rFonts w:hint="cs"/>
          <w:rtl/>
          <w:lang w:bidi="ar-EG"/>
        </w:rPr>
        <w:t>اتفاق نيس الأصلي وهما لبنان وتونس (وعليه هما ليستا من أعضاء الجمعية). وهذه الدول مدعوة إلى النظر في الانضمام إلى وثيقة جنيف التابعة لاتفاق نيس.</w:t>
      </w:r>
    </w:p>
    <w:p w:rsidR="00FE2891" w:rsidRDefault="00FE2891">
      <w:pPr>
        <w:rPr>
          <w:rFonts w:ascii="Arabic Typesetting" w:hAnsi="Arabic Typesetting" w:cs="Arabic Typesetting"/>
          <w:sz w:val="36"/>
          <w:szCs w:val="36"/>
          <w:rtl/>
          <w:lang w:bidi="ar-EG"/>
        </w:rPr>
      </w:pPr>
      <w:r>
        <w:rPr>
          <w:rtl/>
          <w:lang w:bidi="ar-EG"/>
        </w:rPr>
        <w:br w:type="page"/>
      </w:r>
    </w:p>
    <w:p w:rsidR="00432961" w:rsidRDefault="00432961" w:rsidP="0003578C">
      <w:pPr>
        <w:pStyle w:val="NormalParaAR"/>
        <w:numPr>
          <w:ilvl w:val="0"/>
          <w:numId w:val="21"/>
        </w:numPr>
        <w:ind w:left="567" w:hanging="567"/>
        <w:rPr>
          <w:i/>
          <w:iCs/>
          <w:lang w:bidi="ar-EG"/>
        </w:rPr>
      </w:pPr>
      <w:r w:rsidRPr="00432961">
        <w:rPr>
          <w:i/>
          <w:iCs/>
          <w:rtl/>
          <w:lang w:bidi="ar-EG"/>
        </w:rPr>
        <w:lastRenderedPageBreak/>
        <w:t>اتفاق لشبونة بشأن حماية تسميات المنشأ وتسجيلها</w:t>
      </w:r>
      <w:r w:rsidR="00DB70D2">
        <w:rPr>
          <w:rFonts w:hint="cs"/>
          <w:i/>
          <w:iCs/>
          <w:rtl/>
          <w:lang w:bidi="ar-EG"/>
        </w:rPr>
        <w:t xml:space="preserve"> على الصعيد</w:t>
      </w:r>
      <w:r w:rsidR="004A0415">
        <w:rPr>
          <w:rFonts w:hint="cs"/>
          <w:i/>
          <w:iCs/>
          <w:rtl/>
          <w:lang w:bidi="ar-EG"/>
        </w:rPr>
        <w:t xml:space="preserve"> الدولي</w:t>
      </w:r>
      <w:r>
        <w:rPr>
          <w:rFonts w:hint="cs"/>
          <w:i/>
          <w:iCs/>
          <w:rtl/>
          <w:lang w:bidi="ar-EG"/>
        </w:rPr>
        <w:t xml:space="preserve"> (1958)</w:t>
      </w:r>
    </w:p>
    <w:p w:rsidR="00432961" w:rsidRPr="00BD3882" w:rsidRDefault="00BD3882" w:rsidP="00BD3882">
      <w:pPr>
        <w:pStyle w:val="NormalParaAR"/>
        <w:spacing w:line="240" w:lineRule="auto"/>
        <w:ind w:left="-23"/>
        <w:rPr>
          <w:lang w:bidi="ar-EG"/>
        </w:rPr>
      </w:pPr>
      <w:r>
        <w:rPr>
          <w:noProof/>
        </w:rPr>
        <w:drawing>
          <wp:inline distT="0" distB="0" distL="0" distR="0" wp14:anchorId="573545E2" wp14:editId="31C6CB0A">
            <wp:extent cx="4572000"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32961" w:rsidRDefault="005D0F8E" w:rsidP="003F34E6">
      <w:pPr>
        <w:pStyle w:val="NormalParaAR"/>
        <w:rPr>
          <w:rtl/>
          <w:lang w:bidi="ar-EG"/>
        </w:rPr>
      </w:pPr>
      <w:r>
        <w:rPr>
          <w:rFonts w:hint="cs"/>
          <w:rtl/>
          <w:lang w:bidi="ar-EG"/>
        </w:rPr>
        <w:t>اعتُم</w:t>
      </w:r>
      <w:r w:rsidR="00BD3882">
        <w:rPr>
          <w:rFonts w:hint="cs"/>
          <w:rtl/>
          <w:lang w:bidi="ar-EG"/>
        </w:rPr>
        <w:t xml:space="preserve">د اتفاق لشبونة في 1958 وروجع في </w:t>
      </w:r>
      <w:r w:rsidR="00BE2E31">
        <w:rPr>
          <w:rFonts w:hint="cs"/>
          <w:rtl/>
          <w:lang w:bidi="ar-EG"/>
        </w:rPr>
        <w:t>استوكهولم</w:t>
      </w:r>
      <w:r w:rsidR="00BD3882">
        <w:rPr>
          <w:rFonts w:hint="cs"/>
          <w:rtl/>
          <w:lang w:bidi="ar-EG"/>
        </w:rPr>
        <w:t xml:space="preserve"> </w:t>
      </w:r>
      <w:r w:rsidR="00DE31BB">
        <w:rPr>
          <w:rFonts w:hint="cs"/>
          <w:rtl/>
          <w:lang w:bidi="ar-EG"/>
        </w:rPr>
        <w:t>في</w:t>
      </w:r>
      <w:r w:rsidR="00BD3882">
        <w:rPr>
          <w:rFonts w:hint="cs"/>
          <w:rtl/>
          <w:lang w:bidi="ar-EG"/>
        </w:rPr>
        <w:t xml:space="preserve"> </w:t>
      </w:r>
      <w:r w:rsidR="00DE31BB">
        <w:rPr>
          <w:rFonts w:hint="cs"/>
          <w:rtl/>
          <w:lang w:bidi="ar-EG"/>
        </w:rPr>
        <w:t>1967 وع</w:t>
      </w:r>
      <w:r w:rsidR="004A0415">
        <w:rPr>
          <w:rFonts w:hint="cs"/>
          <w:rtl/>
          <w:lang w:bidi="ar-EG"/>
        </w:rPr>
        <w:t>ُ</w:t>
      </w:r>
      <w:r w:rsidR="00DE31BB">
        <w:rPr>
          <w:rFonts w:hint="cs"/>
          <w:rtl/>
          <w:lang w:bidi="ar-EG"/>
        </w:rPr>
        <w:t>د</w:t>
      </w:r>
      <w:r w:rsidR="004A0415">
        <w:rPr>
          <w:rFonts w:hint="cs"/>
          <w:rtl/>
          <w:lang w:bidi="ar-EG"/>
        </w:rPr>
        <w:t>ِّ</w:t>
      </w:r>
      <w:r w:rsidR="00DE31BB">
        <w:rPr>
          <w:rFonts w:hint="cs"/>
          <w:rtl/>
          <w:lang w:bidi="ar-EG"/>
        </w:rPr>
        <w:t xml:space="preserve">ل في 1979. </w:t>
      </w:r>
      <w:r w:rsidR="004A0415">
        <w:rPr>
          <w:rFonts w:hint="cs"/>
          <w:rtl/>
          <w:lang w:bidi="ar-EG"/>
        </w:rPr>
        <w:t>وتُوجه</w:t>
      </w:r>
      <w:r w:rsidR="00DE31BB">
        <w:rPr>
          <w:rFonts w:hint="cs"/>
          <w:rtl/>
          <w:lang w:bidi="ar-EG"/>
        </w:rPr>
        <w:t xml:space="preserve"> نفس الدعوة بشأن المعاهدات الأخرى </w:t>
      </w:r>
      <w:r w:rsidR="004A0415">
        <w:rPr>
          <w:rFonts w:hint="cs"/>
          <w:rtl/>
          <w:lang w:bidi="ar-EG"/>
        </w:rPr>
        <w:t xml:space="preserve">إلى </w:t>
      </w:r>
      <w:r w:rsidR="00DE31BB" w:rsidRPr="00DE31BB">
        <w:rPr>
          <w:rtl/>
          <w:lang w:bidi="ar-EG"/>
        </w:rPr>
        <w:t>هايتي</w:t>
      </w:r>
      <w:r w:rsidR="00DE31BB">
        <w:rPr>
          <w:rFonts w:hint="cs"/>
          <w:rtl/>
          <w:lang w:bidi="ar-EG"/>
        </w:rPr>
        <w:t xml:space="preserve"> </w:t>
      </w:r>
      <w:r w:rsidR="004A0415">
        <w:rPr>
          <w:rFonts w:hint="cs"/>
          <w:rtl/>
          <w:lang w:bidi="ar-EG"/>
        </w:rPr>
        <w:t>غير الملتزمة ب</w:t>
      </w:r>
      <w:r w:rsidR="00DE31BB">
        <w:rPr>
          <w:rFonts w:hint="cs"/>
          <w:rtl/>
          <w:lang w:bidi="ar-EG"/>
        </w:rPr>
        <w:t xml:space="preserve">وثيقة </w:t>
      </w:r>
      <w:r w:rsidR="00BE2E31">
        <w:rPr>
          <w:rFonts w:hint="cs"/>
          <w:rtl/>
          <w:lang w:bidi="ar-EG"/>
        </w:rPr>
        <w:t>استوكهولم</w:t>
      </w:r>
      <w:r w:rsidR="00DE31BB">
        <w:rPr>
          <w:rFonts w:hint="cs"/>
          <w:rtl/>
          <w:lang w:bidi="ar-EG"/>
        </w:rPr>
        <w:t xml:space="preserve"> التابعة لاتفاق لشبونة ومن ثم </w:t>
      </w:r>
      <w:r w:rsidR="00215BF1">
        <w:rPr>
          <w:rFonts w:hint="cs"/>
          <w:rtl/>
          <w:lang w:bidi="ar-EG"/>
        </w:rPr>
        <w:t>ف</w:t>
      </w:r>
      <w:r w:rsidR="004A0415">
        <w:rPr>
          <w:rFonts w:hint="cs"/>
          <w:rtl/>
          <w:lang w:bidi="ar-EG"/>
        </w:rPr>
        <w:t xml:space="preserve">هي </w:t>
      </w:r>
      <w:r w:rsidR="00DE31BB">
        <w:rPr>
          <w:rFonts w:hint="cs"/>
          <w:rtl/>
          <w:lang w:bidi="ar-EG"/>
        </w:rPr>
        <w:t>ليست عضو</w:t>
      </w:r>
      <w:r>
        <w:rPr>
          <w:rFonts w:hint="cs"/>
          <w:rtl/>
          <w:lang w:bidi="ar-EG"/>
        </w:rPr>
        <w:t>ا</w:t>
      </w:r>
      <w:r w:rsidR="00DE31BB">
        <w:rPr>
          <w:rFonts w:hint="cs"/>
          <w:rtl/>
          <w:lang w:bidi="ar-EG"/>
        </w:rPr>
        <w:t xml:space="preserve"> في جمعية لشبونة.</w:t>
      </w:r>
    </w:p>
    <w:p w:rsidR="00DE31BB" w:rsidRPr="00BD3882" w:rsidRDefault="00DE31BB" w:rsidP="00DB70D2">
      <w:pPr>
        <w:pStyle w:val="NormalParaAR"/>
        <w:spacing w:after="480"/>
        <w:rPr>
          <w:rtl/>
          <w:lang w:bidi="ar-EG"/>
        </w:rPr>
      </w:pPr>
      <w:r>
        <w:rPr>
          <w:rFonts w:hint="cs"/>
          <w:rtl/>
          <w:lang w:bidi="ar-EG"/>
        </w:rPr>
        <w:t>واعتمد المؤتمر الدبلوماسي</w:t>
      </w:r>
      <w:r w:rsidR="00E372BA">
        <w:rPr>
          <w:rFonts w:hint="cs"/>
          <w:rtl/>
          <w:lang w:bidi="ar-EG"/>
        </w:rPr>
        <w:t xml:space="preserve"> لاعتماد وثيقة جديدة لاتفاق لشبونة ل</w:t>
      </w:r>
      <w:r w:rsidR="00E372BA" w:rsidRPr="00E372BA">
        <w:rPr>
          <w:rtl/>
          <w:lang w:bidi="ar-EG"/>
        </w:rPr>
        <w:t>حماية تسميات المنشأ وتسجيلها</w:t>
      </w:r>
      <w:r w:rsidR="00DB70D2">
        <w:rPr>
          <w:rFonts w:hint="cs"/>
          <w:rtl/>
          <w:lang w:bidi="ar-EG"/>
        </w:rPr>
        <w:t xml:space="preserve"> على الصعيد</w:t>
      </w:r>
      <w:r w:rsidR="00E372BA">
        <w:rPr>
          <w:rFonts w:hint="cs"/>
          <w:rtl/>
          <w:lang w:bidi="ar-EG"/>
        </w:rPr>
        <w:t xml:space="preserve"> الدولي في 20</w:t>
      </w:r>
      <w:r w:rsidR="00DB70D2">
        <w:rPr>
          <w:rFonts w:hint="eastAsia"/>
          <w:rtl/>
          <w:lang w:bidi="ar-EG"/>
        </w:rPr>
        <w:t> </w:t>
      </w:r>
      <w:r w:rsidR="00E372BA">
        <w:rPr>
          <w:rFonts w:hint="cs"/>
          <w:rtl/>
          <w:lang w:bidi="ar-EG"/>
        </w:rPr>
        <w:t>مايو 2015</w:t>
      </w:r>
      <w:r w:rsidR="00215BF1">
        <w:rPr>
          <w:rFonts w:hint="cs"/>
          <w:rtl/>
          <w:lang w:bidi="ar-EG"/>
        </w:rPr>
        <w:t>،</w:t>
      </w:r>
      <w:r w:rsidR="00E372BA">
        <w:rPr>
          <w:rFonts w:hint="cs"/>
          <w:rtl/>
          <w:lang w:bidi="ar-EG"/>
        </w:rPr>
        <w:t xml:space="preserve"> وثيقة جنيف </w:t>
      </w:r>
      <w:r w:rsidR="0048054C">
        <w:rPr>
          <w:rFonts w:hint="cs"/>
          <w:rtl/>
          <w:lang w:bidi="ar-EG"/>
        </w:rPr>
        <w:t>التابعة لاتفاق لشبونة بشأن تسميات المنشأ والمؤشرات الجغرافية. وبدأ التو</w:t>
      </w:r>
      <w:r w:rsidR="00215BF1">
        <w:rPr>
          <w:rFonts w:hint="cs"/>
          <w:rtl/>
          <w:lang w:bidi="ar-EG"/>
        </w:rPr>
        <w:t>قيع على هذه الوثيقة في 21 مايو</w:t>
      </w:r>
      <w:r w:rsidR="00FE2891">
        <w:rPr>
          <w:rFonts w:hint="eastAsia"/>
          <w:rtl/>
          <w:lang w:bidi="ar-EG"/>
        </w:rPr>
        <w:t> </w:t>
      </w:r>
      <w:r w:rsidR="004A0415">
        <w:rPr>
          <w:rFonts w:hint="cs"/>
          <w:rtl/>
          <w:lang w:bidi="ar-EG"/>
        </w:rPr>
        <w:t>2015 و</w:t>
      </w:r>
      <w:r w:rsidR="0048054C">
        <w:rPr>
          <w:rFonts w:hint="cs"/>
          <w:rtl/>
          <w:lang w:bidi="ar-EG"/>
        </w:rPr>
        <w:t xml:space="preserve">وقعت 15 دولة </w:t>
      </w:r>
      <w:r w:rsidR="006A0466">
        <w:rPr>
          <w:rFonts w:hint="cs"/>
          <w:rtl/>
          <w:lang w:bidi="ar-EG"/>
        </w:rPr>
        <w:t xml:space="preserve">على وثيقة جنيف </w:t>
      </w:r>
      <w:r w:rsidR="004A0415">
        <w:rPr>
          <w:rFonts w:hint="cs"/>
          <w:rtl/>
          <w:lang w:bidi="ar-EG"/>
        </w:rPr>
        <w:t xml:space="preserve">حتى الآن </w:t>
      </w:r>
      <w:r w:rsidR="006A0466">
        <w:rPr>
          <w:rFonts w:hint="cs"/>
          <w:rtl/>
          <w:lang w:bidi="ar-EG"/>
        </w:rPr>
        <w:t>ولكن لم تنضم إليها أي دولة. وستدخل</w:t>
      </w:r>
      <w:r w:rsidR="006A0466">
        <w:rPr>
          <w:lang w:bidi="ar-EG"/>
        </w:rPr>
        <w:t xml:space="preserve"> </w:t>
      </w:r>
      <w:r w:rsidR="006A0466">
        <w:rPr>
          <w:rFonts w:hint="cs"/>
          <w:rtl/>
          <w:lang w:bidi="ar-EG"/>
        </w:rPr>
        <w:t>الوثيقة حيز النفاذ بعد أن تودع خمسة أطراف مؤهلة صكوك المصادقة أو الانضمام بثلاثة أشهر.</w:t>
      </w:r>
    </w:p>
    <w:p w:rsidR="00432961" w:rsidRDefault="00586789" w:rsidP="0003578C">
      <w:pPr>
        <w:pStyle w:val="NormalParaAR"/>
        <w:numPr>
          <w:ilvl w:val="0"/>
          <w:numId w:val="21"/>
        </w:numPr>
        <w:ind w:left="567" w:hanging="567"/>
        <w:rPr>
          <w:i/>
          <w:iCs/>
          <w:lang w:bidi="ar-EG"/>
        </w:rPr>
      </w:pPr>
      <w:r w:rsidRPr="00586789">
        <w:rPr>
          <w:i/>
          <w:iCs/>
          <w:rtl/>
          <w:lang w:bidi="ar-EG"/>
        </w:rPr>
        <w:t>اتفاقية حماية فناني الأداء ومنتجي التسجيلات الصوتية وهيئات الإذاع</w:t>
      </w:r>
      <w:r w:rsidRPr="00586789">
        <w:rPr>
          <w:rFonts w:hint="cs"/>
          <w:i/>
          <w:iCs/>
          <w:rtl/>
          <w:lang w:bidi="ar-EG"/>
        </w:rPr>
        <w:t>ة</w:t>
      </w:r>
      <w:r>
        <w:rPr>
          <w:rFonts w:hint="cs"/>
          <w:i/>
          <w:iCs/>
          <w:rtl/>
          <w:lang w:bidi="ar-EG"/>
        </w:rPr>
        <w:t xml:space="preserve"> (1961)</w:t>
      </w:r>
    </w:p>
    <w:p w:rsidR="00FE2891" w:rsidRDefault="00586789" w:rsidP="004707E7">
      <w:pPr>
        <w:pStyle w:val="NormalParaAR"/>
        <w:spacing w:after="480" w:line="240" w:lineRule="auto"/>
        <w:ind w:left="-23"/>
        <w:rPr>
          <w:rtl/>
          <w:lang w:bidi="ar-EG"/>
        </w:rPr>
      </w:pPr>
      <w:r>
        <w:rPr>
          <w:noProof/>
        </w:rPr>
        <w:drawing>
          <wp:inline distT="0" distB="0" distL="0" distR="0" wp14:anchorId="07A580AB" wp14:editId="7345CDC0">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E2891" w:rsidRDefault="00FE2891">
      <w:pPr>
        <w:rPr>
          <w:rFonts w:ascii="Arabic Typesetting" w:hAnsi="Arabic Typesetting" w:cs="Arabic Typesetting"/>
          <w:sz w:val="36"/>
          <w:szCs w:val="36"/>
          <w:rtl/>
          <w:lang w:bidi="ar-EG"/>
        </w:rPr>
      </w:pPr>
      <w:r>
        <w:rPr>
          <w:rtl/>
          <w:lang w:bidi="ar-EG"/>
        </w:rPr>
        <w:br w:type="page"/>
      </w:r>
    </w:p>
    <w:p w:rsidR="00586789" w:rsidRDefault="00586789" w:rsidP="0003578C">
      <w:pPr>
        <w:pStyle w:val="NormalParaAR"/>
        <w:numPr>
          <w:ilvl w:val="0"/>
          <w:numId w:val="21"/>
        </w:numPr>
        <w:ind w:left="567" w:hanging="567"/>
        <w:rPr>
          <w:i/>
          <w:iCs/>
          <w:lang w:bidi="ar-EG"/>
        </w:rPr>
      </w:pPr>
      <w:r w:rsidRPr="00586789">
        <w:rPr>
          <w:i/>
          <w:iCs/>
          <w:rtl/>
          <w:lang w:bidi="ar-EG"/>
        </w:rPr>
        <w:lastRenderedPageBreak/>
        <w:t>اتفاق لوكارنو الذي وضع بموجبه تصنيف دولي للرسوم والنماذج الصناعية</w:t>
      </w:r>
      <w:r>
        <w:rPr>
          <w:rFonts w:hint="cs"/>
          <w:i/>
          <w:iCs/>
          <w:rtl/>
          <w:lang w:bidi="ar-EG"/>
        </w:rPr>
        <w:t xml:space="preserve"> (1968)</w:t>
      </w:r>
    </w:p>
    <w:p w:rsidR="00586789" w:rsidRPr="00586789" w:rsidRDefault="00586789" w:rsidP="004707E7">
      <w:pPr>
        <w:pStyle w:val="NormalParaAR"/>
        <w:spacing w:after="480" w:line="240" w:lineRule="auto"/>
        <w:ind w:left="-23"/>
        <w:rPr>
          <w:lang w:bidi="ar-EG"/>
        </w:rPr>
      </w:pPr>
      <w:r>
        <w:rPr>
          <w:noProof/>
        </w:rPr>
        <w:drawing>
          <wp:inline distT="0" distB="0" distL="0" distR="0" wp14:anchorId="4E0B1BEE" wp14:editId="1B3B4956">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86789" w:rsidRDefault="00AC761E" w:rsidP="0003578C">
      <w:pPr>
        <w:pStyle w:val="NormalParaAR"/>
        <w:numPr>
          <w:ilvl w:val="0"/>
          <w:numId w:val="21"/>
        </w:numPr>
        <w:ind w:left="567" w:hanging="567"/>
        <w:rPr>
          <w:i/>
          <w:iCs/>
          <w:lang w:bidi="ar-EG"/>
        </w:rPr>
      </w:pPr>
      <w:r>
        <w:rPr>
          <w:rFonts w:hint="cs"/>
          <w:i/>
          <w:iCs/>
          <w:rtl/>
          <w:lang w:bidi="ar-EG"/>
        </w:rPr>
        <w:t>م</w:t>
      </w:r>
      <w:r w:rsidR="00586789">
        <w:rPr>
          <w:rFonts w:hint="cs"/>
          <w:i/>
          <w:iCs/>
          <w:rtl/>
          <w:lang w:bidi="ar-EG"/>
        </w:rPr>
        <w:t>عاهدة التعاون بشأن البراءات (1970)</w:t>
      </w:r>
    </w:p>
    <w:p w:rsidR="00FE2891" w:rsidRDefault="0087134C" w:rsidP="004707E7">
      <w:pPr>
        <w:pStyle w:val="NormalParaAR"/>
        <w:spacing w:after="480" w:line="240" w:lineRule="auto"/>
        <w:ind w:left="-23"/>
        <w:rPr>
          <w:rtl/>
          <w:lang w:bidi="ar-EG"/>
        </w:rPr>
      </w:pPr>
      <w:r>
        <w:rPr>
          <w:noProof/>
        </w:rPr>
        <w:drawing>
          <wp:inline distT="0" distB="0" distL="0" distR="0" wp14:anchorId="1C7A0E85" wp14:editId="382237E7">
            <wp:extent cx="4572000" cy="2743200"/>
            <wp:effectExtent l="0" t="0" r="19050" b="190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86789" w:rsidRPr="00FE2891" w:rsidRDefault="00FE2891" w:rsidP="00FE2891">
      <w:pPr>
        <w:rPr>
          <w:rFonts w:ascii="Arabic Typesetting" w:hAnsi="Arabic Typesetting" w:cs="Arabic Typesetting"/>
          <w:sz w:val="36"/>
          <w:szCs w:val="36"/>
          <w:lang w:bidi="ar-EG"/>
        </w:rPr>
      </w:pPr>
      <w:r>
        <w:rPr>
          <w:rtl/>
          <w:lang w:bidi="ar-EG"/>
        </w:rPr>
        <w:br w:type="page"/>
      </w:r>
    </w:p>
    <w:p w:rsidR="00586789" w:rsidRPr="0034640F" w:rsidRDefault="00215BF1" w:rsidP="0003578C">
      <w:pPr>
        <w:pStyle w:val="NormalParaAR"/>
        <w:numPr>
          <w:ilvl w:val="0"/>
          <w:numId w:val="21"/>
        </w:numPr>
        <w:ind w:left="567" w:hanging="567"/>
        <w:rPr>
          <w:i/>
          <w:iCs/>
          <w:lang w:bidi="ar-EG"/>
        </w:rPr>
      </w:pPr>
      <w:r>
        <w:rPr>
          <w:rFonts w:hint="cs"/>
          <w:i/>
          <w:iCs/>
          <w:rtl/>
          <w:lang w:bidi="ar-EG"/>
        </w:rPr>
        <w:lastRenderedPageBreak/>
        <w:t>ا</w:t>
      </w:r>
      <w:r w:rsidR="0034640F">
        <w:rPr>
          <w:i/>
          <w:iCs/>
          <w:rtl/>
          <w:lang w:bidi="ar-EG"/>
        </w:rPr>
        <w:t>تفاق استراسبرغ</w:t>
      </w:r>
      <w:r w:rsidR="0034640F" w:rsidRPr="0034640F">
        <w:rPr>
          <w:i/>
          <w:iCs/>
          <w:rtl/>
          <w:lang w:bidi="ar-EG"/>
        </w:rPr>
        <w:t xml:space="preserve"> الخاص بالتصنيف الدولي لبراءات الاختراع</w:t>
      </w:r>
      <w:r w:rsidR="0034640F">
        <w:rPr>
          <w:rFonts w:hint="cs"/>
          <w:i/>
          <w:iCs/>
          <w:rtl/>
          <w:lang w:bidi="ar-EG"/>
        </w:rPr>
        <w:t xml:space="preserve"> (1971)</w:t>
      </w:r>
    </w:p>
    <w:p w:rsidR="00586789" w:rsidRPr="0034640F" w:rsidRDefault="0034640F" w:rsidP="004707E7">
      <w:pPr>
        <w:pStyle w:val="NormalParaAR"/>
        <w:spacing w:after="480" w:line="240" w:lineRule="auto"/>
        <w:ind w:left="-23"/>
        <w:rPr>
          <w:lang w:bidi="ar-EG"/>
        </w:rPr>
      </w:pPr>
      <w:r>
        <w:rPr>
          <w:noProof/>
        </w:rPr>
        <w:drawing>
          <wp:inline distT="0" distB="0" distL="0" distR="0" wp14:anchorId="2BBE5C09" wp14:editId="40DD84F5">
            <wp:extent cx="4572000" cy="27432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4640F" w:rsidRDefault="0034640F" w:rsidP="0003578C">
      <w:pPr>
        <w:pStyle w:val="NormalParaAR"/>
        <w:numPr>
          <w:ilvl w:val="0"/>
          <w:numId w:val="21"/>
        </w:numPr>
        <w:ind w:left="567" w:hanging="567"/>
        <w:rPr>
          <w:i/>
          <w:iCs/>
          <w:lang w:bidi="ar-EG"/>
        </w:rPr>
      </w:pPr>
      <w:r w:rsidRPr="0034640F">
        <w:rPr>
          <w:i/>
          <w:iCs/>
          <w:rtl/>
          <w:lang w:bidi="ar-EG"/>
        </w:rPr>
        <w:t>اتفاقية حماية منتجي الفونوغرامات من استنساخ فونوغراماتهم دون تصريح</w:t>
      </w:r>
      <w:r>
        <w:rPr>
          <w:i/>
          <w:iCs/>
          <w:lang w:bidi="ar-EG"/>
        </w:rPr>
        <w:t xml:space="preserve"> </w:t>
      </w:r>
      <w:r>
        <w:rPr>
          <w:rFonts w:hint="cs"/>
          <w:i/>
          <w:iCs/>
          <w:rtl/>
          <w:lang w:bidi="ar-EG"/>
        </w:rPr>
        <w:t>(1971)</w:t>
      </w:r>
    </w:p>
    <w:p w:rsidR="00FE2891" w:rsidRDefault="0034640F" w:rsidP="004707E7">
      <w:pPr>
        <w:pStyle w:val="NormalParaAR"/>
        <w:spacing w:after="480" w:line="240" w:lineRule="auto"/>
        <w:ind w:left="-23"/>
        <w:rPr>
          <w:rtl/>
          <w:lang w:bidi="ar-EG"/>
        </w:rPr>
      </w:pPr>
      <w:r>
        <w:rPr>
          <w:noProof/>
        </w:rPr>
        <w:drawing>
          <wp:inline distT="0" distB="0" distL="0" distR="0" wp14:anchorId="19C8061B" wp14:editId="299F0BDC">
            <wp:extent cx="4572000" cy="27432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E2891" w:rsidRDefault="00FE2891">
      <w:pPr>
        <w:rPr>
          <w:rFonts w:ascii="Arabic Typesetting" w:hAnsi="Arabic Typesetting" w:cs="Arabic Typesetting"/>
          <w:sz w:val="36"/>
          <w:szCs w:val="36"/>
          <w:rtl/>
          <w:lang w:bidi="ar-EG"/>
        </w:rPr>
      </w:pPr>
      <w:r>
        <w:rPr>
          <w:rtl/>
          <w:lang w:bidi="ar-EG"/>
        </w:rPr>
        <w:br w:type="page"/>
      </w:r>
    </w:p>
    <w:p w:rsidR="0034640F" w:rsidRDefault="0034640F" w:rsidP="0003578C">
      <w:pPr>
        <w:pStyle w:val="NormalParaAR"/>
        <w:numPr>
          <w:ilvl w:val="0"/>
          <w:numId w:val="21"/>
        </w:numPr>
        <w:ind w:left="567" w:hanging="567"/>
        <w:rPr>
          <w:i/>
          <w:iCs/>
          <w:lang w:bidi="ar-EG"/>
        </w:rPr>
      </w:pPr>
      <w:r w:rsidRPr="0003578C">
        <w:rPr>
          <w:rFonts w:hint="cs"/>
          <w:i/>
          <w:iCs/>
          <w:rtl/>
          <w:lang w:bidi="ar-EG"/>
        </w:rPr>
        <w:lastRenderedPageBreak/>
        <w:t>اتفاق</w:t>
      </w:r>
      <w:r w:rsidRPr="0003578C">
        <w:rPr>
          <w:i/>
          <w:iCs/>
          <w:rtl/>
          <w:lang w:bidi="ar-EG"/>
        </w:rPr>
        <w:t xml:space="preserve"> </w:t>
      </w:r>
      <w:r w:rsidRPr="0003578C">
        <w:rPr>
          <w:rFonts w:hint="cs"/>
          <w:i/>
          <w:iCs/>
          <w:rtl/>
          <w:lang w:bidi="ar-EG"/>
        </w:rPr>
        <w:t>فيينا</w:t>
      </w:r>
      <w:r w:rsidRPr="0003578C">
        <w:rPr>
          <w:i/>
          <w:iCs/>
          <w:rtl/>
          <w:lang w:bidi="ar-EG"/>
        </w:rPr>
        <w:t xml:space="preserve"> </w:t>
      </w:r>
      <w:r w:rsidRPr="0003578C">
        <w:rPr>
          <w:rFonts w:hint="cs"/>
          <w:i/>
          <w:iCs/>
          <w:rtl/>
          <w:lang w:bidi="ar-EG"/>
        </w:rPr>
        <w:t>بشأن</w:t>
      </w:r>
      <w:r w:rsidRPr="0003578C">
        <w:rPr>
          <w:i/>
          <w:iCs/>
          <w:rtl/>
          <w:lang w:bidi="ar-EG"/>
        </w:rPr>
        <w:t xml:space="preserve"> </w:t>
      </w:r>
      <w:r w:rsidRPr="0003578C">
        <w:rPr>
          <w:rFonts w:hint="cs"/>
          <w:i/>
          <w:iCs/>
          <w:rtl/>
          <w:lang w:bidi="ar-EG"/>
        </w:rPr>
        <w:t>وضع</w:t>
      </w:r>
      <w:r w:rsidRPr="0003578C">
        <w:rPr>
          <w:i/>
          <w:iCs/>
          <w:rtl/>
          <w:lang w:bidi="ar-EG"/>
        </w:rPr>
        <w:t xml:space="preserve"> </w:t>
      </w:r>
      <w:r w:rsidRPr="0003578C">
        <w:rPr>
          <w:rFonts w:hint="cs"/>
          <w:i/>
          <w:iCs/>
          <w:rtl/>
          <w:lang w:bidi="ar-EG"/>
        </w:rPr>
        <w:t>تصنيف</w:t>
      </w:r>
      <w:r w:rsidRPr="0003578C">
        <w:rPr>
          <w:i/>
          <w:iCs/>
          <w:rtl/>
          <w:lang w:bidi="ar-EG"/>
        </w:rPr>
        <w:t xml:space="preserve"> </w:t>
      </w:r>
      <w:r w:rsidRPr="0003578C">
        <w:rPr>
          <w:rFonts w:hint="cs"/>
          <w:i/>
          <w:iCs/>
          <w:rtl/>
          <w:lang w:bidi="ar-EG"/>
        </w:rPr>
        <w:t>دولي</w:t>
      </w:r>
      <w:r w:rsidRPr="0003578C">
        <w:rPr>
          <w:i/>
          <w:iCs/>
          <w:rtl/>
          <w:lang w:bidi="ar-EG"/>
        </w:rPr>
        <w:t xml:space="preserve"> </w:t>
      </w:r>
      <w:r w:rsidRPr="0003578C">
        <w:rPr>
          <w:rFonts w:hint="cs"/>
          <w:i/>
          <w:iCs/>
          <w:rtl/>
          <w:lang w:bidi="ar-EG"/>
        </w:rPr>
        <w:t>للعناصر</w:t>
      </w:r>
      <w:r w:rsidRPr="0003578C">
        <w:rPr>
          <w:i/>
          <w:iCs/>
          <w:rtl/>
          <w:lang w:bidi="ar-EG"/>
        </w:rPr>
        <w:t xml:space="preserve"> </w:t>
      </w:r>
      <w:r w:rsidRPr="0003578C">
        <w:rPr>
          <w:rFonts w:hint="cs"/>
          <w:i/>
          <w:iCs/>
          <w:rtl/>
          <w:lang w:bidi="ar-EG"/>
        </w:rPr>
        <w:t>التصويرية</w:t>
      </w:r>
      <w:r w:rsidRPr="0003578C">
        <w:rPr>
          <w:i/>
          <w:iCs/>
          <w:rtl/>
          <w:lang w:bidi="ar-EG"/>
        </w:rPr>
        <w:t xml:space="preserve"> </w:t>
      </w:r>
      <w:r w:rsidRPr="0003578C">
        <w:rPr>
          <w:rFonts w:hint="cs"/>
          <w:i/>
          <w:iCs/>
          <w:rtl/>
          <w:lang w:bidi="ar-EG"/>
        </w:rPr>
        <w:t>للعلامات</w:t>
      </w:r>
      <w:r w:rsidRPr="0003578C">
        <w:rPr>
          <w:i/>
          <w:iCs/>
          <w:lang w:bidi="ar-EG"/>
        </w:rPr>
        <w:t xml:space="preserve"> </w:t>
      </w:r>
      <w:r>
        <w:rPr>
          <w:rFonts w:hint="cs"/>
          <w:i/>
          <w:iCs/>
          <w:rtl/>
          <w:lang w:bidi="ar-EG"/>
        </w:rPr>
        <w:t>(1973)</w:t>
      </w:r>
    </w:p>
    <w:p w:rsidR="0034640F" w:rsidRPr="0034640F" w:rsidRDefault="0034640F" w:rsidP="004707E7">
      <w:pPr>
        <w:pStyle w:val="NormalParaAR"/>
        <w:spacing w:after="480" w:line="240" w:lineRule="auto"/>
        <w:ind w:left="-23"/>
        <w:rPr>
          <w:lang w:bidi="ar-EG"/>
        </w:rPr>
      </w:pPr>
      <w:r>
        <w:rPr>
          <w:noProof/>
        </w:rPr>
        <w:drawing>
          <wp:inline distT="0" distB="0" distL="0" distR="0" wp14:anchorId="41DE8D73" wp14:editId="11E556C9">
            <wp:extent cx="4572000" cy="27432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4640F" w:rsidRDefault="00A22DFD" w:rsidP="00FF1CC1">
      <w:pPr>
        <w:pStyle w:val="NormalParaAR"/>
        <w:numPr>
          <w:ilvl w:val="0"/>
          <w:numId w:val="21"/>
        </w:numPr>
        <w:ind w:left="567" w:hanging="567"/>
        <w:rPr>
          <w:i/>
          <w:iCs/>
          <w:lang w:bidi="ar-EG"/>
        </w:rPr>
      </w:pPr>
      <w:r w:rsidRPr="00A22DFD">
        <w:rPr>
          <w:i/>
          <w:iCs/>
          <w:rtl/>
          <w:lang w:bidi="ar-EG"/>
        </w:rPr>
        <w:t>اتفاقية بشأن توزيع الإشارات الحاملة للبرامج المرسلة عبر التوابع الصناعية</w:t>
      </w:r>
      <w:r w:rsidR="0034640F" w:rsidRPr="00A22DFD">
        <w:rPr>
          <w:rFonts w:hint="cs"/>
          <w:i/>
          <w:iCs/>
          <w:rtl/>
          <w:lang w:bidi="ar-EG"/>
        </w:rPr>
        <w:t xml:space="preserve"> </w:t>
      </w:r>
      <w:r>
        <w:rPr>
          <w:rFonts w:hint="cs"/>
          <w:i/>
          <w:iCs/>
          <w:rtl/>
          <w:lang w:bidi="ar-EG"/>
        </w:rPr>
        <w:t>(1974)</w:t>
      </w:r>
    </w:p>
    <w:p w:rsidR="006E3376" w:rsidRDefault="00A22DFD" w:rsidP="004707E7">
      <w:pPr>
        <w:pStyle w:val="NormalParaAR"/>
        <w:spacing w:after="480" w:line="240" w:lineRule="auto"/>
        <w:ind w:left="-23"/>
        <w:rPr>
          <w:rtl/>
          <w:lang w:bidi="ar-EG"/>
        </w:rPr>
      </w:pPr>
      <w:r w:rsidRPr="004707E7">
        <w:rPr>
          <w:noProof/>
        </w:rPr>
        <w:drawing>
          <wp:inline distT="0" distB="0" distL="0" distR="0" wp14:anchorId="3386D75B" wp14:editId="57007B93">
            <wp:extent cx="4572000" cy="27432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E3376" w:rsidRDefault="006E3376">
      <w:pPr>
        <w:rPr>
          <w:rFonts w:ascii="Arabic Typesetting" w:hAnsi="Arabic Typesetting" w:cs="Arabic Typesetting"/>
          <w:sz w:val="36"/>
          <w:szCs w:val="36"/>
          <w:rtl/>
          <w:lang w:bidi="ar-EG"/>
        </w:rPr>
      </w:pPr>
      <w:r>
        <w:rPr>
          <w:rtl/>
          <w:lang w:bidi="ar-EG"/>
        </w:rPr>
        <w:br w:type="page"/>
      </w:r>
    </w:p>
    <w:p w:rsidR="00B7555E" w:rsidRPr="00B7555E" w:rsidRDefault="00B7555E" w:rsidP="00FF1CC1">
      <w:pPr>
        <w:pStyle w:val="NormalParaAR"/>
        <w:numPr>
          <w:ilvl w:val="0"/>
          <w:numId w:val="21"/>
        </w:numPr>
        <w:ind w:left="567" w:hanging="567"/>
        <w:rPr>
          <w:i/>
          <w:iCs/>
          <w:lang w:bidi="ar-EG"/>
        </w:rPr>
      </w:pPr>
      <w:r>
        <w:rPr>
          <w:rFonts w:hint="cs"/>
          <w:i/>
          <w:iCs/>
          <w:rtl/>
          <w:lang w:bidi="ar-EG"/>
        </w:rPr>
        <w:lastRenderedPageBreak/>
        <w:t>م</w:t>
      </w:r>
      <w:r>
        <w:rPr>
          <w:i/>
          <w:iCs/>
          <w:rtl/>
          <w:lang w:bidi="ar-EG"/>
        </w:rPr>
        <w:t>عاهدة بودابست</w:t>
      </w:r>
      <w:r w:rsidRPr="00B7555E">
        <w:rPr>
          <w:i/>
          <w:iCs/>
          <w:rtl/>
          <w:lang w:bidi="ar-EG"/>
        </w:rPr>
        <w:t xml:space="preserve"> بشأن الاعترا</w:t>
      </w:r>
      <w:r>
        <w:rPr>
          <w:i/>
          <w:iCs/>
          <w:rtl/>
          <w:lang w:bidi="ar-EG"/>
        </w:rPr>
        <w:t>ف الدولي بإيداع الكائنات الدقيق</w:t>
      </w:r>
      <w:r>
        <w:rPr>
          <w:rFonts w:hint="cs"/>
          <w:i/>
          <w:iCs/>
          <w:rtl/>
          <w:lang w:bidi="ar-EG"/>
        </w:rPr>
        <w:t>ة</w:t>
      </w:r>
      <w:r w:rsidRPr="00B7555E">
        <w:rPr>
          <w:i/>
          <w:iCs/>
          <w:rtl/>
          <w:lang w:bidi="ar-EG"/>
        </w:rPr>
        <w:t xml:space="preserve"> لأغراض الإجراءات الخاصة بالبراءات</w:t>
      </w:r>
      <w:r>
        <w:rPr>
          <w:rFonts w:hint="cs"/>
          <w:i/>
          <w:iCs/>
          <w:rtl/>
          <w:lang w:bidi="ar-EG"/>
        </w:rPr>
        <w:t xml:space="preserve"> (1977)</w:t>
      </w:r>
    </w:p>
    <w:p w:rsidR="00A22DFD" w:rsidRPr="00B7555E" w:rsidRDefault="00B7555E" w:rsidP="004707E7">
      <w:pPr>
        <w:pStyle w:val="NormalParaAR"/>
        <w:tabs>
          <w:tab w:val="right" w:pos="445"/>
        </w:tabs>
        <w:spacing w:after="480" w:line="240" w:lineRule="auto"/>
        <w:ind w:left="-23"/>
        <w:rPr>
          <w:lang w:bidi="ar-EG"/>
        </w:rPr>
      </w:pPr>
      <w:r>
        <w:rPr>
          <w:noProof/>
        </w:rPr>
        <w:drawing>
          <wp:inline distT="0" distB="0" distL="0" distR="0" wp14:anchorId="1600BAC5" wp14:editId="3509CB0B">
            <wp:extent cx="4572000" cy="27432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7555E" w:rsidRDefault="00B7555E" w:rsidP="00FF1CC1">
      <w:pPr>
        <w:pStyle w:val="NormalParaAR"/>
        <w:numPr>
          <w:ilvl w:val="0"/>
          <w:numId w:val="21"/>
        </w:numPr>
        <w:ind w:left="567" w:hanging="567"/>
        <w:rPr>
          <w:i/>
          <w:iCs/>
          <w:lang w:bidi="ar-EG"/>
        </w:rPr>
      </w:pPr>
      <w:r w:rsidRPr="00C55CD2">
        <w:rPr>
          <w:i/>
          <w:iCs/>
          <w:rtl/>
          <w:lang w:bidi="ar-EG"/>
        </w:rPr>
        <w:t>معاهدة نيروبي بشأن حماية الرمز الأوليمبي</w:t>
      </w:r>
      <w:r w:rsidR="00C55CD2">
        <w:rPr>
          <w:rFonts w:hint="cs"/>
          <w:i/>
          <w:iCs/>
          <w:rtl/>
          <w:lang w:bidi="ar-EG"/>
        </w:rPr>
        <w:t xml:space="preserve"> (1981)</w:t>
      </w:r>
    </w:p>
    <w:p w:rsidR="00D25DAC" w:rsidRDefault="00C55CD2" w:rsidP="004707E7">
      <w:pPr>
        <w:pStyle w:val="NormalParaAR"/>
        <w:tabs>
          <w:tab w:val="right" w:pos="445"/>
        </w:tabs>
        <w:spacing w:after="480" w:line="240" w:lineRule="auto"/>
        <w:ind w:left="-23"/>
        <w:rPr>
          <w:rtl/>
          <w:lang w:bidi="ar-EG"/>
        </w:rPr>
      </w:pPr>
      <w:r>
        <w:rPr>
          <w:noProof/>
        </w:rPr>
        <w:drawing>
          <wp:inline distT="0" distB="0" distL="0" distR="0" wp14:anchorId="15BD0CAF" wp14:editId="109C6154">
            <wp:extent cx="4572000" cy="27432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25DAC" w:rsidRDefault="00D25DAC">
      <w:pPr>
        <w:rPr>
          <w:rFonts w:ascii="Arabic Typesetting" w:hAnsi="Arabic Typesetting" w:cs="Arabic Typesetting"/>
          <w:sz w:val="36"/>
          <w:szCs w:val="36"/>
          <w:rtl/>
          <w:lang w:bidi="ar-EG"/>
        </w:rPr>
      </w:pPr>
      <w:r>
        <w:rPr>
          <w:rtl/>
          <w:lang w:bidi="ar-EG"/>
        </w:rPr>
        <w:br w:type="page"/>
      </w:r>
    </w:p>
    <w:p w:rsidR="00A30C0F" w:rsidRDefault="001B5346" w:rsidP="00FF1CC1">
      <w:pPr>
        <w:pStyle w:val="NormalParaAR"/>
        <w:numPr>
          <w:ilvl w:val="0"/>
          <w:numId w:val="21"/>
        </w:numPr>
        <w:ind w:left="567" w:hanging="567"/>
        <w:rPr>
          <w:i/>
          <w:iCs/>
          <w:lang w:bidi="ar-EG"/>
        </w:rPr>
      </w:pPr>
      <w:r>
        <w:rPr>
          <w:rFonts w:hint="cs"/>
          <w:i/>
          <w:iCs/>
          <w:rtl/>
          <w:lang w:bidi="ar-EG"/>
        </w:rPr>
        <w:lastRenderedPageBreak/>
        <w:t>م</w:t>
      </w:r>
      <w:r w:rsidRPr="001B5346">
        <w:rPr>
          <w:i/>
          <w:iCs/>
          <w:rtl/>
          <w:lang w:bidi="ar-EG"/>
        </w:rPr>
        <w:t>عاهدة قانون العلامات</w:t>
      </w:r>
      <w:r w:rsidRPr="001B5346">
        <w:rPr>
          <w:i/>
          <w:iCs/>
          <w:lang w:bidi="ar-EG"/>
        </w:rPr>
        <w:t xml:space="preserve"> </w:t>
      </w:r>
      <w:r w:rsidRPr="001B5346">
        <w:rPr>
          <w:rFonts w:hint="cs"/>
          <w:i/>
          <w:iCs/>
          <w:rtl/>
          <w:lang w:bidi="ar-EG"/>
        </w:rPr>
        <w:t>(1994)</w:t>
      </w:r>
    </w:p>
    <w:p w:rsidR="001B5346" w:rsidRPr="001B5346" w:rsidRDefault="001B5346" w:rsidP="004707E7">
      <w:pPr>
        <w:pStyle w:val="NormalParaAR"/>
        <w:tabs>
          <w:tab w:val="right" w:pos="445"/>
        </w:tabs>
        <w:spacing w:after="480" w:line="240" w:lineRule="auto"/>
        <w:ind w:left="-23"/>
        <w:rPr>
          <w:lang w:bidi="ar-EG"/>
        </w:rPr>
      </w:pPr>
      <w:r>
        <w:rPr>
          <w:noProof/>
        </w:rPr>
        <w:drawing>
          <wp:inline distT="0" distB="0" distL="0" distR="0" wp14:anchorId="2A67D0E8" wp14:editId="6BC61D69">
            <wp:extent cx="4572000" cy="27432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B5346" w:rsidRDefault="001B5346" w:rsidP="000B2DBD">
      <w:pPr>
        <w:pStyle w:val="NormalParaAR"/>
        <w:numPr>
          <w:ilvl w:val="0"/>
          <w:numId w:val="21"/>
        </w:numPr>
        <w:ind w:left="567" w:hanging="567"/>
        <w:rPr>
          <w:i/>
          <w:iCs/>
          <w:lang w:bidi="ar-EG"/>
        </w:rPr>
      </w:pPr>
      <w:r w:rsidRPr="001B5346">
        <w:rPr>
          <w:i/>
          <w:iCs/>
          <w:rtl/>
          <w:lang w:bidi="ar-EG"/>
        </w:rPr>
        <w:t>معاهدة الويبو بشأن حق المؤلف</w:t>
      </w:r>
      <w:r>
        <w:rPr>
          <w:i/>
          <w:iCs/>
          <w:lang w:bidi="ar-EG"/>
        </w:rPr>
        <w:t xml:space="preserve"> </w:t>
      </w:r>
      <w:r>
        <w:rPr>
          <w:rFonts w:hint="cs"/>
          <w:i/>
          <w:iCs/>
          <w:rtl/>
          <w:lang w:bidi="ar-EG"/>
        </w:rPr>
        <w:t>(1996)</w:t>
      </w:r>
    </w:p>
    <w:p w:rsidR="00D25DAC" w:rsidRDefault="001B5346" w:rsidP="004707E7">
      <w:pPr>
        <w:pStyle w:val="NormalParaAR"/>
        <w:tabs>
          <w:tab w:val="right" w:pos="445"/>
        </w:tabs>
        <w:spacing w:after="480" w:line="240" w:lineRule="auto"/>
        <w:ind w:left="-23"/>
        <w:rPr>
          <w:rtl/>
          <w:lang w:bidi="ar-EG"/>
        </w:rPr>
      </w:pPr>
      <w:r>
        <w:rPr>
          <w:noProof/>
        </w:rPr>
        <w:drawing>
          <wp:inline distT="0" distB="0" distL="0" distR="0" wp14:anchorId="63FD7409" wp14:editId="0D595EC1">
            <wp:extent cx="4572000" cy="27432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25DAC" w:rsidRDefault="00D25DAC">
      <w:pPr>
        <w:rPr>
          <w:rFonts w:ascii="Arabic Typesetting" w:hAnsi="Arabic Typesetting" w:cs="Arabic Typesetting"/>
          <w:sz w:val="36"/>
          <w:szCs w:val="36"/>
          <w:rtl/>
          <w:lang w:bidi="ar-EG"/>
        </w:rPr>
      </w:pPr>
      <w:r>
        <w:rPr>
          <w:rtl/>
          <w:lang w:bidi="ar-EG"/>
        </w:rPr>
        <w:br w:type="page"/>
      </w:r>
    </w:p>
    <w:p w:rsidR="001B5346" w:rsidRDefault="001B5346" w:rsidP="000B2DBD">
      <w:pPr>
        <w:pStyle w:val="NormalParaAR"/>
        <w:numPr>
          <w:ilvl w:val="0"/>
          <w:numId w:val="21"/>
        </w:numPr>
        <w:ind w:left="567" w:hanging="567"/>
        <w:rPr>
          <w:i/>
          <w:iCs/>
          <w:lang w:bidi="ar-EG"/>
        </w:rPr>
      </w:pPr>
      <w:r w:rsidRPr="001B5346">
        <w:rPr>
          <w:i/>
          <w:iCs/>
          <w:rtl/>
          <w:lang w:bidi="ar-EG"/>
        </w:rPr>
        <w:lastRenderedPageBreak/>
        <w:t>معاهدة الويبو بشأن الأداء والتسجيل الصوتي</w:t>
      </w:r>
      <w:r>
        <w:rPr>
          <w:rFonts w:hint="cs"/>
          <w:i/>
          <w:iCs/>
          <w:rtl/>
          <w:lang w:bidi="ar-EG"/>
        </w:rPr>
        <w:t xml:space="preserve"> (1996)</w:t>
      </w:r>
    </w:p>
    <w:p w:rsidR="001B5346" w:rsidRPr="001B5346" w:rsidRDefault="001B5346" w:rsidP="004707E7">
      <w:pPr>
        <w:pStyle w:val="NormalParaAR"/>
        <w:tabs>
          <w:tab w:val="right" w:pos="445"/>
        </w:tabs>
        <w:spacing w:after="480" w:line="240" w:lineRule="auto"/>
        <w:ind w:left="-23"/>
        <w:rPr>
          <w:lang w:bidi="ar-EG"/>
        </w:rPr>
      </w:pPr>
      <w:r>
        <w:rPr>
          <w:noProof/>
        </w:rPr>
        <w:drawing>
          <wp:inline distT="0" distB="0" distL="0" distR="0" wp14:anchorId="5D81EE49" wp14:editId="5C9F3C89">
            <wp:extent cx="4572000" cy="27432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1B5346" w:rsidRDefault="001B5346" w:rsidP="000B2DBD">
      <w:pPr>
        <w:pStyle w:val="NormalParaAR"/>
        <w:numPr>
          <w:ilvl w:val="0"/>
          <w:numId w:val="21"/>
        </w:numPr>
        <w:ind w:left="567" w:hanging="567"/>
        <w:rPr>
          <w:i/>
          <w:iCs/>
          <w:lang w:bidi="ar-EG"/>
        </w:rPr>
      </w:pPr>
      <w:r w:rsidRPr="00205ED1">
        <w:rPr>
          <w:i/>
          <w:iCs/>
          <w:rtl/>
          <w:lang w:bidi="ar-EG"/>
        </w:rPr>
        <w:t>معاهدة قانون البراءات</w:t>
      </w:r>
      <w:r w:rsidRPr="00205ED1">
        <w:rPr>
          <w:rFonts w:hint="cs"/>
          <w:i/>
          <w:iCs/>
          <w:rtl/>
          <w:lang w:bidi="ar-EG"/>
        </w:rPr>
        <w:t xml:space="preserve"> </w:t>
      </w:r>
      <w:r w:rsidR="00205ED1">
        <w:rPr>
          <w:rFonts w:hint="cs"/>
          <w:i/>
          <w:iCs/>
          <w:rtl/>
          <w:lang w:bidi="ar-EG"/>
        </w:rPr>
        <w:t>(2000)</w:t>
      </w:r>
    </w:p>
    <w:p w:rsidR="00D25DAC" w:rsidRDefault="00205ED1" w:rsidP="004707E7">
      <w:pPr>
        <w:pStyle w:val="NormalParaAR"/>
        <w:spacing w:after="480" w:line="240" w:lineRule="auto"/>
        <w:rPr>
          <w:rtl/>
          <w:lang w:bidi="ar-EG"/>
        </w:rPr>
      </w:pPr>
      <w:r>
        <w:rPr>
          <w:noProof/>
        </w:rPr>
        <w:drawing>
          <wp:inline distT="0" distB="0" distL="0" distR="0" wp14:anchorId="0D93C4F5" wp14:editId="78F7B51B">
            <wp:extent cx="4572000" cy="27432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05ED1" w:rsidRPr="00D25DAC" w:rsidRDefault="00D25DAC" w:rsidP="00D25DAC">
      <w:pPr>
        <w:rPr>
          <w:rFonts w:ascii="Arabic Typesetting" w:hAnsi="Arabic Typesetting" w:cs="Arabic Typesetting"/>
          <w:sz w:val="36"/>
          <w:szCs w:val="36"/>
          <w:lang w:bidi="ar-EG"/>
        </w:rPr>
      </w:pPr>
      <w:r>
        <w:rPr>
          <w:rtl/>
          <w:lang w:bidi="ar-EG"/>
        </w:rPr>
        <w:br w:type="page"/>
      </w:r>
    </w:p>
    <w:p w:rsidR="00205ED1" w:rsidRDefault="00205ED1" w:rsidP="00604658">
      <w:pPr>
        <w:pStyle w:val="NormalParaAR"/>
        <w:numPr>
          <w:ilvl w:val="0"/>
          <w:numId w:val="21"/>
        </w:numPr>
        <w:ind w:left="567" w:hanging="567"/>
        <w:rPr>
          <w:i/>
          <w:iCs/>
          <w:lang w:bidi="ar-EG"/>
        </w:rPr>
      </w:pPr>
      <w:r w:rsidRPr="00205ED1">
        <w:rPr>
          <w:i/>
          <w:iCs/>
          <w:rtl/>
          <w:lang w:bidi="ar-EG"/>
        </w:rPr>
        <w:lastRenderedPageBreak/>
        <w:t>معاهدة سنغافورة بشأن قانون العلامات</w:t>
      </w:r>
      <w:r>
        <w:rPr>
          <w:rFonts w:hint="cs"/>
          <w:i/>
          <w:iCs/>
          <w:rtl/>
          <w:lang w:bidi="ar-EG"/>
        </w:rPr>
        <w:t xml:space="preserve"> (2006)</w:t>
      </w:r>
    </w:p>
    <w:p w:rsidR="00205ED1" w:rsidRPr="00205ED1" w:rsidRDefault="0087134C" w:rsidP="004707E7">
      <w:pPr>
        <w:pStyle w:val="NormalParaAR"/>
        <w:spacing w:after="480" w:line="240" w:lineRule="auto"/>
        <w:rPr>
          <w:lang w:bidi="ar-EG"/>
        </w:rPr>
      </w:pPr>
      <w:r>
        <w:rPr>
          <w:noProof/>
        </w:rPr>
        <w:drawing>
          <wp:inline distT="0" distB="0" distL="0" distR="0" wp14:anchorId="4B87AF4B" wp14:editId="11A5433E">
            <wp:extent cx="4572000" cy="2743200"/>
            <wp:effectExtent l="0" t="0" r="19050"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C791E" w:rsidRDefault="005C791E" w:rsidP="00604658">
      <w:pPr>
        <w:pStyle w:val="NormalParaAR"/>
        <w:numPr>
          <w:ilvl w:val="0"/>
          <w:numId w:val="21"/>
        </w:numPr>
        <w:ind w:left="567" w:hanging="567"/>
        <w:rPr>
          <w:i/>
          <w:iCs/>
          <w:lang w:bidi="ar-EG"/>
        </w:rPr>
      </w:pPr>
      <w:r w:rsidRPr="00205ED1">
        <w:rPr>
          <w:i/>
          <w:iCs/>
          <w:rtl/>
          <w:lang w:bidi="ar-EG"/>
        </w:rPr>
        <w:t>معاهدة مراكش لتيسير النفاذ إلى المصنفات المنشورة لفائدة الأشخاص المكفوفين أو معاقي البصر أو ذوي إعاقات أخرى في قراءة المطبوعات</w:t>
      </w:r>
      <w:r>
        <w:rPr>
          <w:rFonts w:hint="cs"/>
          <w:i/>
          <w:iCs/>
          <w:rtl/>
          <w:lang w:bidi="ar-EG"/>
        </w:rPr>
        <w:t xml:space="preserve"> (2013)</w:t>
      </w:r>
    </w:p>
    <w:p w:rsidR="005C791E" w:rsidRDefault="0087134C" w:rsidP="005C791E">
      <w:pPr>
        <w:pStyle w:val="NormalParaAR"/>
        <w:spacing w:after="480" w:line="240" w:lineRule="auto"/>
        <w:rPr>
          <w:rtl/>
          <w:lang w:bidi="ar-EG"/>
        </w:rPr>
      </w:pPr>
      <w:r>
        <w:rPr>
          <w:noProof/>
        </w:rPr>
        <w:drawing>
          <wp:inline distT="0" distB="0" distL="0" distR="0" wp14:anchorId="3AB673DA" wp14:editId="04873F3A">
            <wp:extent cx="4572000" cy="27432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C791E" w:rsidRPr="005C791E" w:rsidRDefault="005C791E" w:rsidP="00CD4BEC">
      <w:pPr>
        <w:pStyle w:val="NormalParaAR"/>
      </w:pPr>
      <w:r w:rsidRPr="005C791E">
        <w:rPr>
          <w:rFonts w:hint="cs"/>
          <w:rtl/>
        </w:rPr>
        <w:t>أودعت كندا في 30 يونيو 2016 آخر وثيقة انضمام أو تصديق لازمة لدخول معاهدة مراكش حيز النفاذ. وستدخل</w:t>
      </w:r>
      <w:r w:rsidR="00CD4BEC">
        <w:rPr>
          <w:rFonts w:hint="eastAsia"/>
          <w:rtl/>
        </w:rPr>
        <w:t> </w:t>
      </w:r>
      <w:r w:rsidRPr="005C791E">
        <w:rPr>
          <w:rFonts w:hint="cs"/>
          <w:rtl/>
        </w:rPr>
        <w:t>معاهدة مراكش حيز النفاذ في 30 سبتمبر 2016.</w:t>
      </w:r>
    </w:p>
    <w:p w:rsidR="00205ED1" w:rsidRDefault="00205ED1" w:rsidP="00C057D2">
      <w:pPr>
        <w:pStyle w:val="NormalParaAR"/>
        <w:keepNext/>
        <w:numPr>
          <w:ilvl w:val="0"/>
          <w:numId w:val="21"/>
        </w:numPr>
        <w:spacing w:after="0"/>
        <w:ind w:left="0" w:firstLine="0"/>
        <w:rPr>
          <w:i/>
          <w:iCs/>
          <w:lang w:bidi="ar-EG"/>
        </w:rPr>
      </w:pPr>
      <w:r w:rsidRPr="00205ED1">
        <w:rPr>
          <w:i/>
          <w:iCs/>
          <w:rtl/>
          <w:lang w:bidi="ar-EG"/>
        </w:rPr>
        <w:lastRenderedPageBreak/>
        <w:t>معاهدة بيجين بشأن الأداء السمعي البصري</w:t>
      </w:r>
      <w:r>
        <w:rPr>
          <w:rFonts w:hint="cs"/>
          <w:i/>
          <w:iCs/>
          <w:rtl/>
          <w:lang w:bidi="ar-EG"/>
        </w:rPr>
        <w:t xml:space="preserve"> (2012)</w:t>
      </w:r>
    </w:p>
    <w:p w:rsidR="00205ED1" w:rsidRPr="00205ED1" w:rsidRDefault="00205ED1" w:rsidP="00C057D2">
      <w:pPr>
        <w:pStyle w:val="NormalParaAR"/>
        <w:keepNext/>
        <w:ind w:left="-25"/>
        <w:rPr>
          <w:i/>
          <w:iCs/>
          <w:lang w:bidi="ar-EG"/>
        </w:rPr>
      </w:pPr>
      <w:r>
        <w:rPr>
          <w:rFonts w:hint="cs"/>
          <w:i/>
          <w:iCs/>
          <w:rtl/>
          <w:lang w:bidi="ar-EG"/>
        </w:rPr>
        <w:t>(لم تدخل حيز النفاذ بعد فلابد من 30 انضمام/</w:t>
      </w:r>
      <w:r w:rsidR="00C057D2">
        <w:rPr>
          <w:rFonts w:hint="cs"/>
          <w:i/>
          <w:iCs/>
          <w:rtl/>
          <w:lang w:bidi="ar-EG"/>
        </w:rPr>
        <w:t>تصديق</w:t>
      </w:r>
      <w:r>
        <w:rPr>
          <w:rFonts w:hint="cs"/>
          <w:i/>
          <w:iCs/>
          <w:rtl/>
          <w:lang w:bidi="ar-EG"/>
        </w:rPr>
        <w:t xml:space="preserve"> </w:t>
      </w:r>
      <w:r w:rsidR="00C057D2">
        <w:rPr>
          <w:rFonts w:hint="cs"/>
          <w:i/>
          <w:iCs/>
          <w:rtl/>
          <w:lang w:bidi="ar-EG"/>
        </w:rPr>
        <w:t>مقبول</w:t>
      </w:r>
      <w:r>
        <w:rPr>
          <w:rFonts w:hint="cs"/>
          <w:i/>
          <w:iCs/>
          <w:rtl/>
          <w:lang w:bidi="ar-EG"/>
        </w:rPr>
        <w:t xml:space="preserve"> لتدخل حيز النفاذ) </w:t>
      </w:r>
    </w:p>
    <w:p w:rsidR="00D25DAC" w:rsidRDefault="00205ED1" w:rsidP="004707E7">
      <w:pPr>
        <w:pStyle w:val="NormalParaAR"/>
        <w:spacing w:after="480" w:line="240" w:lineRule="auto"/>
        <w:rPr>
          <w:rtl/>
          <w:lang w:bidi="ar-EG"/>
        </w:rPr>
      </w:pPr>
      <w:r>
        <w:rPr>
          <w:noProof/>
        </w:rPr>
        <w:drawing>
          <wp:inline distT="0" distB="0" distL="0" distR="0" wp14:anchorId="3BC3800B" wp14:editId="56140288">
            <wp:extent cx="4572000" cy="27432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05ED1" w:rsidRPr="00D25DAC" w:rsidRDefault="00D25DAC" w:rsidP="00D25DAC">
      <w:pPr>
        <w:rPr>
          <w:rFonts w:ascii="Arabic Typesetting" w:hAnsi="Arabic Typesetting" w:cs="Arabic Typesetting"/>
          <w:sz w:val="36"/>
          <w:szCs w:val="36"/>
          <w:lang w:bidi="ar-EG"/>
        </w:rPr>
      </w:pPr>
      <w:r>
        <w:rPr>
          <w:rtl/>
          <w:lang w:bidi="ar-EG"/>
        </w:rPr>
        <w:br w:type="page"/>
      </w:r>
    </w:p>
    <w:p w:rsidR="00205ED1" w:rsidRPr="00205ED1" w:rsidRDefault="00205ED1" w:rsidP="00205ED1">
      <w:pPr>
        <w:pStyle w:val="NormalParaAR"/>
        <w:rPr>
          <w:b/>
          <w:bCs/>
          <w:lang w:bidi="ar-EG"/>
        </w:rPr>
      </w:pPr>
      <w:r w:rsidRPr="00205ED1">
        <w:rPr>
          <w:rFonts w:hint="cs"/>
          <w:b/>
          <w:bCs/>
          <w:rtl/>
          <w:lang w:bidi="ar-EG"/>
        </w:rPr>
        <w:lastRenderedPageBreak/>
        <w:t>ثانيا</w:t>
      </w:r>
      <w:r w:rsidRPr="00205ED1">
        <w:rPr>
          <w:rFonts w:hint="cs"/>
          <w:b/>
          <w:bCs/>
          <w:rtl/>
          <w:lang w:bidi="ar-EG"/>
        </w:rPr>
        <w:tab/>
        <w:t>الإصلاح الدستوري</w:t>
      </w:r>
    </w:p>
    <w:p w:rsidR="001C414E" w:rsidRPr="00CE349B" w:rsidRDefault="00205ED1" w:rsidP="005C791E">
      <w:pPr>
        <w:pStyle w:val="NormalParaAR"/>
        <w:numPr>
          <w:ilvl w:val="0"/>
          <w:numId w:val="21"/>
        </w:numPr>
        <w:ind w:left="0" w:firstLine="0"/>
        <w:rPr>
          <w:lang w:bidi="ar-EG"/>
        </w:rPr>
      </w:pPr>
      <w:r w:rsidRPr="00CE349B">
        <w:rPr>
          <w:rtl/>
          <w:lang w:bidi="ar-EG"/>
        </w:rPr>
        <w:t xml:space="preserve">اعتمدت جمعيات الدول الأعضاء في الويبو، أثناء اجتماعها في سبتمبر 2002، التوصيات الثلاث التي رفعها إليها فريق الويبو العامل المعني بالإصلاح الدستوري. وهذه التوصيات الثلاث هي: "1" إلغاء مؤتمر الويبو؛ "2" وتضمين المعاهدات نصاً رسمياً بما جرت عليه الممارسات في ما يتعلق بالنظام أحادي الاشتراكات والتغييرات في فئات الاشتراكات؛ "3" وتغيير موعد انعقاد الدورات العادية للجمعية العامة وجمعيات الاتحادات لتصبح دورات سنوية بعد أن كانت تُعقد مرة كل سنتين (الوثيقة </w:t>
      </w:r>
      <w:r w:rsidRPr="00CE349B">
        <w:rPr>
          <w:lang w:bidi="ar-EG"/>
        </w:rPr>
        <w:t>A/37/14</w:t>
      </w:r>
      <w:r w:rsidRPr="00CE349B">
        <w:rPr>
          <w:rtl/>
          <w:lang w:bidi="ar-EG"/>
        </w:rPr>
        <w:t xml:space="preserve"> الفقرات من 291 إلى 301).</w:t>
      </w:r>
    </w:p>
    <w:p w:rsidR="001C414E" w:rsidRPr="00CE349B" w:rsidRDefault="00205ED1" w:rsidP="005C791E">
      <w:pPr>
        <w:pStyle w:val="NormalParaAR"/>
        <w:numPr>
          <w:ilvl w:val="0"/>
          <w:numId w:val="21"/>
        </w:numPr>
        <w:ind w:left="0" w:firstLine="0"/>
        <w:rPr>
          <w:lang w:bidi="ar-EG"/>
        </w:rPr>
      </w:pPr>
      <w:r w:rsidRPr="00CE349B">
        <w:rPr>
          <w:rtl/>
          <w:lang w:bidi="ar-EG"/>
        </w:rPr>
        <w:t xml:space="preserve">وكان من الضروري تعديل عدة معاهدات تديرها الويبو لتنفيذ قرار الجمعيات بخصوص التوصيات الثلاث المذكورة في الفقرة السابقة. وعليه، اعتمد مؤتمر الويبو والجمعيات المختصة لبعض الاتحادات التي تديرها المنظمة بالإجماع، في الأول من أكتوبر 2003، تعديلات على اتفاقية الويبو بالإضافة إلى معاهدات أخرى تديرها المنظمة وهي اتفاقية باريس لحماية الملكية الصناعية (اتفاقية باريس) واتفاقية برن لحماية المصنفات الأدبية والفنية (اتفاقية برن) واتفاق مدريد بشأن التسجيل الدولي للعلامات (اتفاق مدريد) واتفاق لاهاي بشأن الإيداع الدولي للرسوم والنماذج الصناعية (اتفاق لاهاي) واتفاق نيس بشأن التصنيف الدولي للسلع والخدمات لأغراض تسجيل العلامات (اتفاق نيس) واتفاق لشبونة بشأن حماية تسميات المنشأ وتسجيلها على الصعيد الدولي (اتفاق لشبونة) واتفاق لوكارنو الذي وضع بموجبه تصنيف دولي للرسوم والنماذج الصناعية (اتفاق لوكارنو) ومعاهدة التعاون بشأن البراءات واتفاق استراسبرغ بشأن التصنيف الدولي للبراءات (اتفاق استراسبرغ) واتفاق فيينا الذي وضع بموجبه تصنيف دولي للعناصر التصويرية للعلامات (اتفاق فيينا) ومعاهدة بودابست بشأن الاعتراف الدولي بإيداع الكائنات الدقيقة لأغراض الإجراءات الخاصة بالبراءات (معاهدة بودابست) (الوثيقة </w:t>
      </w:r>
      <w:r w:rsidRPr="00CE349B">
        <w:rPr>
          <w:lang w:bidi="ar-EG"/>
        </w:rPr>
        <w:t>A/39/15</w:t>
      </w:r>
      <w:r w:rsidRPr="00CE349B">
        <w:rPr>
          <w:rtl/>
          <w:lang w:bidi="ar-EG"/>
        </w:rPr>
        <w:t xml:space="preserve"> الفقرتان</w:t>
      </w:r>
      <w:r w:rsidR="00D25DAC">
        <w:rPr>
          <w:rFonts w:hint="cs"/>
          <w:rtl/>
          <w:lang w:bidi="ar-EG"/>
        </w:rPr>
        <w:t> </w:t>
      </w:r>
      <w:r w:rsidRPr="00CE349B">
        <w:rPr>
          <w:rtl/>
          <w:lang w:bidi="ar-EG"/>
        </w:rPr>
        <w:t>166</w:t>
      </w:r>
      <w:r w:rsidR="00D25DAC">
        <w:rPr>
          <w:rFonts w:hint="cs"/>
          <w:rtl/>
          <w:lang w:bidi="ar-EG"/>
        </w:rPr>
        <w:t> </w:t>
      </w:r>
      <w:r w:rsidRPr="00CE349B">
        <w:rPr>
          <w:rtl/>
          <w:lang w:bidi="ar-EG"/>
        </w:rPr>
        <w:t>و167)</w:t>
      </w:r>
      <w:r w:rsidR="00215BF1">
        <w:rPr>
          <w:rFonts w:hint="cs"/>
          <w:rtl/>
          <w:lang w:bidi="ar-EG"/>
        </w:rPr>
        <w:t>.</w:t>
      </w:r>
    </w:p>
    <w:p w:rsidR="00A00FD5" w:rsidRPr="00CE349B" w:rsidRDefault="00205ED1" w:rsidP="005C791E">
      <w:pPr>
        <w:pStyle w:val="NormalParaAR"/>
        <w:numPr>
          <w:ilvl w:val="0"/>
          <w:numId w:val="21"/>
        </w:numPr>
        <w:ind w:left="0" w:firstLine="0"/>
        <w:rPr>
          <w:lang w:bidi="ar-EG"/>
        </w:rPr>
      </w:pPr>
      <w:r w:rsidRPr="00CE349B">
        <w:rPr>
          <w:rtl/>
          <w:lang w:bidi="ar-EG"/>
        </w:rPr>
        <w:t>وتنص الأحكام المعنية من المعاهدات التي تديرها الويبو على دخول التعديلات المذكورة حيز النفاذ بعد شهر من تسلم المدير العام للويبو من ثلاثة أرباع الدول الأعضاء في المنظمة و/أو الجمعيات المعنية عندما اعتمد المؤتمر والجمعيات المختصة التعديلات، إخطارات كتابية بالقبول مقدَّمة وفقاً للإجراءات الدستورية لتلك البلدان.</w:t>
      </w:r>
    </w:p>
    <w:p w:rsidR="00A00FD5" w:rsidRPr="00CE349B" w:rsidRDefault="00C057D2" w:rsidP="005C791E">
      <w:pPr>
        <w:pStyle w:val="NormalParaAR"/>
        <w:numPr>
          <w:ilvl w:val="0"/>
          <w:numId w:val="21"/>
        </w:numPr>
        <w:ind w:left="0" w:firstLine="0"/>
        <w:rPr>
          <w:lang w:bidi="ar-EG"/>
        </w:rPr>
      </w:pPr>
      <w:r>
        <w:rPr>
          <w:rFonts w:hint="cs"/>
          <w:rtl/>
          <w:lang w:bidi="ar-EG"/>
        </w:rPr>
        <w:t>وفي 18 يوليو 2016</w:t>
      </w:r>
      <w:r w:rsidRPr="00CE349B">
        <w:rPr>
          <w:rtl/>
          <w:lang w:bidi="ar-EG"/>
        </w:rPr>
        <w:t xml:space="preserve">، </w:t>
      </w:r>
      <w:r>
        <w:rPr>
          <w:rFonts w:hint="cs"/>
          <w:rtl/>
          <w:lang w:bidi="ar-EG"/>
        </w:rPr>
        <w:t xml:space="preserve">كان </w:t>
      </w:r>
      <w:r w:rsidRPr="00CE349B">
        <w:rPr>
          <w:rtl/>
          <w:lang w:bidi="ar-EG"/>
        </w:rPr>
        <w:t xml:space="preserve">المدير العام </w:t>
      </w:r>
      <w:r>
        <w:rPr>
          <w:rFonts w:hint="cs"/>
          <w:rtl/>
          <w:lang w:bidi="ar-EG"/>
        </w:rPr>
        <w:t xml:space="preserve">قد </w:t>
      </w:r>
      <w:r w:rsidRPr="00CE349B">
        <w:rPr>
          <w:rtl/>
          <w:lang w:bidi="ar-EG"/>
        </w:rPr>
        <w:t>تسلم</w:t>
      </w:r>
      <w:r w:rsidR="00205ED1" w:rsidRPr="00CE349B">
        <w:rPr>
          <w:rtl/>
          <w:lang w:bidi="ar-EG"/>
        </w:rPr>
        <w:t xml:space="preserve"> </w:t>
      </w:r>
      <w:r w:rsidR="0039548A">
        <w:rPr>
          <w:rFonts w:hint="cs"/>
          <w:rtl/>
          <w:lang w:bidi="ar-EG"/>
        </w:rPr>
        <w:t>15</w:t>
      </w:r>
      <w:r w:rsidR="009F5DFF">
        <w:rPr>
          <w:rtl/>
          <w:lang w:bidi="ar-EG"/>
        </w:rPr>
        <w:t xml:space="preserve"> إخطارا</w:t>
      </w:r>
      <w:r w:rsidR="00205ED1" w:rsidRPr="00CE349B">
        <w:rPr>
          <w:rtl/>
          <w:lang w:bidi="ar-EG"/>
        </w:rPr>
        <w:t xml:space="preserve"> من ذلك القبيل، علماً بأن من الضروري تسليمه 135 إخطاراً لتدخل التعديلات الوارد وصفها في الفقرات السابقة حيز النفاذ.</w:t>
      </w:r>
    </w:p>
    <w:p w:rsidR="00A00FD5" w:rsidRPr="009F5DFF" w:rsidRDefault="009F5DFF" w:rsidP="00A00FD5">
      <w:pPr>
        <w:pStyle w:val="NormalParaAR"/>
        <w:ind w:left="-25"/>
        <w:rPr>
          <w:b/>
          <w:bCs/>
          <w:lang w:bidi="ar-EG"/>
        </w:rPr>
      </w:pPr>
      <w:r w:rsidRPr="009F5DFF">
        <w:rPr>
          <w:rFonts w:hint="cs"/>
          <w:b/>
          <w:bCs/>
          <w:rtl/>
          <w:lang w:bidi="ar-EG"/>
        </w:rPr>
        <w:t>ثالثا</w:t>
      </w:r>
      <w:r w:rsidRPr="009F5DFF">
        <w:rPr>
          <w:rFonts w:hint="cs"/>
          <w:b/>
          <w:bCs/>
          <w:rtl/>
          <w:lang w:bidi="ar-EG"/>
        </w:rPr>
        <w:tab/>
      </w:r>
      <w:r w:rsidR="00205ED1" w:rsidRPr="009F5DFF">
        <w:rPr>
          <w:b/>
          <w:bCs/>
          <w:rtl/>
          <w:lang w:bidi="ar-EG"/>
        </w:rPr>
        <w:t>عدد ولايات المدير العام</w:t>
      </w:r>
    </w:p>
    <w:p w:rsidR="00A00FD5" w:rsidRPr="00CE349B" w:rsidRDefault="00205ED1" w:rsidP="005C791E">
      <w:pPr>
        <w:pStyle w:val="NormalParaAR"/>
        <w:numPr>
          <w:ilvl w:val="0"/>
          <w:numId w:val="21"/>
        </w:numPr>
        <w:ind w:left="0" w:firstLine="0"/>
        <w:rPr>
          <w:lang w:bidi="ar-EG"/>
        </w:rPr>
      </w:pPr>
      <w:r w:rsidRPr="00CE349B">
        <w:rPr>
          <w:rtl/>
          <w:lang w:bidi="ar-EG"/>
        </w:rPr>
        <w:t xml:space="preserve">عملاً بتوصية لجنة الويبو للتنسيق، اعتمدت الجمعية العامة للويبو، في دورتها الثالثة والعشرين (الدورة الاستثنائية العاشرة) المنعقدة في الفترة من 7 إلى 15 سبتمبر 1998، سياسة تقوم على تحديد عدد ولايات المدير العام بولايتين تدوم الواحدة منهما ست سنوات، وقررت تعديل اتفاقية الويبو وفقاً لذلك (الوثيقة </w:t>
      </w:r>
      <w:r w:rsidRPr="00CE349B">
        <w:rPr>
          <w:lang w:bidi="ar-EG"/>
        </w:rPr>
        <w:t>WO/GA/23/7</w:t>
      </w:r>
      <w:r w:rsidRPr="00CE349B">
        <w:rPr>
          <w:rtl/>
          <w:lang w:bidi="ar-EG"/>
        </w:rPr>
        <w:t xml:space="preserve"> الفقرة 22).</w:t>
      </w:r>
    </w:p>
    <w:p w:rsidR="00A00FD5" w:rsidRPr="00CE349B" w:rsidRDefault="00205ED1" w:rsidP="005C791E">
      <w:pPr>
        <w:pStyle w:val="NormalParaAR"/>
        <w:numPr>
          <w:ilvl w:val="0"/>
          <w:numId w:val="21"/>
        </w:numPr>
        <w:ind w:left="0" w:firstLine="0"/>
        <w:rPr>
          <w:lang w:bidi="ar-EG"/>
        </w:rPr>
      </w:pPr>
      <w:r w:rsidRPr="00CE349B">
        <w:rPr>
          <w:rtl/>
          <w:lang w:bidi="ar-EG"/>
        </w:rPr>
        <w:t xml:space="preserve">وبعد ذلك، اعتمدت جمعيتا اتحادي باريس وبرن </w:t>
      </w:r>
      <w:r w:rsidR="00006851">
        <w:rPr>
          <w:rFonts w:hint="cs"/>
          <w:rtl/>
          <w:lang w:bidi="ar-EG"/>
        </w:rPr>
        <w:t xml:space="preserve">بالترتيب </w:t>
      </w:r>
      <w:r w:rsidRPr="00CE349B">
        <w:rPr>
          <w:rtl/>
          <w:lang w:bidi="ar-EG"/>
        </w:rPr>
        <w:t xml:space="preserve">ومؤتمر الويبو بالإجماع تعديلاً للمادة 9(3) من اتفاقية الويبو في 24 سبتمبر 1999. ويرد وصف التعديل أدناه (الوثيقة </w:t>
      </w:r>
      <w:r w:rsidRPr="00CE349B">
        <w:rPr>
          <w:lang w:bidi="ar-EG"/>
        </w:rPr>
        <w:t>A/34/16</w:t>
      </w:r>
      <w:r w:rsidRPr="00CE349B">
        <w:rPr>
          <w:rtl/>
          <w:lang w:bidi="ar-EG"/>
        </w:rPr>
        <w:t xml:space="preserve"> الفقرة 148).</w:t>
      </w:r>
    </w:p>
    <w:p w:rsidR="00A00FD5" w:rsidRPr="00CE349B" w:rsidRDefault="00205ED1" w:rsidP="005C791E">
      <w:pPr>
        <w:pStyle w:val="NormalParaAR"/>
        <w:numPr>
          <w:ilvl w:val="0"/>
          <w:numId w:val="21"/>
        </w:numPr>
        <w:ind w:left="0" w:firstLine="0"/>
        <w:rPr>
          <w:lang w:bidi="ar-EG"/>
        </w:rPr>
      </w:pPr>
      <w:r w:rsidRPr="00CE349B">
        <w:rPr>
          <w:rtl/>
          <w:lang w:bidi="ar-EG"/>
        </w:rPr>
        <w:t>ويرد في ما يلي النص الحالي للمادة 9(3) من اتفاقية الويبو:</w:t>
      </w:r>
    </w:p>
    <w:p w:rsidR="00A00FD5" w:rsidRPr="00CE349B" w:rsidRDefault="00205ED1" w:rsidP="00006851">
      <w:pPr>
        <w:pStyle w:val="NormalParaAR"/>
        <w:ind w:left="555"/>
        <w:rPr>
          <w:lang w:bidi="ar-EG"/>
        </w:rPr>
      </w:pPr>
      <w:r w:rsidRPr="00CE349B">
        <w:rPr>
          <w:rtl/>
          <w:lang w:bidi="ar-EG"/>
        </w:rPr>
        <w:t>"يعيَّن المدير العام لمدة محددة لا تقل عن ست سنوات، ويجوز تجديد تعيينه لمدد محددة. وتتولى الجمعية العامة تحديد مدة التعيين الأول والتعيينات اللاحقة المحتملة وكذلك كافة شروط التعيين الأخرى."</w:t>
      </w:r>
    </w:p>
    <w:p w:rsidR="00A00FD5" w:rsidRPr="00CE349B" w:rsidRDefault="00205ED1" w:rsidP="005C791E">
      <w:pPr>
        <w:pStyle w:val="NormalParaAR"/>
        <w:keepNext/>
        <w:numPr>
          <w:ilvl w:val="0"/>
          <w:numId w:val="21"/>
        </w:numPr>
        <w:ind w:left="0" w:firstLine="0"/>
        <w:rPr>
          <w:lang w:bidi="ar-EG"/>
        </w:rPr>
      </w:pPr>
      <w:r w:rsidRPr="00CE349B">
        <w:rPr>
          <w:rtl/>
          <w:lang w:bidi="ar-EG"/>
        </w:rPr>
        <w:lastRenderedPageBreak/>
        <w:t>ويرد في ما يلي نص التعديل المعتمد للمادة 9(3):</w:t>
      </w:r>
    </w:p>
    <w:p w:rsidR="00A00FD5" w:rsidRPr="00CE349B" w:rsidRDefault="00205ED1" w:rsidP="00A00FD5">
      <w:pPr>
        <w:pStyle w:val="NormalParaAR"/>
        <w:ind w:left="555"/>
        <w:rPr>
          <w:lang w:bidi="ar-EG"/>
        </w:rPr>
      </w:pPr>
      <w:r w:rsidRPr="00CE349B">
        <w:rPr>
          <w:rtl/>
          <w:lang w:bidi="ar-EG"/>
        </w:rPr>
        <w:t>"يعيَّن المدير العام لمدة محددة بست سنوات، ويجوز تجديد تعيينه لمدة واحدة فقط محددة بست سنوات. وتتولى الجمعية العامة تحديد كافة شروط التعيين الأخرى."</w:t>
      </w:r>
    </w:p>
    <w:p w:rsidR="00A00FD5" w:rsidRPr="00CE349B" w:rsidRDefault="00205ED1" w:rsidP="005C791E">
      <w:pPr>
        <w:pStyle w:val="NormalParaAR"/>
        <w:numPr>
          <w:ilvl w:val="0"/>
          <w:numId w:val="21"/>
        </w:numPr>
        <w:ind w:left="0" w:firstLine="0"/>
        <w:rPr>
          <w:lang w:bidi="ar-EG"/>
        </w:rPr>
      </w:pPr>
      <w:r w:rsidRPr="00CE349B">
        <w:rPr>
          <w:rtl/>
          <w:lang w:bidi="ar-EG"/>
        </w:rPr>
        <w:t>وتنص المادة 17(3) من اتفاقية الويبو على أن التعديل المذكور يدخل حيز النفاذ بعد شهر من تسلم المدير العام للويبو من ثلاثة أرباع الدول الأعضاء في المنظمة عندما اعتمد المؤتمر التعديل، إخطارات كتابية بالقبول مقدَّمة وفقاً للإجراءات الدستورية لتلك البلدان.</w:t>
      </w:r>
    </w:p>
    <w:p w:rsidR="00F30062" w:rsidRDefault="0003578C" w:rsidP="0003578C">
      <w:pPr>
        <w:pStyle w:val="NormalParaAR"/>
        <w:numPr>
          <w:ilvl w:val="0"/>
          <w:numId w:val="21"/>
        </w:numPr>
        <w:ind w:left="0" w:firstLine="0"/>
        <w:rPr>
          <w:lang w:bidi="ar-EG"/>
        </w:rPr>
      </w:pPr>
      <w:r>
        <w:rPr>
          <w:rFonts w:hint="cs"/>
          <w:rtl/>
          <w:lang w:bidi="ar-EG"/>
        </w:rPr>
        <w:t>وفي</w:t>
      </w:r>
      <w:r w:rsidR="00006851">
        <w:rPr>
          <w:rFonts w:hint="cs"/>
          <w:rtl/>
          <w:lang w:bidi="ar-EG"/>
        </w:rPr>
        <w:t xml:space="preserve"> </w:t>
      </w:r>
      <w:r>
        <w:rPr>
          <w:rFonts w:hint="cs"/>
          <w:rtl/>
          <w:lang w:bidi="ar-EG"/>
        </w:rPr>
        <w:t>18</w:t>
      </w:r>
      <w:r w:rsidR="00006851">
        <w:rPr>
          <w:rFonts w:hint="cs"/>
          <w:rtl/>
          <w:lang w:bidi="ar-EG"/>
        </w:rPr>
        <w:t xml:space="preserve"> </w:t>
      </w:r>
      <w:r w:rsidR="005C791E">
        <w:rPr>
          <w:rFonts w:hint="cs"/>
          <w:rtl/>
          <w:lang w:bidi="ar-EG"/>
        </w:rPr>
        <w:t>يو</w:t>
      </w:r>
      <w:r>
        <w:rPr>
          <w:rFonts w:hint="cs"/>
          <w:rtl/>
          <w:lang w:bidi="ar-EG"/>
        </w:rPr>
        <w:t>ل</w:t>
      </w:r>
      <w:r w:rsidR="005C791E">
        <w:rPr>
          <w:rFonts w:hint="cs"/>
          <w:rtl/>
          <w:lang w:bidi="ar-EG"/>
        </w:rPr>
        <w:t>يو</w:t>
      </w:r>
      <w:r w:rsidR="00006851">
        <w:rPr>
          <w:rFonts w:hint="cs"/>
          <w:rtl/>
          <w:lang w:bidi="ar-EG"/>
        </w:rPr>
        <w:t xml:space="preserve"> 2016</w:t>
      </w:r>
      <w:r w:rsidR="00205ED1" w:rsidRPr="00CE349B">
        <w:rPr>
          <w:rtl/>
          <w:lang w:bidi="ar-EG"/>
        </w:rPr>
        <w:t xml:space="preserve">، </w:t>
      </w:r>
      <w:r>
        <w:rPr>
          <w:rFonts w:hint="cs"/>
          <w:rtl/>
          <w:lang w:bidi="ar-EG"/>
        </w:rPr>
        <w:t xml:space="preserve">كان </w:t>
      </w:r>
      <w:r w:rsidR="00205ED1" w:rsidRPr="00CE349B">
        <w:rPr>
          <w:rtl/>
          <w:lang w:bidi="ar-EG"/>
        </w:rPr>
        <w:t xml:space="preserve">المدير العام </w:t>
      </w:r>
      <w:r>
        <w:rPr>
          <w:rFonts w:hint="cs"/>
          <w:rtl/>
          <w:lang w:bidi="ar-EG"/>
        </w:rPr>
        <w:t xml:space="preserve">قد </w:t>
      </w:r>
      <w:r w:rsidRPr="00CE349B">
        <w:rPr>
          <w:rtl/>
          <w:lang w:bidi="ar-EG"/>
        </w:rPr>
        <w:t xml:space="preserve">تسلم </w:t>
      </w:r>
      <w:r w:rsidR="00006851">
        <w:rPr>
          <w:rFonts w:hint="cs"/>
          <w:rtl/>
          <w:lang w:bidi="ar-EG"/>
        </w:rPr>
        <w:t>52</w:t>
      </w:r>
      <w:r w:rsidR="00205ED1" w:rsidRPr="00CE349B">
        <w:rPr>
          <w:rtl/>
          <w:lang w:bidi="ar-EG"/>
        </w:rPr>
        <w:t xml:space="preserve"> إخطاراً بالقبول علماً بأن من الضروري تسليمه 129 إخطارا </w:t>
      </w:r>
      <w:r w:rsidR="00F30062">
        <w:rPr>
          <w:rFonts w:hint="cs"/>
          <w:rtl/>
          <w:lang w:bidi="ar-EG"/>
        </w:rPr>
        <w:t xml:space="preserve">بالقبول </w:t>
      </w:r>
      <w:r w:rsidR="00205ED1" w:rsidRPr="00CE349B">
        <w:rPr>
          <w:rtl/>
          <w:lang w:bidi="ar-EG"/>
        </w:rPr>
        <w:t>ليدخل التعديل الوارد وصفه في الفقرات السابقة حيز النفاذ.</w:t>
      </w:r>
    </w:p>
    <w:p w:rsidR="00205ED1" w:rsidRPr="00CE349B" w:rsidRDefault="00205ED1" w:rsidP="005C791E">
      <w:pPr>
        <w:pStyle w:val="NormalParaAR"/>
        <w:numPr>
          <w:ilvl w:val="0"/>
          <w:numId w:val="21"/>
        </w:numPr>
        <w:ind w:left="0" w:firstLine="0"/>
        <w:rPr>
          <w:lang w:bidi="ar-EG"/>
        </w:rPr>
      </w:pPr>
      <w:r w:rsidRPr="00CE349B">
        <w:rPr>
          <w:rtl/>
          <w:lang w:bidi="ar-EG"/>
        </w:rPr>
        <w:t xml:space="preserve">إن الدول الأعضاء </w:t>
      </w:r>
      <w:r w:rsidR="00215BF1">
        <w:rPr>
          <w:rFonts w:hint="cs"/>
          <w:rtl/>
          <w:lang w:bidi="ar-EG"/>
        </w:rPr>
        <w:t xml:space="preserve">مدعوة إلى </w:t>
      </w:r>
      <w:r w:rsidR="0049055B">
        <w:rPr>
          <w:rFonts w:hint="cs"/>
          <w:rtl/>
          <w:lang w:bidi="ar-EG"/>
        </w:rPr>
        <w:t xml:space="preserve">إرسال صكوك قبول </w:t>
      </w:r>
      <w:r w:rsidR="00F30062">
        <w:rPr>
          <w:rFonts w:hint="cs"/>
          <w:rtl/>
          <w:lang w:bidi="ar-EG"/>
        </w:rPr>
        <w:t>ال</w:t>
      </w:r>
      <w:r w:rsidR="0049055B">
        <w:rPr>
          <w:rFonts w:hint="cs"/>
          <w:rtl/>
          <w:lang w:bidi="ar-EG"/>
        </w:rPr>
        <w:t xml:space="preserve">تعديلات </w:t>
      </w:r>
      <w:r w:rsidR="00F30062">
        <w:rPr>
          <w:rFonts w:hint="cs"/>
          <w:rtl/>
          <w:lang w:bidi="ar-EG"/>
        </w:rPr>
        <w:t xml:space="preserve">على </w:t>
      </w:r>
      <w:r w:rsidR="0049055B">
        <w:rPr>
          <w:rFonts w:hint="cs"/>
          <w:rtl/>
          <w:lang w:bidi="ar-EG"/>
        </w:rPr>
        <w:t>معاهدات الويبو الموصوفة أعلاه الخاصة بها</w:t>
      </w:r>
      <w:r w:rsidRPr="00CE349B">
        <w:rPr>
          <w:rtl/>
          <w:lang w:bidi="ar-EG"/>
        </w:rPr>
        <w:t>.</w:t>
      </w:r>
    </w:p>
    <w:p w:rsidR="0003578C" w:rsidRDefault="0003578C" w:rsidP="00A5361F">
      <w:pPr>
        <w:pStyle w:val="EndofDocumentAR"/>
        <w:rPr>
          <w:rFonts w:hint="cs"/>
          <w:rtl/>
          <w:lang w:bidi="ar-EG"/>
        </w:rPr>
      </w:pPr>
    </w:p>
    <w:p w:rsidR="001B5346" w:rsidRPr="001B5346" w:rsidRDefault="00205ED1" w:rsidP="00A5361F">
      <w:pPr>
        <w:pStyle w:val="EndofDocumentAR"/>
        <w:rPr>
          <w:rtl/>
          <w:lang w:bidi="ar-EG"/>
        </w:rPr>
      </w:pPr>
      <w:r w:rsidRPr="00205ED1">
        <w:rPr>
          <w:rtl/>
          <w:lang w:bidi="ar-EG"/>
        </w:rPr>
        <w:t>[نهاية الوثيقة]</w:t>
      </w:r>
      <w:bookmarkStart w:id="2" w:name="_GoBack"/>
      <w:bookmarkEnd w:id="2"/>
    </w:p>
    <w:sectPr w:rsidR="001B5346" w:rsidRPr="001B5346" w:rsidSect="00EB7752">
      <w:headerReference w:type="default" r:id="rId36"/>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457" w:rsidRDefault="009E0457">
      <w:r>
        <w:separator/>
      </w:r>
    </w:p>
  </w:endnote>
  <w:endnote w:type="continuationSeparator" w:id="0">
    <w:p w:rsidR="009E0457" w:rsidRDefault="009E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457" w:rsidRDefault="009E0457" w:rsidP="009622BF">
      <w:pPr>
        <w:bidi/>
      </w:pPr>
      <w:bookmarkStart w:id="0" w:name="OLE_LINK1"/>
      <w:bookmarkStart w:id="1" w:name="OLE_LINK2"/>
      <w:r>
        <w:separator/>
      </w:r>
      <w:bookmarkEnd w:id="0"/>
      <w:bookmarkEnd w:id="1"/>
    </w:p>
  </w:footnote>
  <w:footnote w:type="continuationSeparator" w:id="0">
    <w:p w:rsidR="009E0457" w:rsidRDefault="009E0457" w:rsidP="009622BF">
      <w:pPr>
        <w:bidi/>
      </w:pPr>
      <w:r>
        <w:separator/>
      </w:r>
    </w:p>
  </w:footnote>
  <w:footnote w:id="1">
    <w:p w:rsidR="00A11CEB" w:rsidRDefault="00A11CEB" w:rsidP="00DB70D2">
      <w:pPr>
        <w:pStyle w:val="FootnoteText"/>
        <w:rPr>
          <w:rtl/>
          <w:lang w:bidi="ar-EG"/>
        </w:rPr>
      </w:pPr>
      <w:r>
        <w:rPr>
          <w:rStyle w:val="FootnoteReference"/>
        </w:rPr>
        <w:footnoteRef/>
      </w:r>
      <w:r>
        <w:rPr>
          <w:rtl/>
        </w:rPr>
        <w:t xml:space="preserve"> </w:t>
      </w:r>
      <w:r>
        <w:rPr>
          <w:rFonts w:hint="cs"/>
          <w:rtl/>
          <w:lang w:bidi="ar-EG"/>
        </w:rPr>
        <w:t xml:space="preserve">وهي </w:t>
      </w:r>
      <w:r w:rsidRPr="00DB03A3">
        <w:rPr>
          <w:rtl/>
          <w:lang w:bidi="ar-EG"/>
        </w:rPr>
        <w:t>اتفاقية باريس لحماية الملكية الصناعية</w:t>
      </w:r>
      <w:r>
        <w:rPr>
          <w:lang w:bidi="ar-EG"/>
        </w:rPr>
        <w:t xml:space="preserve"> </w:t>
      </w:r>
      <w:r>
        <w:rPr>
          <w:rFonts w:hint="cs"/>
          <w:rtl/>
          <w:lang w:bidi="ar-EG"/>
        </w:rPr>
        <w:t>و</w:t>
      </w:r>
      <w:r w:rsidRPr="00265FDC">
        <w:rPr>
          <w:rtl/>
          <w:lang w:bidi="ar-EG"/>
        </w:rPr>
        <w:t xml:space="preserve">اتفاقية برن </w:t>
      </w:r>
      <w:r w:rsidR="00DB70D2">
        <w:rPr>
          <w:rFonts w:hint="cs"/>
          <w:rtl/>
          <w:lang w:bidi="ar-EG"/>
        </w:rPr>
        <w:t>ل</w:t>
      </w:r>
      <w:r w:rsidRPr="00265FDC">
        <w:rPr>
          <w:rtl/>
          <w:lang w:bidi="ar-EG"/>
        </w:rPr>
        <w:t>حماية المصنفات الأدبية والفنية</w:t>
      </w:r>
      <w:r>
        <w:rPr>
          <w:rFonts w:hint="cs"/>
          <w:rtl/>
          <w:lang w:bidi="ar-EG"/>
        </w:rPr>
        <w:t xml:space="preserve"> وا</w:t>
      </w:r>
      <w:r>
        <w:rPr>
          <w:rtl/>
          <w:lang w:bidi="ar-EG"/>
        </w:rPr>
        <w:t>تفاق ن</w:t>
      </w:r>
      <w:r>
        <w:rPr>
          <w:rFonts w:hint="cs"/>
          <w:rtl/>
          <w:lang w:bidi="ar-EG"/>
        </w:rPr>
        <w:t>ي</w:t>
      </w:r>
      <w:r w:rsidRPr="00265FDC">
        <w:rPr>
          <w:rtl/>
          <w:lang w:bidi="ar-EG"/>
        </w:rPr>
        <w:t>س بشأن التصنيف الدولي للسلع</w:t>
      </w:r>
      <w:r>
        <w:rPr>
          <w:rtl/>
          <w:lang w:bidi="ar-EG"/>
        </w:rPr>
        <w:t xml:space="preserve"> والخدمات لأغراض تسجيل العلامات</w:t>
      </w:r>
      <w:r>
        <w:rPr>
          <w:rFonts w:hint="cs"/>
          <w:rtl/>
          <w:lang w:bidi="ar-EG"/>
        </w:rPr>
        <w:t xml:space="preserve"> و</w:t>
      </w:r>
      <w:r w:rsidRPr="00265FDC">
        <w:rPr>
          <w:rtl/>
          <w:lang w:bidi="ar-EG"/>
        </w:rPr>
        <w:t xml:space="preserve">اتفاق لشبونة بشأن حماية تسميات المنشأ </w:t>
      </w:r>
      <w:r w:rsidRPr="00265FDC">
        <w:rPr>
          <w:rFonts w:hint="cs"/>
          <w:rtl/>
          <w:lang w:bidi="ar-EG"/>
        </w:rPr>
        <w:t>وتسجيلها</w:t>
      </w:r>
      <w:r w:rsidR="00203711">
        <w:rPr>
          <w:rFonts w:hint="cs"/>
          <w:rtl/>
          <w:lang w:bidi="ar-EG"/>
        </w:rPr>
        <w:t xml:space="preserve"> على الصعيد الدولي</w:t>
      </w:r>
      <w:r>
        <w:rPr>
          <w:rFonts w:hint="cs"/>
          <w:rtl/>
          <w:lang w:bidi="ar-EG"/>
        </w:rPr>
        <w:t xml:space="preserve"> الخاص بوثيقة ستوكهولم الخاصة به لعام 1967.</w:t>
      </w:r>
    </w:p>
  </w:footnote>
  <w:footnote w:id="2">
    <w:p w:rsidR="00A11CEB" w:rsidRDefault="00A11CEB" w:rsidP="00D24383">
      <w:pPr>
        <w:pStyle w:val="FootnoteText"/>
        <w:rPr>
          <w:rtl/>
        </w:rPr>
      </w:pPr>
      <w:r>
        <w:rPr>
          <w:rStyle w:val="FootnoteReference"/>
        </w:rPr>
        <w:footnoteRef/>
      </w:r>
      <w:r>
        <w:rPr>
          <w:rtl/>
        </w:rPr>
        <w:t xml:space="preserve"> </w:t>
      </w:r>
      <w:r>
        <w:rPr>
          <w:rFonts w:hint="cs"/>
          <w:rtl/>
        </w:rPr>
        <w:t>وثيقة لندن (1934) التابعة لاتفاق لاهاي الخاصة ب</w:t>
      </w:r>
      <w:r w:rsidRPr="007959C8">
        <w:rPr>
          <w:rtl/>
        </w:rPr>
        <w:t>اتفاق لاهاي بشأن التسجيل الدولي للتصاميم الصناعية</w:t>
      </w:r>
      <w:r>
        <w:rPr>
          <w:rFonts w:hint="cs"/>
          <w:rtl/>
        </w:rPr>
        <w:t>.</w:t>
      </w:r>
    </w:p>
  </w:footnote>
  <w:footnote w:id="3">
    <w:p w:rsidR="00A11CEB" w:rsidRDefault="00A11CEB" w:rsidP="00BE2E31">
      <w:pPr>
        <w:pStyle w:val="FootnoteText"/>
        <w:rPr>
          <w:lang w:bidi="ar-EG"/>
        </w:rPr>
      </w:pPr>
      <w:r>
        <w:rPr>
          <w:rStyle w:val="FootnoteReference"/>
        </w:rPr>
        <w:footnoteRef/>
      </w:r>
      <w:r>
        <w:rPr>
          <w:rtl/>
        </w:rPr>
        <w:t xml:space="preserve"> </w:t>
      </w:r>
      <w:r>
        <w:rPr>
          <w:rFonts w:hint="cs"/>
          <w:rtl/>
        </w:rPr>
        <w:t>انظر الجزئيي</w:t>
      </w:r>
      <w:r>
        <w:rPr>
          <w:rFonts w:hint="eastAsia"/>
          <w:rtl/>
        </w:rPr>
        <w:t>ن</w:t>
      </w:r>
      <w:r>
        <w:rPr>
          <w:rFonts w:hint="cs"/>
          <w:rtl/>
        </w:rPr>
        <w:t xml:space="preserve"> الثاني والثالث من الإصلاح الدستوري وعدد ولايات المدير العام.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CEB" w:rsidRPr="000F4257" w:rsidRDefault="00A11CEB" w:rsidP="00703293">
    <w:r>
      <w:t>A/56/INF/5</w:t>
    </w:r>
  </w:p>
  <w:p w:rsidR="00A11CEB" w:rsidRDefault="00A11CEB" w:rsidP="00D61541">
    <w:r>
      <w:fldChar w:fldCharType="begin"/>
    </w:r>
    <w:r>
      <w:instrText xml:space="preserve"> PAGE  \* MERGEFORMAT </w:instrText>
    </w:r>
    <w:r>
      <w:fldChar w:fldCharType="separate"/>
    </w:r>
    <w:r w:rsidR="00782F49">
      <w:rPr>
        <w:noProof/>
      </w:rPr>
      <w:t>17</w:t>
    </w:r>
    <w:r>
      <w:fldChar w:fldCharType="end"/>
    </w:r>
  </w:p>
  <w:p w:rsidR="00A11CEB" w:rsidRDefault="00A11CEB"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4F336FE"/>
    <w:multiLevelType w:val="hybridMultilevel"/>
    <w:tmpl w:val="CA0853C8"/>
    <w:lvl w:ilvl="0" w:tplc="6B1A325E">
      <w:start w:val="1"/>
      <w:numFmt w:val="decimal"/>
      <w:lvlText w:val="%1."/>
      <w:lvlJc w:val="left"/>
      <w:pPr>
        <w:ind w:left="720" w:hanging="360"/>
      </w:pPr>
      <w:rPr>
        <w:rFonts w:hint="default"/>
        <w:lang w:val="en-US" w:bidi="ar-EG"/>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5E87973"/>
    <w:multiLevelType w:val="hybridMultilevel"/>
    <w:tmpl w:val="78AA7728"/>
    <w:lvl w:ilvl="0" w:tplc="966EA812">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D6561A5"/>
    <w:multiLevelType w:val="hybridMultilevel"/>
    <w:tmpl w:val="FE1056CC"/>
    <w:lvl w:ilvl="0" w:tplc="6B1A325E">
      <w:start w:val="1"/>
      <w:numFmt w:val="decimal"/>
      <w:lvlText w:val="%1."/>
      <w:lvlJc w:val="left"/>
      <w:pPr>
        <w:ind w:left="720" w:hanging="360"/>
      </w:pPr>
      <w:rPr>
        <w:rFonts w:hint="default"/>
        <w:lang w:val="en-US" w:bidi="ar-EG"/>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757"/>
    <w:rsid w:val="00002CBE"/>
    <w:rsid w:val="00003232"/>
    <w:rsid w:val="000033DA"/>
    <w:rsid w:val="0000579F"/>
    <w:rsid w:val="00006851"/>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2509"/>
    <w:rsid w:val="00033D2C"/>
    <w:rsid w:val="0003578C"/>
    <w:rsid w:val="00035971"/>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2DBD"/>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257"/>
    <w:rsid w:val="000F49FA"/>
    <w:rsid w:val="000F58C4"/>
    <w:rsid w:val="000F5E56"/>
    <w:rsid w:val="000F70F9"/>
    <w:rsid w:val="001007AB"/>
    <w:rsid w:val="00100F97"/>
    <w:rsid w:val="001012E0"/>
    <w:rsid w:val="001016F2"/>
    <w:rsid w:val="001024C1"/>
    <w:rsid w:val="0010385D"/>
    <w:rsid w:val="001042E0"/>
    <w:rsid w:val="00104C51"/>
    <w:rsid w:val="0010597B"/>
    <w:rsid w:val="001072A2"/>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15"/>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4F1"/>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5DD4"/>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5346"/>
    <w:rsid w:val="001B7C00"/>
    <w:rsid w:val="001C09D2"/>
    <w:rsid w:val="001C1620"/>
    <w:rsid w:val="001C18B2"/>
    <w:rsid w:val="001C1994"/>
    <w:rsid w:val="001C2933"/>
    <w:rsid w:val="001C414E"/>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711"/>
    <w:rsid w:val="00203D45"/>
    <w:rsid w:val="00205495"/>
    <w:rsid w:val="00205ED1"/>
    <w:rsid w:val="002061DE"/>
    <w:rsid w:val="002065E2"/>
    <w:rsid w:val="00206C61"/>
    <w:rsid w:val="00206F30"/>
    <w:rsid w:val="002072D8"/>
    <w:rsid w:val="00207616"/>
    <w:rsid w:val="00207F10"/>
    <w:rsid w:val="002112E6"/>
    <w:rsid w:val="00213213"/>
    <w:rsid w:val="0021457F"/>
    <w:rsid w:val="0021505D"/>
    <w:rsid w:val="00215BF1"/>
    <w:rsid w:val="0021604B"/>
    <w:rsid w:val="00216545"/>
    <w:rsid w:val="00220227"/>
    <w:rsid w:val="0022176B"/>
    <w:rsid w:val="00222760"/>
    <w:rsid w:val="00222782"/>
    <w:rsid w:val="0022360A"/>
    <w:rsid w:val="00226B82"/>
    <w:rsid w:val="00227103"/>
    <w:rsid w:val="00230249"/>
    <w:rsid w:val="00230935"/>
    <w:rsid w:val="00230D5F"/>
    <w:rsid w:val="00231BE3"/>
    <w:rsid w:val="00232C51"/>
    <w:rsid w:val="00233414"/>
    <w:rsid w:val="00233D69"/>
    <w:rsid w:val="00234E82"/>
    <w:rsid w:val="00235C9D"/>
    <w:rsid w:val="00237F46"/>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FDC"/>
    <w:rsid w:val="00266486"/>
    <w:rsid w:val="00266981"/>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3EC8"/>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510"/>
    <w:rsid w:val="00335CA6"/>
    <w:rsid w:val="003365F0"/>
    <w:rsid w:val="00336C50"/>
    <w:rsid w:val="00337388"/>
    <w:rsid w:val="0034007D"/>
    <w:rsid w:val="003433E5"/>
    <w:rsid w:val="00344082"/>
    <w:rsid w:val="0034582C"/>
    <w:rsid w:val="00345916"/>
    <w:rsid w:val="00345CAC"/>
    <w:rsid w:val="0034640F"/>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48A"/>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34E6"/>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296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7E7"/>
    <w:rsid w:val="00472043"/>
    <w:rsid w:val="00472F56"/>
    <w:rsid w:val="0047335E"/>
    <w:rsid w:val="00473CA1"/>
    <w:rsid w:val="0047572C"/>
    <w:rsid w:val="00476407"/>
    <w:rsid w:val="004773F7"/>
    <w:rsid w:val="0048054C"/>
    <w:rsid w:val="00481F5F"/>
    <w:rsid w:val="004821D0"/>
    <w:rsid w:val="00482CB2"/>
    <w:rsid w:val="00483D06"/>
    <w:rsid w:val="00485A4A"/>
    <w:rsid w:val="00485CF7"/>
    <w:rsid w:val="004862C2"/>
    <w:rsid w:val="004863F7"/>
    <w:rsid w:val="00486FFC"/>
    <w:rsid w:val="0049055B"/>
    <w:rsid w:val="00490ED4"/>
    <w:rsid w:val="00491B91"/>
    <w:rsid w:val="00491C21"/>
    <w:rsid w:val="00491C66"/>
    <w:rsid w:val="004935D6"/>
    <w:rsid w:val="00494195"/>
    <w:rsid w:val="004945FB"/>
    <w:rsid w:val="00497356"/>
    <w:rsid w:val="004A0415"/>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A5"/>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584"/>
    <w:rsid w:val="005266BD"/>
    <w:rsid w:val="0052772D"/>
    <w:rsid w:val="00530442"/>
    <w:rsid w:val="00534AF0"/>
    <w:rsid w:val="00535060"/>
    <w:rsid w:val="00535738"/>
    <w:rsid w:val="00535B86"/>
    <w:rsid w:val="005409EB"/>
    <w:rsid w:val="00540F30"/>
    <w:rsid w:val="005412A5"/>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789"/>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462"/>
    <w:rsid w:val="005C45C0"/>
    <w:rsid w:val="005C5335"/>
    <w:rsid w:val="005C5D7B"/>
    <w:rsid w:val="005C5E29"/>
    <w:rsid w:val="005C6474"/>
    <w:rsid w:val="005C6A68"/>
    <w:rsid w:val="005C791E"/>
    <w:rsid w:val="005D0AE3"/>
    <w:rsid w:val="005D0F8E"/>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352"/>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465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466"/>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3376"/>
    <w:rsid w:val="006E4601"/>
    <w:rsid w:val="006E5B86"/>
    <w:rsid w:val="006E63FF"/>
    <w:rsid w:val="006E652D"/>
    <w:rsid w:val="006E7572"/>
    <w:rsid w:val="006F2F22"/>
    <w:rsid w:val="006F434A"/>
    <w:rsid w:val="006F7974"/>
    <w:rsid w:val="00700A60"/>
    <w:rsid w:val="0070329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331"/>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646"/>
    <w:rsid w:val="007728AB"/>
    <w:rsid w:val="00772CFE"/>
    <w:rsid w:val="007730CF"/>
    <w:rsid w:val="00774756"/>
    <w:rsid w:val="00775181"/>
    <w:rsid w:val="007751B6"/>
    <w:rsid w:val="00775345"/>
    <w:rsid w:val="00776A33"/>
    <w:rsid w:val="00776F15"/>
    <w:rsid w:val="007779ED"/>
    <w:rsid w:val="00780B1A"/>
    <w:rsid w:val="007810D3"/>
    <w:rsid w:val="0078264A"/>
    <w:rsid w:val="00782F49"/>
    <w:rsid w:val="00783D11"/>
    <w:rsid w:val="00785E46"/>
    <w:rsid w:val="00787917"/>
    <w:rsid w:val="00791489"/>
    <w:rsid w:val="00791683"/>
    <w:rsid w:val="00792F0C"/>
    <w:rsid w:val="00795460"/>
    <w:rsid w:val="007959C8"/>
    <w:rsid w:val="00796CF7"/>
    <w:rsid w:val="00797059"/>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62DA"/>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D1B"/>
    <w:rsid w:val="00840419"/>
    <w:rsid w:val="00840A24"/>
    <w:rsid w:val="00840F1B"/>
    <w:rsid w:val="0084117A"/>
    <w:rsid w:val="00842827"/>
    <w:rsid w:val="00842965"/>
    <w:rsid w:val="00844300"/>
    <w:rsid w:val="008458BD"/>
    <w:rsid w:val="00846956"/>
    <w:rsid w:val="00846CF1"/>
    <w:rsid w:val="00847622"/>
    <w:rsid w:val="00847757"/>
    <w:rsid w:val="008505B8"/>
    <w:rsid w:val="00851005"/>
    <w:rsid w:val="00851ADD"/>
    <w:rsid w:val="008544ED"/>
    <w:rsid w:val="00855CA6"/>
    <w:rsid w:val="00860323"/>
    <w:rsid w:val="00860F4F"/>
    <w:rsid w:val="008610B9"/>
    <w:rsid w:val="00862656"/>
    <w:rsid w:val="00863013"/>
    <w:rsid w:val="00863F67"/>
    <w:rsid w:val="0086483A"/>
    <w:rsid w:val="0087049C"/>
    <w:rsid w:val="00870AAD"/>
    <w:rsid w:val="00870EDE"/>
    <w:rsid w:val="0087134C"/>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6076"/>
    <w:rsid w:val="008E78F1"/>
    <w:rsid w:val="008F03CE"/>
    <w:rsid w:val="008F075B"/>
    <w:rsid w:val="008F0E9E"/>
    <w:rsid w:val="008F2913"/>
    <w:rsid w:val="008F2A4E"/>
    <w:rsid w:val="008F2AE9"/>
    <w:rsid w:val="008F332B"/>
    <w:rsid w:val="008F52D0"/>
    <w:rsid w:val="008F54F3"/>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2394"/>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2EEB"/>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0E5"/>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3A47"/>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457"/>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5DFF"/>
    <w:rsid w:val="009F6807"/>
    <w:rsid w:val="009F68DF"/>
    <w:rsid w:val="009F6A24"/>
    <w:rsid w:val="00A0042C"/>
    <w:rsid w:val="00A00495"/>
    <w:rsid w:val="00A00FD5"/>
    <w:rsid w:val="00A01925"/>
    <w:rsid w:val="00A01DEB"/>
    <w:rsid w:val="00A065E3"/>
    <w:rsid w:val="00A06D32"/>
    <w:rsid w:val="00A07545"/>
    <w:rsid w:val="00A11CEB"/>
    <w:rsid w:val="00A13947"/>
    <w:rsid w:val="00A13E2B"/>
    <w:rsid w:val="00A1562A"/>
    <w:rsid w:val="00A15901"/>
    <w:rsid w:val="00A1618E"/>
    <w:rsid w:val="00A161A1"/>
    <w:rsid w:val="00A20562"/>
    <w:rsid w:val="00A20F75"/>
    <w:rsid w:val="00A212B1"/>
    <w:rsid w:val="00A22DFD"/>
    <w:rsid w:val="00A26FFF"/>
    <w:rsid w:val="00A30C0F"/>
    <w:rsid w:val="00A316EC"/>
    <w:rsid w:val="00A31804"/>
    <w:rsid w:val="00A318AE"/>
    <w:rsid w:val="00A318C5"/>
    <w:rsid w:val="00A320BA"/>
    <w:rsid w:val="00A32283"/>
    <w:rsid w:val="00A32342"/>
    <w:rsid w:val="00A325EC"/>
    <w:rsid w:val="00A32B81"/>
    <w:rsid w:val="00A337E5"/>
    <w:rsid w:val="00A360B7"/>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61F"/>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13D"/>
    <w:rsid w:val="00A71670"/>
    <w:rsid w:val="00A71974"/>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4E6F"/>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C761E"/>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495"/>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594F"/>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555E"/>
    <w:rsid w:val="00B76C0D"/>
    <w:rsid w:val="00B774A4"/>
    <w:rsid w:val="00B77D0D"/>
    <w:rsid w:val="00B80817"/>
    <w:rsid w:val="00B827E6"/>
    <w:rsid w:val="00B82A28"/>
    <w:rsid w:val="00B82B8D"/>
    <w:rsid w:val="00B82C97"/>
    <w:rsid w:val="00B851D5"/>
    <w:rsid w:val="00B85B06"/>
    <w:rsid w:val="00B86A66"/>
    <w:rsid w:val="00B90558"/>
    <w:rsid w:val="00B92958"/>
    <w:rsid w:val="00B92DE1"/>
    <w:rsid w:val="00B93957"/>
    <w:rsid w:val="00B9404A"/>
    <w:rsid w:val="00B94877"/>
    <w:rsid w:val="00B9491F"/>
    <w:rsid w:val="00B96043"/>
    <w:rsid w:val="00B96F5D"/>
    <w:rsid w:val="00BA02F9"/>
    <w:rsid w:val="00BA1987"/>
    <w:rsid w:val="00BA1F7B"/>
    <w:rsid w:val="00BA2682"/>
    <w:rsid w:val="00BA31E4"/>
    <w:rsid w:val="00BA3959"/>
    <w:rsid w:val="00BA47CC"/>
    <w:rsid w:val="00BA524B"/>
    <w:rsid w:val="00BA54F7"/>
    <w:rsid w:val="00BA576C"/>
    <w:rsid w:val="00BA6205"/>
    <w:rsid w:val="00BA6310"/>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3882"/>
    <w:rsid w:val="00BD4EEC"/>
    <w:rsid w:val="00BD4F34"/>
    <w:rsid w:val="00BD537C"/>
    <w:rsid w:val="00BD6F5B"/>
    <w:rsid w:val="00BD7662"/>
    <w:rsid w:val="00BE05ED"/>
    <w:rsid w:val="00BE2E31"/>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4EAA"/>
    <w:rsid w:val="00BF54BD"/>
    <w:rsid w:val="00BF5892"/>
    <w:rsid w:val="00C01804"/>
    <w:rsid w:val="00C026BC"/>
    <w:rsid w:val="00C02AD4"/>
    <w:rsid w:val="00C03869"/>
    <w:rsid w:val="00C057D2"/>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D2"/>
    <w:rsid w:val="00C57ED3"/>
    <w:rsid w:val="00C61640"/>
    <w:rsid w:val="00C61AA7"/>
    <w:rsid w:val="00C61B8E"/>
    <w:rsid w:val="00C64E8A"/>
    <w:rsid w:val="00C668DE"/>
    <w:rsid w:val="00C7044F"/>
    <w:rsid w:val="00C70F94"/>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4BEC"/>
    <w:rsid w:val="00CD5DBB"/>
    <w:rsid w:val="00CD67E7"/>
    <w:rsid w:val="00CD7388"/>
    <w:rsid w:val="00CE130A"/>
    <w:rsid w:val="00CE23CD"/>
    <w:rsid w:val="00CE247A"/>
    <w:rsid w:val="00CE2A1A"/>
    <w:rsid w:val="00CE2F05"/>
    <w:rsid w:val="00CE349B"/>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0A88"/>
    <w:rsid w:val="00D01A9F"/>
    <w:rsid w:val="00D01CED"/>
    <w:rsid w:val="00D01E38"/>
    <w:rsid w:val="00D022B5"/>
    <w:rsid w:val="00D039B5"/>
    <w:rsid w:val="00D04AA9"/>
    <w:rsid w:val="00D04F76"/>
    <w:rsid w:val="00D053D2"/>
    <w:rsid w:val="00D07D07"/>
    <w:rsid w:val="00D10021"/>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383"/>
    <w:rsid w:val="00D24BB7"/>
    <w:rsid w:val="00D2506D"/>
    <w:rsid w:val="00D25DAC"/>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2C"/>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3A3"/>
    <w:rsid w:val="00DB0F9E"/>
    <w:rsid w:val="00DB1307"/>
    <w:rsid w:val="00DB1E1A"/>
    <w:rsid w:val="00DB2AF6"/>
    <w:rsid w:val="00DB364F"/>
    <w:rsid w:val="00DB39E7"/>
    <w:rsid w:val="00DB3B3E"/>
    <w:rsid w:val="00DB70D2"/>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1BB"/>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1E2E"/>
    <w:rsid w:val="00E03FE3"/>
    <w:rsid w:val="00E055B9"/>
    <w:rsid w:val="00E06951"/>
    <w:rsid w:val="00E10C94"/>
    <w:rsid w:val="00E10EC4"/>
    <w:rsid w:val="00E118D7"/>
    <w:rsid w:val="00E13C44"/>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2BA"/>
    <w:rsid w:val="00E37652"/>
    <w:rsid w:val="00E3768F"/>
    <w:rsid w:val="00E402BC"/>
    <w:rsid w:val="00E41403"/>
    <w:rsid w:val="00E418C7"/>
    <w:rsid w:val="00E41BD7"/>
    <w:rsid w:val="00E428D6"/>
    <w:rsid w:val="00E43284"/>
    <w:rsid w:val="00E445C9"/>
    <w:rsid w:val="00E447C5"/>
    <w:rsid w:val="00E44B1A"/>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4AE"/>
    <w:rsid w:val="00E84C5C"/>
    <w:rsid w:val="00E85533"/>
    <w:rsid w:val="00E86343"/>
    <w:rsid w:val="00E866CD"/>
    <w:rsid w:val="00E86AC6"/>
    <w:rsid w:val="00E86F03"/>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487F"/>
    <w:rsid w:val="00EE6989"/>
    <w:rsid w:val="00EE6C77"/>
    <w:rsid w:val="00EE7604"/>
    <w:rsid w:val="00EE7912"/>
    <w:rsid w:val="00EE7915"/>
    <w:rsid w:val="00EF0325"/>
    <w:rsid w:val="00EF0465"/>
    <w:rsid w:val="00EF13C5"/>
    <w:rsid w:val="00EF16D8"/>
    <w:rsid w:val="00EF28EF"/>
    <w:rsid w:val="00EF2EB9"/>
    <w:rsid w:val="00EF40E7"/>
    <w:rsid w:val="00EF4529"/>
    <w:rsid w:val="00EF5B34"/>
    <w:rsid w:val="00EF5EE9"/>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062"/>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44F6"/>
    <w:rsid w:val="00F74BC0"/>
    <w:rsid w:val="00F75896"/>
    <w:rsid w:val="00F76666"/>
    <w:rsid w:val="00F76ECB"/>
    <w:rsid w:val="00F76EF7"/>
    <w:rsid w:val="00F776B7"/>
    <w:rsid w:val="00F77758"/>
    <w:rsid w:val="00F77BDB"/>
    <w:rsid w:val="00F8031F"/>
    <w:rsid w:val="00F80C5C"/>
    <w:rsid w:val="00F818A5"/>
    <w:rsid w:val="00F8197C"/>
    <w:rsid w:val="00F81BC6"/>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48"/>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2891"/>
    <w:rsid w:val="00FE3B37"/>
    <w:rsid w:val="00FE4B40"/>
    <w:rsid w:val="00FE5DC4"/>
    <w:rsid w:val="00FE6E94"/>
    <w:rsid w:val="00FE76CB"/>
    <w:rsid w:val="00FE7BD8"/>
    <w:rsid w:val="00FF12EF"/>
    <w:rsid w:val="00FF1CC1"/>
    <w:rsid w:val="00FF1D76"/>
    <w:rsid w:val="00FF309E"/>
    <w:rsid w:val="00FF3EE6"/>
    <w:rsid w:val="00FF434C"/>
    <w:rsid w:val="00FF4DD2"/>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ListParagraph">
    <w:name w:val="List Paragraph"/>
    <w:basedOn w:val="Normal"/>
    <w:uiPriority w:val="34"/>
    <w:qFormat/>
    <w:rsid w:val="00746331"/>
    <w:pPr>
      <w:ind w:left="720"/>
      <w:contextualSpacing/>
    </w:pPr>
  </w:style>
  <w:style w:type="paragraph" w:styleId="BalloonText">
    <w:name w:val="Balloon Text"/>
    <w:basedOn w:val="Normal"/>
    <w:link w:val="BalloonTextChar"/>
    <w:semiHidden/>
    <w:unhideWhenUsed/>
    <w:rsid w:val="005E6352"/>
    <w:rPr>
      <w:rFonts w:ascii="Segoe UI" w:hAnsi="Segoe UI" w:cs="Segoe UI"/>
      <w:sz w:val="18"/>
      <w:szCs w:val="18"/>
    </w:rPr>
  </w:style>
  <w:style w:type="character" w:customStyle="1" w:styleId="BalloonTextChar">
    <w:name w:val="Balloon Text Char"/>
    <w:basedOn w:val="DefaultParagraphFont"/>
    <w:link w:val="BalloonText"/>
    <w:semiHidden/>
    <w:rsid w:val="005E635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ListParagraph">
    <w:name w:val="List Paragraph"/>
    <w:basedOn w:val="Normal"/>
    <w:uiPriority w:val="34"/>
    <w:qFormat/>
    <w:rsid w:val="00746331"/>
    <w:pPr>
      <w:ind w:left="720"/>
      <w:contextualSpacing/>
    </w:pPr>
  </w:style>
  <w:style w:type="paragraph" w:styleId="BalloonText">
    <w:name w:val="Balloon Text"/>
    <w:basedOn w:val="Normal"/>
    <w:link w:val="BalloonTextChar"/>
    <w:semiHidden/>
    <w:unhideWhenUsed/>
    <w:rsid w:val="005E6352"/>
    <w:rPr>
      <w:rFonts w:ascii="Segoe UI" w:hAnsi="Segoe UI" w:cs="Segoe UI"/>
      <w:sz w:val="18"/>
      <w:szCs w:val="18"/>
    </w:rPr>
  </w:style>
  <w:style w:type="character" w:customStyle="1" w:styleId="BalloonTextChar">
    <w:name w:val="Balloon Text Char"/>
    <w:basedOn w:val="DefaultParagraphFont"/>
    <w:link w:val="BalloonText"/>
    <w:semiHidden/>
    <w:rsid w:val="005E63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797442">
      <w:bodyDiv w:val="1"/>
      <w:marLeft w:val="0"/>
      <w:marRight w:val="0"/>
      <w:marTop w:val="0"/>
      <w:marBottom w:val="0"/>
      <w:divBdr>
        <w:top w:val="none" w:sz="0" w:space="0" w:color="auto"/>
        <w:left w:val="none" w:sz="0" w:space="0" w:color="auto"/>
        <w:bottom w:val="none" w:sz="0" w:space="0" w:color="auto"/>
        <w:right w:val="none" w:sz="0" w:space="0" w:color="auto"/>
      </w:divBdr>
    </w:div>
    <w:div w:id="1277954300">
      <w:bodyDiv w:val="1"/>
      <w:marLeft w:val="0"/>
      <w:marRight w:val="0"/>
      <w:marTop w:val="0"/>
      <w:marBottom w:val="0"/>
      <w:divBdr>
        <w:top w:val="none" w:sz="0" w:space="0" w:color="auto"/>
        <w:left w:val="none" w:sz="0" w:space="0" w:color="auto"/>
        <w:bottom w:val="none" w:sz="0" w:space="0" w:color="auto"/>
        <w:right w:val="none" w:sz="0" w:space="0" w:color="auto"/>
      </w:divBdr>
    </w:div>
    <w:div w:id="1404328625">
      <w:bodyDiv w:val="1"/>
      <w:marLeft w:val="0"/>
      <w:marRight w:val="0"/>
      <w:marTop w:val="0"/>
      <w:marBottom w:val="0"/>
      <w:divBdr>
        <w:top w:val="none" w:sz="0" w:space="0" w:color="auto"/>
        <w:left w:val="none" w:sz="0" w:space="0" w:color="auto"/>
        <w:bottom w:val="none" w:sz="0" w:space="0" w:color="auto"/>
        <w:right w:val="none" w:sz="0" w:space="0" w:color="auto"/>
      </w:divBdr>
    </w:div>
    <w:div w:id="2126848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chart" Target="charts/chart25.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uba\Downloads\A_56_AR.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ouba\&#1571;&#1593;&#1605;&#1575;&#1604;%20&#1575;&#1604;&#1578;&#1585;&#1580;&#1605;&#1577;\Wipo%20in%20progress\Project%2010%2017%20June%202016\39828\status-treats-WIP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Bouba\&#1571;&#1593;&#1605;&#1575;&#1604;%20&#1575;&#1604;&#1578;&#1585;&#1580;&#1605;&#1577;\Wipo%20in%20progress\Project%2010%2017%20June%202016\39828\status-treats-Lisbon.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Bouba\&#1571;&#1593;&#1605;&#1575;&#1604;%20&#1575;&#1604;&#1578;&#1585;&#1580;&#1605;&#1577;\Wipo%20in%20progress\Project%2010%2017%20June%202016\39828\status-treats-rome.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Bouba\&#1571;&#1593;&#1605;&#1575;&#1604;%20&#1575;&#1604;&#1578;&#1585;&#1580;&#1605;&#1577;\Wipo%20in%20progress\Project%2010%2017%20June%202016\39828\status-treats-locarn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Users\hassan\Desktop\Jobs\39828\2.%20July%2014,%202016\status-treats-PCT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Bouba\&#1571;&#1593;&#1605;&#1575;&#1604;%20&#1575;&#1604;&#1578;&#1585;&#1580;&#1605;&#1577;\Wipo%20in%20progress\Project%2010%2017%20June%202016\39828\status-treats-strasbourg.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Bouba\&#1571;&#1593;&#1605;&#1575;&#1604;%20&#1575;&#1604;&#1578;&#1585;&#1580;&#1605;&#1577;\Wipo%20in%20progress\Project%2010%2017%20June%202016\39828\status-treats-phonogram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Bouba\&#1571;&#1593;&#1605;&#1575;&#1604;%20&#1575;&#1604;&#1578;&#1585;&#1580;&#1605;&#1577;\Wipo%20in%20progress\Project%2010%2017%20June%202016\39828\status-treats-vienna.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Bouba\&#1571;&#1593;&#1605;&#1575;&#1604;%20&#1575;&#1604;&#1578;&#1585;&#1580;&#1605;&#1577;\Wipo%20in%20progress\Project%2010%2017%20June%202016\39828\status-treats-brussel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Bouba\&#1571;&#1593;&#1605;&#1575;&#1604;%20&#1575;&#1604;&#1578;&#1585;&#1580;&#1605;&#1577;\Wipo%20in%20progress\Project%2010%2017%20June%202016\39828\status-treats-budapest.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Bouba\&#1571;&#1593;&#1605;&#1575;&#1604;%20&#1575;&#1604;&#1578;&#1585;&#1580;&#1605;&#1577;\Wipo%20in%20progress\Project%2010%2017%20June%202016\39828\status-treats-nairobi.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Bouba\&#1571;&#1593;&#1605;&#1575;&#1604;%20&#1575;&#1604;&#1578;&#1585;&#1580;&#1605;&#1577;\Wipo%20in%20progress\Project%2010%2017%20June%202016\39828\status-treats-paris.xlsx" TargetMode="External"/><Relationship Id="rId1" Type="http://schemas.openxmlformats.org/officeDocument/2006/relationships/themeOverride" Target="../theme/themeOverride1.xml"/></Relationships>
</file>

<file path=word/charts/_rels/chart20.xml.rels><?xml version="1.0" encoding="UTF-8" standalone="yes"?>
<Relationships xmlns="http://schemas.openxmlformats.org/package/2006/relationships"><Relationship Id="rId1" Type="http://schemas.openxmlformats.org/officeDocument/2006/relationships/oleObject" Target="file:///C:\Users\Bouba\&#1571;&#1593;&#1605;&#1575;&#1604;%20&#1575;&#1604;&#1578;&#1585;&#1580;&#1605;&#1577;\Wipo%20in%20progress\Project%2010%2017%20June%202016\39828\status-treats-TLT.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Bouba\&#1571;&#1593;&#1605;&#1575;&#1604;%20&#1575;&#1604;&#1578;&#1585;&#1580;&#1605;&#1577;\Wipo%20in%20progress\Project%2010%2017%20June%202016\39828\status-treats-WCT.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Bouba\&#1571;&#1593;&#1605;&#1575;&#1604;%20&#1575;&#1604;&#1578;&#1585;&#1580;&#1605;&#1577;\Wipo%20in%20progress\Project%2010%2017%20June%202016\39828\status-treats-WPPT.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Bouba\&#1571;&#1593;&#1605;&#1575;&#1604;%20&#1575;&#1604;&#1578;&#1585;&#1580;&#1605;&#1577;\Wipo%20in%20progress\Project%2010%2017%20June%202016\39828\status-treats-PLT.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Users\hassan\Desktop\Jobs\39828\2.%20July%2014,%202016\status-treats-Singapore.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Users\hassan\Desktop\Jobs\39828\2.%20July%2014,%202016\status-treats-Marrakesh.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Bouba\&#1571;&#1593;&#1605;&#1575;&#1604;%20&#1575;&#1604;&#1578;&#1585;&#1580;&#1605;&#1577;\Wipo%20in%20progress\Project%2010%2017%20June%202016\39828\status-treats-Beiji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ers\hassan\Desktop\Jobs\39828\2.%20July%2014,%202016\status-treats-berne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ouba\&#1571;&#1593;&#1605;&#1575;&#1604;%20&#1575;&#1604;&#1578;&#1585;&#1580;&#1605;&#1577;\Wipo%20in%20progress\Project%2010%2017%20June%202016\39828\status-treats-Madrid-sourc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ouba\&#1571;&#1593;&#1605;&#1575;&#1604;%20&#1575;&#1604;&#1578;&#1585;&#1580;&#1605;&#1577;\Wipo%20in%20progress\Project%2010%2017%20June%202016\39828\status-treats-Madrid-agreeme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Bouba\&#1571;&#1593;&#1605;&#1575;&#1604;%20&#1575;&#1604;&#1578;&#1585;&#1580;&#1605;&#1577;\Wipo%20in%20progress\Project%2010%2017%20June%202016\39828\status-treats-Madrid-protoco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Bouba\&#1571;&#1593;&#1605;&#1575;&#1604;%20&#1575;&#1604;&#1578;&#1585;&#1580;&#1605;&#1577;\Wipo%20in%20progress\Project%2010%2017%20June%202016\39828\Excel%20Done\status-treats-hague%20Agreemen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Users\hassan\Desktop\Jobs\39828\2.%20July%2014,%202016\status-treats-Gva%20Acte%20Hagu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Bouba\&#1571;&#1593;&#1605;&#1575;&#1604;%20&#1575;&#1604;&#1578;&#1585;&#1580;&#1605;&#1577;\Wipo%20in%20progress\Project%2010%2017%20June%202016\39828\status-treats-Ni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'[status-treats-WIPO.xlsx]Sheet1'!$A$1:$F$1</c:f>
              <c:numCache>
                <c:formatCode>General</c:formatCode>
                <c:ptCount val="6"/>
                <c:pt idx="0">
                  <c:v>1970</c:v>
                </c:pt>
                <c:pt idx="1">
                  <c:v>1980</c:v>
                </c:pt>
                <c:pt idx="2">
                  <c:v>1990</c:v>
                </c:pt>
                <c:pt idx="3">
                  <c:v>2000</c:v>
                </c:pt>
                <c:pt idx="4">
                  <c:v>2010</c:v>
                </c:pt>
                <c:pt idx="5">
                  <c:v>2016</c:v>
                </c:pt>
              </c:numCache>
            </c:numRef>
          </c:cat>
          <c:val>
            <c:numRef>
              <c:f>'[status-treats-WIPO.xlsx]Sheet1'!$A$2:$F$2</c:f>
              <c:numCache>
                <c:formatCode>General</c:formatCode>
                <c:ptCount val="6"/>
                <c:pt idx="0">
                  <c:v>13</c:v>
                </c:pt>
                <c:pt idx="1">
                  <c:v>88</c:v>
                </c:pt>
                <c:pt idx="2">
                  <c:v>126</c:v>
                </c:pt>
                <c:pt idx="3">
                  <c:v>175</c:v>
                </c:pt>
                <c:pt idx="4">
                  <c:v>183</c:v>
                </c:pt>
                <c:pt idx="5">
                  <c:v>188</c:v>
                </c:pt>
              </c:numCache>
            </c:numRef>
          </c:val>
        </c:ser>
        <c:dLbls>
          <c:dLblPos val="outEnd"/>
          <c:showLegendKey val="0"/>
          <c:showVal val="1"/>
          <c:showCatName val="0"/>
          <c:showSerName val="0"/>
          <c:showPercent val="0"/>
          <c:showBubbleSize val="0"/>
        </c:dLbls>
        <c:gapWidth val="150"/>
        <c:axId val="278361216"/>
        <c:axId val="294145408"/>
      </c:barChart>
      <c:catAx>
        <c:axId val="278361216"/>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94145408"/>
        <c:crosses val="autoZero"/>
        <c:auto val="1"/>
        <c:lblAlgn val="ctr"/>
        <c:lblOffset val="100"/>
        <c:noMultiLvlLbl val="0"/>
      </c:catAx>
      <c:valAx>
        <c:axId val="294145408"/>
        <c:scaling>
          <c:orientation val="minMax"/>
        </c:scaling>
        <c:delete val="0"/>
        <c:axPos val="r"/>
        <c:title>
          <c:tx>
            <c:rich>
              <a:bodyPr rot="-5400000" vert="horz"/>
              <a:lstStyle/>
              <a:p>
                <a:pPr>
                  <a:defRPr/>
                </a:pPr>
                <a:r>
                  <a:rPr lang="ar-EG"/>
                  <a:t>عدد الأطراف المتعاقدة</a:t>
                </a:r>
                <a:endParaRPr lang="en-US"/>
              </a:p>
            </c:rich>
          </c:tx>
          <c:layout/>
          <c:overlay val="0"/>
        </c:title>
        <c:numFmt formatCode="General" sourceLinked="1"/>
        <c:majorTickMark val="out"/>
        <c:minorTickMark val="none"/>
        <c:tickLblPos val="nextTo"/>
        <c:crossAx val="278361216"/>
        <c:crosses val="autoZero"/>
        <c:crossBetween val="between"/>
      </c:valAx>
      <c:spPr>
        <a:noFill/>
      </c:spPr>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'[status-treats-Lisbon.xlsx]Sheet1'!$A$1:$F$1</c:f>
              <c:numCache>
                <c:formatCode>General</c:formatCode>
                <c:ptCount val="6"/>
                <c:pt idx="0">
                  <c:v>1970</c:v>
                </c:pt>
                <c:pt idx="1">
                  <c:v>1980</c:v>
                </c:pt>
                <c:pt idx="2">
                  <c:v>1990</c:v>
                </c:pt>
                <c:pt idx="3">
                  <c:v>2000</c:v>
                </c:pt>
                <c:pt idx="4">
                  <c:v>2010</c:v>
                </c:pt>
                <c:pt idx="5">
                  <c:v>2016</c:v>
                </c:pt>
              </c:numCache>
            </c:numRef>
          </c:cat>
          <c:val>
            <c:numRef>
              <c:f>'[status-treats-Lisbon.xlsx]Sheet1'!$A$2:$F$2</c:f>
              <c:numCache>
                <c:formatCode>General</c:formatCode>
                <c:ptCount val="6"/>
                <c:pt idx="0">
                  <c:v>9</c:v>
                </c:pt>
                <c:pt idx="1">
                  <c:v>16</c:v>
                </c:pt>
                <c:pt idx="2">
                  <c:v>16</c:v>
                </c:pt>
                <c:pt idx="3">
                  <c:v>19</c:v>
                </c:pt>
                <c:pt idx="4">
                  <c:v>23</c:v>
                </c:pt>
                <c:pt idx="5">
                  <c:v>28</c:v>
                </c:pt>
              </c:numCache>
            </c:numRef>
          </c:val>
        </c:ser>
        <c:dLbls>
          <c:dLblPos val="outEnd"/>
          <c:showLegendKey val="0"/>
          <c:showVal val="1"/>
          <c:showCatName val="0"/>
          <c:showSerName val="0"/>
          <c:showPercent val="0"/>
          <c:showBubbleSize val="0"/>
        </c:dLbls>
        <c:gapWidth val="150"/>
        <c:axId val="275018880"/>
        <c:axId val="275026304"/>
      </c:barChart>
      <c:catAx>
        <c:axId val="275018880"/>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75026304"/>
        <c:crosses val="autoZero"/>
        <c:auto val="1"/>
        <c:lblAlgn val="ctr"/>
        <c:lblOffset val="100"/>
        <c:noMultiLvlLbl val="0"/>
      </c:catAx>
      <c:valAx>
        <c:axId val="275026304"/>
        <c:scaling>
          <c:orientation val="minMax"/>
        </c:scaling>
        <c:delete val="0"/>
        <c:axPos val="r"/>
        <c:title>
          <c:tx>
            <c:rich>
              <a:bodyPr rot="-5400000" vert="horz"/>
              <a:lstStyle/>
              <a:p>
                <a:pPr>
                  <a:defRPr/>
                </a:pPr>
                <a:r>
                  <a:rPr lang="ar-EG"/>
                  <a:t>عدد الأطراف المتعاقدة</a:t>
                </a:r>
                <a:endParaRPr lang="en-US"/>
              </a:p>
            </c:rich>
          </c:tx>
          <c:layout/>
          <c:overlay val="0"/>
        </c:title>
        <c:numFmt formatCode="General" sourceLinked="1"/>
        <c:majorTickMark val="out"/>
        <c:minorTickMark val="none"/>
        <c:tickLblPos val="nextTo"/>
        <c:crossAx val="275018880"/>
        <c:crosses val="autoZero"/>
        <c:crossBetween val="between"/>
        <c:majorUnit val="10"/>
      </c:valAx>
      <c:spPr>
        <a:noFill/>
      </c:spPr>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'[status-treats-rome.xlsx]Sheet1'!$A$1:$F$1</c:f>
              <c:numCache>
                <c:formatCode>General</c:formatCode>
                <c:ptCount val="6"/>
                <c:pt idx="0">
                  <c:v>1970</c:v>
                </c:pt>
                <c:pt idx="1">
                  <c:v>1980</c:v>
                </c:pt>
                <c:pt idx="2">
                  <c:v>1990</c:v>
                </c:pt>
                <c:pt idx="3">
                  <c:v>2000</c:v>
                </c:pt>
                <c:pt idx="4">
                  <c:v>2010</c:v>
                </c:pt>
                <c:pt idx="5">
                  <c:v>2016</c:v>
                </c:pt>
              </c:numCache>
            </c:numRef>
          </c:cat>
          <c:val>
            <c:numRef>
              <c:f>'[status-treats-rome.xlsx]Sheet1'!$A$2:$F$2</c:f>
              <c:numCache>
                <c:formatCode>General</c:formatCode>
                <c:ptCount val="6"/>
                <c:pt idx="0">
                  <c:v>11</c:v>
                </c:pt>
                <c:pt idx="1">
                  <c:v>23</c:v>
                </c:pt>
                <c:pt idx="2">
                  <c:v>35</c:v>
                </c:pt>
                <c:pt idx="3">
                  <c:v>67</c:v>
                </c:pt>
                <c:pt idx="4">
                  <c:v>81</c:v>
                </c:pt>
                <c:pt idx="5">
                  <c:v>92</c:v>
                </c:pt>
              </c:numCache>
            </c:numRef>
          </c:val>
        </c:ser>
        <c:dLbls>
          <c:dLblPos val="outEnd"/>
          <c:showLegendKey val="0"/>
          <c:showVal val="1"/>
          <c:showCatName val="0"/>
          <c:showSerName val="0"/>
          <c:showPercent val="0"/>
          <c:showBubbleSize val="0"/>
        </c:dLbls>
        <c:gapWidth val="150"/>
        <c:axId val="275034496"/>
        <c:axId val="275040896"/>
      </c:barChart>
      <c:catAx>
        <c:axId val="275034496"/>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75040896"/>
        <c:crosses val="autoZero"/>
        <c:auto val="1"/>
        <c:lblAlgn val="ctr"/>
        <c:lblOffset val="100"/>
        <c:noMultiLvlLbl val="0"/>
      </c:catAx>
      <c:valAx>
        <c:axId val="275040896"/>
        <c:scaling>
          <c:orientation val="minMax"/>
        </c:scaling>
        <c:delete val="0"/>
        <c:axPos val="r"/>
        <c:title>
          <c:tx>
            <c:rich>
              <a:bodyPr rot="-5400000" vert="horz"/>
              <a:lstStyle/>
              <a:p>
                <a:pPr>
                  <a:defRPr/>
                </a:pPr>
                <a:r>
                  <a:rPr lang="ar-EG"/>
                  <a:t>عدد الأطراف المتعاقدة</a:t>
                </a:r>
                <a:endParaRPr lang="en-US"/>
              </a:p>
            </c:rich>
          </c:tx>
          <c:layout/>
          <c:overlay val="0"/>
        </c:title>
        <c:numFmt formatCode="General" sourceLinked="1"/>
        <c:majorTickMark val="out"/>
        <c:minorTickMark val="none"/>
        <c:tickLblPos val="nextTo"/>
        <c:crossAx val="275034496"/>
        <c:crosses val="autoZero"/>
        <c:crossBetween val="between"/>
        <c:majorUnit val="10"/>
      </c:valAx>
      <c:spPr>
        <a:noFill/>
      </c:spPr>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'[status-treats-locarno.xlsx]Sheet1'!$A$1:$F$1</c:f>
              <c:numCache>
                <c:formatCode>General</c:formatCode>
                <c:ptCount val="6"/>
                <c:pt idx="0">
                  <c:v>1972</c:v>
                </c:pt>
                <c:pt idx="1">
                  <c:v>1980</c:v>
                </c:pt>
                <c:pt idx="2">
                  <c:v>1990</c:v>
                </c:pt>
                <c:pt idx="3">
                  <c:v>2000</c:v>
                </c:pt>
                <c:pt idx="4">
                  <c:v>2010</c:v>
                </c:pt>
                <c:pt idx="5">
                  <c:v>2016</c:v>
                </c:pt>
              </c:numCache>
            </c:numRef>
          </c:cat>
          <c:val>
            <c:numRef>
              <c:f>'[status-treats-locarno.xlsx]Sheet1'!$A$2:$F$2</c:f>
              <c:numCache>
                <c:formatCode>General</c:formatCode>
                <c:ptCount val="6"/>
                <c:pt idx="0">
                  <c:v>7</c:v>
                </c:pt>
                <c:pt idx="1">
                  <c:v>15</c:v>
                </c:pt>
                <c:pt idx="2">
                  <c:v>15</c:v>
                </c:pt>
                <c:pt idx="3">
                  <c:v>37</c:v>
                </c:pt>
                <c:pt idx="4">
                  <c:v>45</c:v>
                </c:pt>
                <c:pt idx="5">
                  <c:v>54</c:v>
                </c:pt>
              </c:numCache>
            </c:numRef>
          </c:val>
        </c:ser>
        <c:dLbls>
          <c:dLblPos val="outEnd"/>
          <c:showLegendKey val="0"/>
          <c:showVal val="1"/>
          <c:showCatName val="0"/>
          <c:showSerName val="0"/>
          <c:showPercent val="0"/>
          <c:showBubbleSize val="0"/>
        </c:dLbls>
        <c:gapWidth val="150"/>
        <c:axId val="275044608"/>
        <c:axId val="275067648"/>
      </c:barChart>
      <c:catAx>
        <c:axId val="275044608"/>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75067648"/>
        <c:crosses val="autoZero"/>
        <c:auto val="1"/>
        <c:lblAlgn val="ctr"/>
        <c:lblOffset val="100"/>
        <c:noMultiLvlLbl val="0"/>
      </c:catAx>
      <c:valAx>
        <c:axId val="275067648"/>
        <c:scaling>
          <c:orientation val="minMax"/>
        </c:scaling>
        <c:delete val="0"/>
        <c:axPos val="r"/>
        <c:title>
          <c:tx>
            <c:rich>
              <a:bodyPr rot="-5400000" vert="horz"/>
              <a:lstStyle/>
              <a:p>
                <a:pPr>
                  <a:defRPr/>
                </a:pPr>
                <a:r>
                  <a:rPr lang="ar-EG"/>
                  <a:t>عدد الأطراف المتعاقدة</a:t>
                </a:r>
                <a:endParaRPr lang="en-US"/>
              </a:p>
            </c:rich>
          </c:tx>
          <c:layout/>
          <c:overlay val="0"/>
        </c:title>
        <c:numFmt formatCode="General" sourceLinked="1"/>
        <c:majorTickMark val="out"/>
        <c:minorTickMark val="none"/>
        <c:tickLblPos val="nextTo"/>
        <c:crossAx val="275044608"/>
        <c:crosses val="autoZero"/>
        <c:crossBetween val="between"/>
        <c:majorUnit val="10"/>
      </c:valAx>
      <c:spPr>
        <a:noFill/>
      </c:spPr>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numRef>
              <c:f>Sheet1!$A$1:$F$1</c:f>
              <c:numCache>
                <c:formatCode>General</c:formatCode>
                <c:ptCount val="6"/>
                <c:pt idx="0">
                  <c:v>1978</c:v>
                </c:pt>
                <c:pt idx="1">
                  <c:v>1980</c:v>
                </c:pt>
                <c:pt idx="2">
                  <c:v>1990</c:v>
                </c:pt>
                <c:pt idx="3">
                  <c:v>2000</c:v>
                </c:pt>
                <c:pt idx="4">
                  <c:v>2010</c:v>
                </c:pt>
                <c:pt idx="5">
                  <c:v>2016</c:v>
                </c:pt>
              </c:numCache>
            </c:numRef>
          </c:cat>
          <c:val>
            <c:numRef>
              <c:f>Sheet1!$A$2:$F$2</c:f>
              <c:numCache>
                <c:formatCode>General</c:formatCode>
                <c:ptCount val="6"/>
                <c:pt idx="0">
                  <c:v>15</c:v>
                </c:pt>
                <c:pt idx="1">
                  <c:v>27</c:v>
                </c:pt>
                <c:pt idx="2">
                  <c:v>43</c:v>
                </c:pt>
                <c:pt idx="3">
                  <c:v>108</c:v>
                </c:pt>
                <c:pt idx="4">
                  <c:v>128</c:v>
                </c:pt>
                <c:pt idx="5">
                  <c:v>150</c:v>
                </c:pt>
              </c:numCache>
            </c:numRef>
          </c:val>
        </c:ser>
        <c:dLbls>
          <c:dLblPos val="outEnd"/>
          <c:showLegendKey val="0"/>
          <c:showVal val="1"/>
          <c:showCatName val="0"/>
          <c:showSerName val="0"/>
          <c:showPercent val="0"/>
          <c:showBubbleSize val="0"/>
        </c:dLbls>
        <c:gapWidth val="150"/>
        <c:axId val="275092608"/>
        <c:axId val="275094528"/>
      </c:barChart>
      <c:catAx>
        <c:axId val="275092608"/>
        <c:scaling>
          <c:orientation val="maxMin"/>
        </c:scaling>
        <c:delete val="0"/>
        <c:axPos val="b"/>
        <c:title>
          <c:tx>
            <c:rich>
              <a:bodyPr/>
              <a:lstStyle/>
              <a:p>
                <a:pPr>
                  <a:defRPr/>
                </a:pPr>
                <a:r>
                  <a:rPr lang="ar-SA"/>
                  <a:t>السنة</a:t>
                </a:r>
                <a:endParaRPr lang="en-US"/>
              </a:p>
            </c:rich>
          </c:tx>
          <c:layout/>
          <c:overlay val="0"/>
        </c:title>
        <c:numFmt formatCode="General" sourceLinked="1"/>
        <c:majorTickMark val="out"/>
        <c:minorTickMark val="none"/>
        <c:tickLblPos val="nextTo"/>
        <c:crossAx val="275094528"/>
        <c:crosses val="autoZero"/>
        <c:auto val="1"/>
        <c:lblAlgn val="ctr"/>
        <c:lblOffset val="100"/>
        <c:noMultiLvlLbl val="0"/>
      </c:catAx>
      <c:valAx>
        <c:axId val="275094528"/>
        <c:scaling>
          <c:orientation val="minMax"/>
        </c:scaling>
        <c:delete val="0"/>
        <c:axPos val="r"/>
        <c:title>
          <c:tx>
            <c:rich>
              <a:bodyPr rot="-5400000" vert="horz"/>
              <a:lstStyle/>
              <a:p>
                <a:pPr>
                  <a:defRPr/>
                </a:pPr>
                <a:r>
                  <a:rPr lang="ar-SA"/>
                  <a:t>عدد</a:t>
                </a:r>
                <a:r>
                  <a:rPr lang="ar-SA" baseline="0"/>
                  <a:t> الأطراف المتعاقدة</a:t>
                </a:r>
                <a:endParaRPr lang="en-US"/>
              </a:p>
            </c:rich>
          </c:tx>
          <c:layout/>
          <c:overlay val="0"/>
        </c:title>
        <c:numFmt formatCode="General" sourceLinked="1"/>
        <c:majorTickMark val="out"/>
        <c:minorTickMark val="none"/>
        <c:tickLblPos val="nextTo"/>
        <c:crossAx val="275092608"/>
        <c:crosses val="autoZero"/>
        <c:crossBetween val="between"/>
        <c:majorUnit val="20"/>
      </c:valAx>
      <c:spPr>
        <a:noFill/>
      </c:spPr>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'[status-treats-strasbourg.xlsx]Sheet1'!$A$1:$F$1</c:f>
              <c:numCache>
                <c:formatCode>General</c:formatCode>
                <c:ptCount val="6"/>
                <c:pt idx="0">
                  <c:v>1976</c:v>
                </c:pt>
                <c:pt idx="1">
                  <c:v>1980</c:v>
                </c:pt>
                <c:pt idx="2">
                  <c:v>1990</c:v>
                </c:pt>
                <c:pt idx="3">
                  <c:v>2000</c:v>
                </c:pt>
                <c:pt idx="4">
                  <c:v>2010</c:v>
                </c:pt>
                <c:pt idx="5">
                  <c:v>2016</c:v>
                </c:pt>
              </c:numCache>
            </c:numRef>
          </c:cat>
          <c:val>
            <c:numRef>
              <c:f>'[status-treats-strasbourg.xlsx]Sheet1'!$A$2:$F$2</c:f>
              <c:numCache>
                <c:formatCode>General</c:formatCode>
                <c:ptCount val="6"/>
                <c:pt idx="0">
                  <c:v>20</c:v>
                </c:pt>
                <c:pt idx="1">
                  <c:v>27</c:v>
                </c:pt>
                <c:pt idx="2">
                  <c:v>27</c:v>
                </c:pt>
                <c:pt idx="3">
                  <c:v>45</c:v>
                </c:pt>
                <c:pt idx="4">
                  <c:v>55</c:v>
                </c:pt>
                <c:pt idx="5">
                  <c:v>62</c:v>
                </c:pt>
              </c:numCache>
            </c:numRef>
          </c:val>
        </c:ser>
        <c:dLbls>
          <c:dLblPos val="outEnd"/>
          <c:showLegendKey val="0"/>
          <c:showVal val="1"/>
          <c:showCatName val="0"/>
          <c:showSerName val="0"/>
          <c:showPercent val="0"/>
          <c:showBubbleSize val="0"/>
        </c:dLbls>
        <c:gapWidth val="150"/>
        <c:axId val="275117952"/>
        <c:axId val="275981440"/>
      </c:barChart>
      <c:catAx>
        <c:axId val="275117952"/>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75981440"/>
        <c:crosses val="autoZero"/>
        <c:auto val="1"/>
        <c:lblAlgn val="ctr"/>
        <c:lblOffset val="100"/>
        <c:noMultiLvlLbl val="0"/>
      </c:catAx>
      <c:valAx>
        <c:axId val="275981440"/>
        <c:scaling>
          <c:orientation val="minMax"/>
        </c:scaling>
        <c:delete val="0"/>
        <c:axPos val="r"/>
        <c:title>
          <c:tx>
            <c:rich>
              <a:bodyPr rot="-5400000" vert="horz"/>
              <a:lstStyle/>
              <a:p>
                <a:pPr>
                  <a:defRPr/>
                </a:pPr>
                <a:r>
                  <a:rPr lang="ar-EG"/>
                  <a:t>عدد الأطراف المتعاقدة</a:t>
                </a:r>
                <a:endParaRPr lang="en-US"/>
              </a:p>
            </c:rich>
          </c:tx>
          <c:layout/>
          <c:overlay val="0"/>
        </c:title>
        <c:numFmt formatCode="General" sourceLinked="1"/>
        <c:majorTickMark val="out"/>
        <c:minorTickMark val="none"/>
        <c:tickLblPos val="nextTo"/>
        <c:crossAx val="275117952"/>
        <c:crosses val="autoZero"/>
        <c:crossBetween val="between"/>
        <c:majorUnit val="10"/>
      </c:valAx>
      <c:spPr>
        <a:noFill/>
      </c:spPr>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'[status-treats-phonograms.xlsx]Sheet1'!$A$1:$F$1</c:f>
              <c:numCache>
                <c:formatCode>General</c:formatCode>
                <c:ptCount val="6"/>
                <c:pt idx="0">
                  <c:v>1974</c:v>
                </c:pt>
                <c:pt idx="1">
                  <c:v>1980</c:v>
                </c:pt>
                <c:pt idx="2">
                  <c:v>1990</c:v>
                </c:pt>
                <c:pt idx="3">
                  <c:v>2000</c:v>
                </c:pt>
                <c:pt idx="4">
                  <c:v>2010</c:v>
                </c:pt>
                <c:pt idx="5">
                  <c:v>2016</c:v>
                </c:pt>
              </c:numCache>
            </c:numRef>
          </c:cat>
          <c:val>
            <c:numRef>
              <c:f>'[status-treats-phonograms.xlsx]Sheet1'!$A$2:$F$2</c:f>
              <c:numCache>
                <c:formatCode>General</c:formatCode>
                <c:ptCount val="6"/>
                <c:pt idx="0">
                  <c:v>8</c:v>
                </c:pt>
                <c:pt idx="1">
                  <c:v>32</c:v>
                </c:pt>
                <c:pt idx="2">
                  <c:v>43</c:v>
                </c:pt>
                <c:pt idx="3">
                  <c:v>64</c:v>
                </c:pt>
                <c:pt idx="4">
                  <c:v>74</c:v>
                </c:pt>
                <c:pt idx="5">
                  <c:v>78</c:v>
                </c:pt>
              </c:numCache>
            </c:numRef>
          </c:val>
        </c:ser>
        <c:dLbls>
          <c:dLblPos val="outEnd"/>
          <c:showLegendKey val="0"/>
          <c:showVal val="1"/>
          <c:showCatName val="0"/>
          <c:showSerName val="0"/>
          <c:showPercent val="0"/>
          <c:showBubbleSize val="0"/>
        </c:dLbls>
        <c:gapWidth val="150"/>
        <c:axId val="276008960"/>
        <c:axId val="276012032"/>
      </c:barChart>
      <c:catAx>
        <c:axId val="276008960"/>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76012032"/>
        <c:crosses val="autoZero"/>
        <c:auto val="1"/>
        <c:lblAlgn val="ctr"/>
        <c:lblOffset val="100"/>
        <c:noMultiLvlLbl val="0"/>
      </c:catAx>
      <c:valAx>
        <c:axId val="276012032"/>
        <c:scaling>
          <c:orientation val="minMax"/>
        </c:scaling>
        <c:delete val="0"/>
        <c:axPos val="r"/>
        <c:title>
          <c:tx>
            <c:rich>
              <a:bodyPr rot="-5400000" vert="horz"/>
              <a:lstStyle/>
              <a:p>
                <a:pPr>
                  <a:defRPr/>
                </a:pPr>
                <a:r>
                  <a:rPr lang="ar-EG"/>
                  <a:t>عدد الأطراف المتعاقدة</a:t>
                </a:r>
                <a:endParaRPr lang="en-US"/>
              </a:p>
            </c:rich>
          </c:tx>
          <c:layout/>
          <c:overlay val="0"/>
        </c:title>
        <c:numFmt formatCode="General" sourceLinked="1"/>
        <c:majorTickMark val="out"/>
        <c:minorTickMark val="none"/>
        <c:tickLblPos val="nextTo"/>
        <c:crossAx val="276008960"/>
        <c:crosses val="autoZero"/>
        <c:crossBetween val="between"/>
        <c:majorUnit val="10"/>
      </c:valAx>
      <c:spPr>
        <a:noFill/>
      </c:spPr>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'[status-treats-vienna.xlsx]Sheet1'!$A$1:$F$1</c:f>
              <c:numCache>
                <c:formatCode>General</c:formatCode>
                <c:ptCount val="6"/>
                <c:pt idx="0">
                  <c:v>1986</c:v>
                </c:pt>
                <c:pt idx="1">
                  <c:v>1990</c:v>
                </c:pt>
                <c:pt idx="2">
                  <c:v>2000</c:v>
                </c:pt>
                <c:pt idx="3">
                  <c:v>2010</c:v>
                </c:pt>
                <c:pt idx="4">
                  <c:v>2016</c:v>
                </c:pt>
              </c:numCache>
            </c:numRef>
          </c:cat>
          <c:val>
            <c:numRef>
              <c:f>'[status-treats-vienna.xlsx]Sheet1'!$A$2:$F$2</c:f>
              <c:numCache>
                <c:formatCode>General</c:formatCode>
                <c:ptCount val="6"/>
                <c:pt idx="0">
                  <c:v>5</c:v>
                </c:pt>
                <c:pt idx="1">
                  <c:v>5</c:v>
                </c:pt>
                <c:pt idx="2">
                  <c:v>15</c:v>
                </c:pt>
                <c:pt idx="3">
                  <c:v>20</c:v>
                </c:pt>
                <c:pt idx="4">
                  <c:v>32</c:v>
                </c:pt>
              </c:numCache>
            </c:numRef>
          </c:val>
        </c:ser>
        <c:dLbls>
          <c:dLblPos val="outEnd"/>
          <c:showLegendKey val="0"/>
          <c:showVal val="1"/>
          <c:showCatName val="0"/>
          <c:showSerName val="0"/>
          <c:showPercent val="0"/>
          <c:showBubbleSize val="0"/>
        </c:dLbls>
        <c:gapWidth val="150"/>
        <c:axId val="276019072"/>
        <c:axId val="276051072"/>
      </c:barChart>
      <c:catAx>
        <c:axId val="276019072"/>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76051072"/>
        <c:crosses val="autoZero"/>
        <c:auto val="1"/>
        <c:lblAlgn val="ctr"/>
        <c:lblOffset val="100"/>
        <c:noMultiLvlLbl val="0"/>
      </c:catAx>
      <c:valAx>
        <c:axId val="276051072"/>
        <c:scaling>
          <c:orientation val="minMax"/>
        </c:scaling>
        <c:delete val="0"/>
        <c:axPos val="r"/>
        <c:title>
          <c:tx>
            <c:rich>
              <a:bodyPr rot="-5400000" vert="horz"/>
              <a:lstStyle/>
              <a:p>
                <a:pPr>
                  <a:defRPr/>
                </a:pPr>
                <a:r>
                  <a:rPr lang="ar-EG"/>
                  <a:t>عدد الأطراف المتعاقدة</a:t>
                </a:r>
                <a:endParaRPr lang="en-US"/>
              </a:p>
            </c:rich>
          </c:tx>
          <c:layout/>
          <c:overlay val="0"/>
        </c:title>
        <c:numFmt formatCode="General" sourceLinked="1"/>
        <c:majorTickMark val="out"/>
        <c:minorTickMark val="none"/>
        <c:tickLblPos val="nextTo"/>
        <c:crossAx val="276019072"/>
        <c:crosses val="autoZero"/>
        <c:crossBetween val="between"/>
        <c:majorUnit val="10"/>
      </c:valAx>
      <c:spPr>
        <a:noFill/>
      </c:spPr>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'[status-treats-brussels.xlsx]Sheet1'!$A$1:$F$1</c:f>
              <c:numCache>
                <c:formatCode>General</c:formatCode>
                <c:ptCount val="6"/>
                <c:pt idx="0">
                  <c:v>1980</c:v>
                </c:pt>
                <c:pt idx="1">
                  <c:v>1990</c:v>
                </c:pt>
                <c:pt idx="2">
                  <c:v>2000</c:v>
                </c:pt>
                <c:pt idx="3">
                  <c:v>2010</c:v>
                </c:pt>
                <c:pt idx="4">
                  <c:v>2016</c:v>
                </c:pt>
              </c:numCache>
            </c:numRef>
          </c:cat>
          <c:val>
            <c:numRef>
              <c:f>'[status-treats-brussels.xlsx]Sheet1'!$A$2:$F$2</c:f>
              <c:numCache>
                <c:formatCode>General</c:formatCode>
                <c:ptCount val="6"/>
                <c:pt idx="0">
                  <c:v>5</c:v>
                </c:pt>
                <c:pt idx="1">
                  <c:v>12</c:v>
                </c:pt>
                <c:pt idx="2">
                  <c:v>24</c:v>
                </c:pt>
                <c:pt idx="3">
                  <c:v>27</c:v>
                </c:pt>
                <c:pt idx="4">
                  <c:v>37</c:v>
                </c:pt>
              </c:numCache>
            </c:numRef>
          </c:val>
        </c:ser>
        <c:dLbls>
          <c:dLblPos val="outEnd"/>
          <c:showLegendKey val="0"/>
          <c:showVal val="1"/>
          <c:showCatName val="0"/>
          <c:showSerName val="0"/>
          <c:showPercent val="0"/>
          <c:showBubbleSize val="0"/>
        </c:dLbls>
        <c:gapWidth val="150"/>
        <c:axId val="276061568"/>
        <c:axId val="276073088"/>
      </c:barChart>
      <c:catAx>
        <c:axId val="276061568"/>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76073088"/>
        <c:crosses val="autoZero"/>
        <c:auto val="1"/>
        <c:lblAlgn val="ctr"/>
        <c:lblOffset val="100"/>
        <c:noMultiLvlLbl val="0"/>
      </c:catAx>
      <c:valAx>
        <c:axId val="276073088"/>
        <c:scaling>
          <c:orientation val="minMax"/>
        </c:scaling>
        <c:delete val="0"/>
        <c:axPos val="r"/>
        <c:title>
          <c:tx>
            <c:rich>
              <a:bodyPr rot="-5400000" vert="horz"/>
              <a:lstStyle/>
              <a:p>
                <a:pPr>
                  <a:defRPr/>
                </a:pPr>
                <a:r>
                  <a:rPr lang="ar-EG"/>
                  <a:t>عدد الأطراف المتعاقدة</a:t>
                </a:r>
                <a:endParaRPr lang="en-US"/>
              </a:p>
            </c:rich>
          </c:tx>
          <c:layout/>
          <c:overlay val="0"/>
        </c:title>
        <c:numFmt formatCode="General" sourceLinked="1"/>
        <c:majorTickMark val="out"/>
        <c:minorTickMark val="none"/>
        <c:tickLblPos val="nextTo"/>
        <c:crossAx val="276061568"/>
        <c:crosses val="autoZero"/>
        <c:crossBetween val="between"/>
        <c:majorUnit val="10"/>
      </c:valAx>
      <c:spPr>
        <a:noFill/>
      </c:spPr>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'[status-treats-budapest.xlsx]Sheet1'!$A$1:$F$1</c:f>
              <c:numCache>
                <c:formatCode>General</c:formatCode>
                <c:ptCount val="6"/>
                <c:pt idx="0">
                  <c:v>1981</c:v>
                </c:pt>
                <c:pt idx="1">
                  <c:v>1990</c:v>
                </c:pt>
                <c:pt idx="2">
                  <c:v>2000</c:v>
                </c:pt>
                <c:pt idx="3">
                  <c:v>2010</c:v>
                </c:pt>
                <c:pt idx="4">
                  <c:v>2016</c:v>
                </c:pt>
              </c:numCache>
            </c:numRef>
          </c:cat>
          <c:val>
            <c:numRef>
              <c:f>'[status-treats-budapest.xlsx]Sheet1'!$A$2:$F$2</c:f>
              <c:numCache>
                <c:formatCode>General</c:formatCode>
                <c:ptCount val="6"/>
                <c:pt idx="0">
                  <c:v>8</c:v>
                </c:pt>
                <c:pt idx="1">
                  <c:v>24</c:v>
                </c:pt>
                <c:pt idx="2">
                  <c:v>48</c:v>
                </c:pt>
                <c:pt idx="3">
                  <c:v>61</c:v>
                </c:pt>
                <c:pt idx="4">
                  <c:v>80</c:v>
                </c:pt>
              </c:numCache>
            </c:numRef>
          </c:val>
        </c:ser>
        <c:dLbls>
          <c:dLblPos val="outEnd"/>
          <c:showLegendKey val="0"/>
          <c:showVal val="1"/>
          <c:showCatName val="0"/>
          <c:showSerName val="0"/>
          <c:showPercent val="0"/>
          <c:showBubbleSize val="0"/>
        </c:dLbls>
        <c:gapWidth val="150"/>
        <c:axId val="276096512"/>
        <c:axId val="276108032"/>
      </c:barChart>
      <c:catAx>
        <c:axId val="276096512"/>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76108032"/>
        <c:crosses val="autoZero"/>
        <c:auto val="1"/>
        <c:lblAlgn val="ctr"/>
        <c:lblOffset val="100"/>
        <c:noMultiLvlLbl val="0"/>
      </c:catAx>
      <c:valAx>
        <c:axId val="276108032"/>
        <c:scaling>
          <c:orientation val="minMax"/>
        </c:scaling>
        <c:delete val="0"/>
        <c:axPos val="r"/>
        <c:title>
          <c:tx>
            <c:rich>
              <a:bodyPr rot="-5400000" vert="horz"/>
              <a:lstStyle/>
              <a:p>
                <a:pPr>
                  <a:defRPr/>
                </a:pPr>
                <a:r>
                  <a:rPr lang="ar-EG"/>
                  <a:t>عدد الأطراف المتعاقدة</a:t>
                </a:r>
                <a:endParaRPr lang="en-US"/>
              </a:p>
            </c:rich>
          </c:tx>
          <c:layout/>
          <c:overlay val="0"/>
        </c:title>
        <c:numFmt formatCode="General" sourceLinked="1"/>
        <c:majorTickMark val="out"/>
        <c:minorTickMark val="none"/>
        <c:tickLblPos val="nextTo"/>
        <c:crossAx val="276096512"/>
        <c:crosses val="autoZero"/>
        <c:crossBetween val="between"/>
        <c:majorUnit val="10"/>
      </c:valAx>
      <c:spPr>
        <a:noFill/>
      </c:spPr>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'[status-treats-nairobi.xlsx]Sheet1'!$A$1:$F$1</c:f>
              <c:numCache>
                <c:formatCode>General</c:formatCode>
                <c:ptCount val="6"/>
                <c:pt idx="0">
                  <c:v>1983</c:v>
                </c:pt>
                <c:pt idx="1">
                  <c:v>1985</c:v>
                </c:pt>
                <c:pt idx="2">
                  <c:v>1990</c:v>
                </c:pt>
                <c:pt idx="3">
                  <c:v>2000</c:v>
                </c:pt>
                <c:pt idx="4">
                  <c:v>2010</c:v>
                </c:pt>
                <c:pt idx="5">
                  <c:v>2016</c:v>
                </c:pt>
              </c:numCache>
            </c:numRef>
          </c:cat>
          <c:val>
            <c:numRef>
              <c:f>'[status-treats-nairobi.xlsx]Sheet1'!$A$2:$F$2</c:f>
              <c:numCache>
                <c:formatCode>General</c:formatCode>
                <c:ptCount val="6"/>
                <c:pt idx="0">
                  <c:v>4</c:v>
                </c:pt>
                <c:pt idx="1">
                  <c:v>23</c:v>
                </c:pt>
                <c:pt idx="2">
                  <c:v>32</c:v>
                </c:pt>
                <c:pt idx="3">
                  <c:v>40</c:v>
                </c:pt>
                <c:pt idx="4">
                  <c:v>44</c:v>
                </c:pt>
                <c:pt idx="5">
                  <c:v>52</c:v>
                </c:pt>
              </c:numCache>
            </c:numRef>
          </c:val>
        </c:ser>
        <c:dLbls>
          <c:dLblPos val="outEnd"/>
          <c:showLegendKey val="0"/>
          <c:showVal val="1"/>
          <c:showCatName val="0"/>
          <c:showSerName val="0"/>
          <c:showPercent val="0"/>
          <c:showBubbleSize val="0"/>
        </c:dLbls>
        <c:gapWidth val="150"/>
        <c:axId val="276111744"/>
        <c:axId val="276126336"/>
      </c:barChart>
      <c:catAx>
        <c:axId val="276111744"/>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76126336"/>
        <c:crosses val="autoZero"/>
        <c:auto val="1"/>
        <c:lblAlgn val="ctr"/>
        <c:lblOffset val="100"/>
        <c:noMultiLvlLbl val="0"/>
      </c:catAx>
      <c:valAx>
        <c:axId val="276126336"/>
        <c:scaling>
          <c:orientation val="minMax"/>
        </c:scaling>
        <c:delete val="0"/>
        <c:axPos val="r"/>
        <c:title>
          <c:tx>
            <c:rich>
              <a:bodyPr rot="-5400000" vert="horz"/>
              <a:lstStyle/>
              <a:p>
                <a:pPr>
                  <a:defRPr/>
                </a:pPr>
                <a:r>
                  <a:rPr lang="ar-EG"/>
                  <a:t>عدد الأطراف المتعاقدة</a:t>
                </a:r>
                <a:endParaRPr lang="en-US"/>
              </a:p>
            </c:rich>
          </c:tx>
          <c:layout/>
          <c:overlay val="0"/>
        </c:title>
        <c:numFmt formatCode="General" sourceLinked="1"/>
        <c:majorTickMark val="out"/>
        <c:minorTickMark val="none"/>
        <c:tickLblPos val="nextTo"/>
        <c:crossAx val="276111744"/>
        <c:crosses val="autoZero"/>
        <c:crossBetween val="between"/>
        <c:majorUnit val="10"/>
      </c:valAx>
      <c:spPr>
        <a:noFill/>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'[status-treats-paris.xlsx]Sheet1'!$A$1:$F$1</c:f>
              <c:numCache>
                <c:formatCode>General</c:formatCode>
                <c:ptCount val="6"/>
                <c:pt idx="0">
                  <c:v>1970</c:v>
                </c:pt>
                <c:pt idx="1">
                  <c:v>1980</c:v>
                </c:pt>
                <c:pt idx="2">
                  <c:v>1990</c:v>
                </c:pt>
                <c:pt idx="3">
                  <c:v>2000</c:v>
                </c:pt>
                <c:pt idx="4">
                  <c:v>2010</c:v>
                </c:pt>
                <c:pt idx="5">
                  <c:v>2016</c:v>
                </c:pt>
              </c:numCache>
            </c:numRef>
          </c:cat>
          <c:val>
            <c:numRef>
              <c:f>'[status-treats-paris.xlsx]Sheet1'!$A$2:$F$2</c:f>
              <c:numCache>
                <c:formatCode>General</c:formatCode>
                <c:ptCount val="6"/>
                <c:pt idx="0">
                  <c:v>78</c:v>
                </c:pt>
                <c:pt idx="1">
                  <c:v>88</c:v>
                </c:pt>
                <c:pt idx="2">
                  <c:v>100</c:v>
                </c:pt>
                <c:pt idx="3">
                  <c:v>160</c:v>
                </c:pt>
                <c:pt idx="4">
                  <c:v>169</c:v>
                </c:pt>
                <c:pt idx="5">
                  <c:v>176</c:v>
                </c:pt>
              </c:numCache>
            </c:numRef>
          </c:val>
        </c:ser>
        <c:dLbls>
          <c:dLblPos val="outEnd"/>
          <c:showLegendKey val="0"/>
          <c:showVal val="1"/>
          <c:showCatName val="0"/>
          <c:showSerName val="0"/>
          <c:showPercent val="0"/>
          <c:showBubbleSize val="0"/>
        </c:dLbls>
        <c:gapWidth val="150"/>
        <c:axId val="249475456"/>
        <c:axId val="249477376"/>
      </c:barChart>
      <c:catAx>
        <c:axId val="249475456"/>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49477376"/>
        <c:crosses val="autoZero"/>
        <c:auto val="1"/>
        <c:lblAlgn val="ctr"/>
        <c:lblOffset val="100"/>
        <c:noMultiLvlLbl val="0"/>
      </c:catAx>
      <c:valAx>
        <c:axId val="249477376"/>
        <c:scaling>
          <c:orientation val="minMax"/>
          <c:max val="200"/>
        </c:scaling>
        <c:delete val="0"/>
        <c:axPos val="r"/>
        <c:title>
          <c:tx>
            <c:rich>
              <a:bodyPr rot="-5400000" vert="horz"/>
              <a:lstStyle/>
              <a:p>
                <a:pPr>
                  <a:defRPr/>
                </a:pPr>
                <a:r>
                  <a:rPr lang="ar-EG"/>
                  <a:t>عدد الأطراف المتعاقدة</a:t>
                </a:r>
                <a:endParaRPr lang="en-US"/>
              </a:p>
            </c:rich>
          </c:tx>
          <c:layout/>
          <c:overlay val="0"/>
        </c:title>
        <c:numFmt formatCode="General" sourceLinked="1"/>
        <c:majorTickMark val="out"/>
        <c:minorTickMark val="none"/>
        <c:tickLblPos val="nextTo"/>
        <c:crossAx val="249475456"/>
        <c:crosses val="autoZero"/>
        <c:crossBetween val="between"/>
        <c:majorUnit val="20"/>
      </c:valAx>
      <c:spPr>
        <a:noFill/>
      </c:spPr>
    </c:plotArea>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'[status-treats-TLT.xlsx]Sheet1'!$A$1:$F$1</c:f>
              <c:numCache>
                <c:formatCode>General</c:formatCode>
                <c:ptCount val="6"/>
                <c:pt idx="0">
                  <c:v>1997</c:v>
                </c:pt>
                <c:pt idx="1">
                  <c:v>1998</c:v>
                </c:pt>
                <c:pt idx="2">
                  <c:v>2000</c:v>
                </c:pt>
                <c:pt idx="3">
                  <c:v>2010</c:v>
                </c:pt>
                <c:pt idx="4">
                  <c:v>2016</c:v>
                </c:pt>
              </c:numCache>
            </c:numRef>
          </c:cat>
          <c:val>
            <c:numRef>
              <c:f>'[status-treats-TLT.xlsx]Sheet1'!$A$2:$F$2</c:f>
              <c:numCache>
                <c:formatCode>General</c:formatCode>
                <c:ptCount val="6"/>
                <c:pt idx="0">
                  <c:v>4</c:v>
                </c:pt>
                <c:pt idx="1">
                  <c:v>23</c:v>
                </c:pt>
                <c:pt idx="2">
                  <c:v>32</c:v>
                </c:pt>
                <c:pt idx="3">
                  <c:v>40</c:v>
                </c:pt>
                <c:pt idx="4">
                  <c:v>53</c:v>
                </c:pt>
              </c:numCache>
            </c:numRef>
          </c:val>
        </c:ser>
        <c:dLbls>
          <c:dLblPos val="outEnd"/>
          <c:showLegendKey val="0"/>
          <c:showVal val="1"/>
          <c:showCatName val="0"/>
          <c:showSerName val="0"/>
          <c:showPercent val="0"/>
          <c:showBubbleSize val="0"/>
        </c:dLbls>
        <c:gapWidth val="150"/>
        <c:axId val="276134144"/>
        <c:axId val="276153088"/>
      </c:barChart>
      <c:catAx>
        <c:axId val="276134144"/>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76153088"/>
        <c:crosses val="autoZero"/>
        <c:auto val="1"/>
        <c:lblAlgn val="ctr"/>
        <c:lblOffset val="100"/>
        <c:noMultiLvlLbl val="0"/>
      </c:catAx>
      <c:valAx>
        <c:axId val="276153088"/>
        <c:scaling>
          <c:orientation val="minMax"/>
        </c:scaling>
        <c:delete val="0"/>
        <c:axPos val="r"/>
        <c:title>
          <c:tx>
            <c:rich>
              <a:bodyPr rot="-5400000" vert="horz"/>
              <a:lstStyle/>
              <a:p>
                <a:pPr>
                  <a:defRPr/>
                </a:pPr>
                <a:r>
                  <a:rPr lang="ar-EG"/>
                  <a:t>عدد الأطراف المتعاقدة</a:t>
                </a:r>
                <a:endParaRPr lang="en-US"/>
              </a:p>
            </c:rich>
          </c:tx>
          <c:layout/>
          <c:overlay val="0"/>
        </c:title>
        <c:numFmt formatCode="General" sourceLinked="1"/>
        <c:majorTickMark val="out"/>
        <c:minorTickMark val="none"/>
        <c:tickLblPos val="nextTo"/>
        <c:crossAx val="276134144"/>
        <c:crosses val="autoZero"/>
        <c:crossBetween val="between"/>
        <c:majorUnit val="10"/>
      </c:valAx>
      <c:spPr>
        <a:noFill/>
      </c:spPr>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'[status-treats-WCT.xlsx]Sheet1'!$A$1:$F$1</c:f>
              <c:numCache>
                <c:formatCode>General</c:formatCode>
                <c:ptCount val="6"/>
                <c:pt idx="0">
                  <c:v>1998</c:v>
                </c:pt>
                <c:pt idx="1">
                  <c:v>1999</c:v>
                </c:pt>
                <c:pt idx="2">
                  <c:v>2000</c:v>
                </c:pt>
                <c:pt idx="3">
                  <c:v>2010</c:v>
                </c:pt>
                <c:pt idx="4">
                  <c:v>2016</c:v>
                </c:pt>
              </c:numCache>
            </c:numRef>
          </c:cat>
          <c:val>
            <c:numRef>
              <c:f>'[status-treats-WCT.xlsx]Sheet1'!$A$2:$F$2</c:f>
              <c:numCache>
                <c:formatCode>General</c:formatCode>
                <c:ptCount val="6"/>
                <c:pt idx="0">
                  <c:v>6</c:v>
                </c:pt>
                <c:pt idx="1">
                  <c:v>12</c:v>
                </c:pt>
                <c:pt idx="2">
                  <c:v>21</c:v>
                </c:pt>
                <c:pt idx="3">
                  <c:v>54</c:v>
                </c:pt>
                <c:pt idx="4">
                  <c:v>94</c:v>
                </c:pt>
              </c:numCache>
            </c:numRef>
          </c:val>
        </c:ser>
        <c:dLbls>
          <c:dLblPos val="outEnd"/>
          <c:showLegendKey val="0"/>
          <c:showVal val="1"/>
          <c:showCatName val="0"/>
          <c:showSerName val="0"/>
          <c:showPercent val="0"/>
          <c:showBubbleSize val="0"/>
        </c:dLbls>
        <c:gapWidth val="150"/>
        <c:axId val="276495744"/>
        <c:axId val="276707968"/>
      </c:barChart>
      <c:catAx>
        <c:axId val="276495744"/>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76707968"/>
        <c:crosses val="autoZero"/>
        <c:auto val="1"/>
        <c:lblAlgn val="ctr"/>
        <c:lblOffset val="100"/>
        <c:noMultiLvlLbl val="0"/>
      </c:catAx>
      <c:valAx>
        <c:axId val="276707968"/>
        <c:scaling>
          <c:orientation val="minMax"/>
        </c:scaling>
        <c:delete val="0"/>
        <c:axPos val="r"/>
        <c:title>
          <c:tx>
            <c:rich>
              <a:bodyPr rot="-5400000" vert="horz"/>
              <a:lstStyle/>
              <a:p>
                <a:pPr>
                  <a:defRPr/>
                </a:pPr>
                <a:r>
                  <a:rPr lang="ar-EG"/>
                  <a:t>عدد الأطراف المتعاقدة</a:t>
                </a:r>
                <a:endParaRPr lang="en-US"/>
              </a:p>
            </c:rich>
          </c:tx>
          <c:layout/>
          <c:overlay val="0"/>
        </c:title>
        <c:numFmt formatCode="General" sourceLinked="1"/>
        <c:majorTickMark val="out"/>
        <c:minorTickMark val="none"/>
        <c:tickLblPos val="nextTo"/>
        <c:crossAx val="276495744"/>
        <c:crosses val="autoZero"/>
        <c:crossBetween val="between"/>
        <c:majorUnit val="10"/>
      </c:valAx>
      <c:spPr>
        <a:noFill/>
      </c:spPr>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'[status-treats-WPPT.xlsx]Sheet1'!$A$1:$F$1</c:f>
              <c:numCache>
                <c:formatCode>General</c:formatCode>
                <c:ptCount val="6"/>
                <c:pt idx="0">
                  <c:v>1998</c:v>
                </c:pt>
                <c:pt idx="1">
                  <c:v>1999</c:v>
                </c:pt>
                <c:pt idx="2">
                  <c:v>2000</c:v>
                </c:pt>
                <c:pt idx="3">
                  <c:v>2010</c:v>
                </c:pt>
                <c:pt idx="4">
                  <c:v>2016</c:v>
                </c:pt>
              </c:numCache>
            </c:numRef>
          </c:cat>
          <c:val>
            <c:numRef>
              <c:f>'[status-treats-WPPT.xlsx]Sheet1'!$A$2:$F$2</c:f>
              <c:numCache>
                <c:formatCode>General</c:formatCode>
                <c:ptCount val="6"/>
                <c:pt idx="0">
                  <c:v>4</c:v>
                </c:pt>
                <c:pt idx="1">
                  <c:v>11</c:v>
                </c:pt>
                <c:pt idx="2">
                  <c:v>16</c:v>
                </c:pt>
                <c:pt idx="3">
                  <c:v>53</c:v>
                </c:pt>
                <c:pt idx="4">
                  <c:v>94</c:v>
                </c:pt>
              </c:numCache>
            </c:numRef>
          </c:val>
        </c:ser>
        <c:dLbls>
          <c:dLblPos val="outEnd"/>
          <c:showLegendKey val="0"/>
          <c:showVal val="1"/>
          <c:showCatName val="0"/>
          <c:showSerName val="0"/>
          <c:showPercent val="0"/>
          <c:showBubbleSize val="0"/>
        </c:dLbls>
        <c:gapWidth val="150"/>
        <c:axId val="276715008"/>
        <c:axId val="276734720"/>
      </c:barChart>
      <c:catAx>
        <c:axId val="276715008"/>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76734720"/>
        <c:crosses val="autoZero"/>
        <c:auto val="1"/>
        <c:lblAlgn val="ctr"/>
        <c:lblOffset val="100"/>
        <c:noMultiLvlLbl val="0"/>
      </c:catAx>
      <c:valAx>
        <c:axId val="276734720"/>
        <c:scaling>
          <c:orientation val="minMax"/>
        </c:scaling>
        <c:delete val="0"/>
        <c:axPos val="r"/>
        <c:title>
          <c:tx>
            <c:rich>
              <a:bodyPr rot="-5400000" vert="horz"/>
              <a:lstStyle/>
              <a:p>
                <a:pPr>
                  <a:defRPr/>
                </a:pPr>
                <a:r>
                  <a:rPr lang="ar-EG"/>
                  <a:t>عدد الأطراف المتعاقدة</a:t>
                </a:r>
                <a:endParaRPr lang="en-US"/>
              </a:p>
            </c:rich>
          </c:tx>
          <c:layout/>
          <c:overlay val="0"/>
        </c:title>
        <c:numFmt formatCode="General" sourceLinked="1"/>
        <c:majorTickMark val="out"/>
        <c:minorTickMark val="none"/>
        <c:tickLblPos val="nextTo"/>
        <c:crossAx val="276715008"/>
        <c:crosses val="autoZero"/>
        <c:crossBetween val="between"/>
        <c:majorUnit val="10"/>
      </c:valAx>
      <c:spPr>
        <a:noFill/>
      </c:spPr>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'[status-treats-PLT.xlsx]Sheet1'!$A$1:$F$1</c:f>
              <c:numCache>
                <c:formatCode>General</c:formatCode>
                <c:ptCount val="6"/>
                <c:pt idx="0">
                  <c:v>2005</c:v>
                </c:pt>
                <c:pt idx="1">
                  <c:v>2010</c:v>
                </c:pt>
                <c:pt idx="2">
                  <c:v>2016</c:v>
                </c:pt>
              </c:numCache>
            </c:numRef>
          </c:cat>
          <c:val>
            <c:numRef>
              <c:f>'[status-treats-PLT.xlsx]Sheet1'!$A$2:$F$2</c:f>
              <c:numCache>
                <c:formatCode>General</c:formatCode>
                <c:ptCount val="6"/>
                <c:pt idx="0">
                  <c:v>11</c:v>
                </c:pt>
                <c:pt idx="1">
                  <c:v>27</c:v>
                </c:pt>
                <c:pt idx="2">
                  <c:v>37</c:v>
                </c:pt>
              </c:numCache>
            </c:numRef>
          </c:val>
        </c:ser>
        <c:dLbls>
          <c:dLblPos val="outEnd"/>
          <c:showLegendKey val="0"/>
          <c:showVal val="1"/>
          <c:showCatName val="0"/>
          <c:showSerName val="0"/>
          <c:showPercent val="0"/>
          <c:showBubbleSize val="0"/>
        </c:dLbls>
        <c:gapWidth val="150"/>
        <c:axId val="276749696"/>
        <c:axId val="277731968"/>
      </c:barChart>
      <c:catAx>
        <c:axId val="276749696"/>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77731968"/>
        <c:crosses val="autoZero"/>
        <c:auto val="1"/>
        <c:lblAlgn val="ctr"/>
        <c:lblOffset val="100"/>
        <c:noMultiLvlLbl val="0"/>
      </c:catAx>
      <c:valAx>
        <c:axId val="277731968"/>
        <c:scaling>
          <c:orientation val="minMax"/>
        </c:scaling>
        <c:delete val="0"/>
        <c:axPos val="r"/>
        <c:title>
          <c:tx>
            <c:rich>
              <a:bodyPr rot="-5400000" vert="horz"/>
              <a:lstStyle/>
              <a:p>
                <a:pPr>
                  <a:defRPr/>
                </a:pPr>
                <a:r>
                  <a:rPr lang="ar-EG"/>
                  <a:t>عدد الأطراف المتعاقدة</a:t>
                </a:r>
                <a:endParaRPr lang="en-US"/>
              </a:p>
            </c:rich>
          </c:tx>
          <c:layout/>
          <c:overlay val="0"/>
        </c:title>
        <c:numFmt formatCode="General" sourceLinked="1"/>
        <c:majorTickMark val="out"/>
        <c:minorTickMark val="none"/>
        <c:tickLblPos val="nextTo"/>
        <c:crossAx val="276749696"/>
        <c:crosses val="autoZero"/>
        <c:crossBetween val="between"/>
        <c:majorUnit val="10"/>
      </c:valAx>
      <c:spPr>
        <a:noFill/>
      </c:spPr>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numRef>
              <c:f>Sheet1!$A$1:$F$1</c:f>
              <c:numCache>
                <c:formatCode>General</c:formatCode>
                <c:ptCount val="6"/>
                <c:pt idx="0">
                  <c:v>2009</c:v>
                </c:pt>
                <c:pt idx="1">
                  <c:v>2010</c:v>
                </c:pt>
                <c:pt idx="2">
                  <c:v>2016</c:v>
                </c:pt>
              </c:numCache>
            </c:numRef>
          </c:cat>
          <c:val>
            <c:numRef>
              <c:f>Sheet1!$A$2:$F$2</c:f>
              <c:numCache>
                <c:formatCode>General</c:formatCode>
                <c:ptCount val="6"/>
                <c:pt idx="0">
                  <c:v>15</c:v>
                </c:pt>
                <c:pt idx="1">
                  <c:v>21</c:v>
                </c:pt>
                <c:pt idx="2">
                  <c:v>45</c:v>
                </c:pt>
              </c:numCache>
            </c:numRef>
          </c:val>
        </c:ser>
        <c:dLbls>
          <c:dLblPos val="outEnd"/>
          <c:showLegendKey val="0"/>
          <c:showVal val="1"/>
          <c:showCatName val="0"/>
          <c:showSerName val="0"/>
          <c:showPercent val="0"/>
          <c:showBubbleSize val="0"/>
        </c:dLbls>
        <c:gapWidth val="150"/>
        <c:axId val="277961728"/>
        <c:axId val="277984384"/>
      </c:barChart>
      <c:catAx>
        <c:axId val="277961728"/>
        <c:scaling>
          <c:orientation val="minMax"/>
        </c:scaling>
        <c:delete val="0"/>
        <c:axPos val="b"/>
        <c:title>
          <c:tx>
            <c:rich>
              <a:bodyPr/>
              <a:lstStyle/>
              <a:p>
                <a:pPr>
                  <a:defRPr/>
                </a:pPr>
                <a:r>
                  <a:rPr lang="ar-SA"/>
                  <a:t>السنة</a:t>
                </a:r>
                <a:endParaRPr lang="en-US"/>
              </a:p>
            </c:rich>
          </c:tx>
          <c:layout/>
          <c:overlay val="0"/>
        </c:title>
        <c:numFmt formatCode="General" sourceLinked="1"/>
        <c:majorTickMark val="out"/>
        <c:minorTickMark val="none"/>
        <c:tickLblPos val="nextTo"/>
        <c:crossAx val="277984384"/>
        <c:crosses val="autoZero"/>
        <c:auto val="1"/>
        <c:lblAlgn val="ctr"/>
        <c:lblOffset val="100"/>
        <c:noMultiLvlLbl val="0"/>
      </c:catAx>
      <c:valAx>
        <c:axId val="277984384"/>
        <c:scaling>
          <c:orientation val="minMax"/>
        </c:scaling>
        <c:delete val="0"/>
        <c:axPos val="l"/>
        <c:title>
          <c:tx>
            <c:rich>
              <a:bodyPr rot="-5400000" vert="horz"/>
              <a:lstStyle/>
              <a:p>
                <a:pPr>
                  <a:defRPr/>
                </a:pPr>
                <a:r>
                  <a:rPr lang="ar-SA"/>
                  <a:t>عدد الأطراف المتعاقدة</a:t>
                </a:r>
                <a:endParaRPr lang="en-US"/>
              </a:p>
            </c:rich>
          </c:tx>
          <c:layout/>
          <c:overlay val="0"/>
        </c:title>
        <c:numFmt formatCode="General" sourceLinked="1"/>
        <c:majorTickMark val="out"/>
        <c:minorTickMark val="none"/>
        <c:tickLblPos val="nextTo"/>
        <c:crossAx val="277961728"/>
        <c:crosses val="autoZero"/>
        <c:crossBetween val="between"/>
        <c:majorUnit val="10"/>
      </c:valAx>
      <c:spPr>
        <a:noFill/>
      </c:spPr>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numRef>
              <c:f>Sheet1!$A$1:$F$1</c:f>
              <c:numCache>
                <c:formatCode>General</c:formatCode>
                <c:ptCount val="6"/>
                <c:pt idx="0">
                  <c:v>2015</c:v>
                </c:pt>
                <c:pt idx="1">
                  <c:v>2016</c:v>
                </c:pt>
              </c:numCache>
            </c:numRef>
          </c:cat>
          <c:val>
            <c:numRef>
              <c:f>Sheet1!$A$2:$F$2</c:f>
              <c:numCache>
                <c:formatCode>General</c:formatCode>
                <c:ptCount val="6"/>
                <c:pt idx="0">
                  <c:v>10</c:v>
                </c:pt>
                <c:pt idx="1">
                  <c:v>20</c:v>
                </c:pt>
              </c:numCache>
            </c:numRef>
          </c:val>
        </c:ser>
        <c:dLbls>
          <c:dLblPos val="outEnd"/>
          <c:showLegendKey val="0"/>
          <c:showVal val="1"/>
          <c:showCatName val="0"/>
          <c:showSerName val="0"/>
          <c:showPercent val="0"/>
          <c:showBubbleSize val="0"/>
        </c:dLbls>
        <c:gapWidth val="150"/>
        <c:axId val="281220608"/>
        <c:axId val="281222528"/>
      </c:barChart>
      <c:catAx>
        <c:axId val="281220608"/>
        <c:scaling>
          <c:orientation val="maxMin"/>
        </c:scaling>
        <c:delete val="0"/>
        <c:axPos val="b"/>
        <c:title>
          <c:tx>
            <c:rich>
              <a:bodyPr/>
              <a:lstStyle/>
              <a:p>
                <a:pPr>
                  <a:defRPr/>
                </a:pPr>
                <a:r>
                  <a:rPr lang="ar-SA"/>
                  <a:t>السنة</a:t>
                </a:r>
                <a:endParaRPr lang="en-US"/>
              </a:p>
            </c:rich>
          </c:tx>
          <c:layout/>
          <c:overlay val="0"/>
        </c:title>
        <c:numFmt formatCode="General" sourceLinked="1"/>
        <c:majorTickMark val="out"/>
        <c:minorTickMark val="none"/>
        <c:tickLblPos val="nextTo"/>
        <c:crossAx val="281222528"/>
        <c:crosses val="autoZero"/>
        <c:auto val="1"/>
        <c:lblAlgn val="ctr"/>
        <c:lblOffset val="100"/>
        <c:noMultiLvlLbl val="0"/>
      </c:catAx>
      <c:valAx>
        <c:axId val="281222528"/>
        <c:scaling>
          <c:orientation val="minMax"/>
        </c:scaling>
        <c:delete val="0"/>
        <c:axPos val="r"/>
        <c:title>
          <c:tx>
            <c:rich>
              <a:bodyPr rot="-5400000" vert="horz"/>
              <a:lstStyle/>
              <a:p>
                <a:pPr>
                  <a:defRPr/>
                </a:pPr>
                <a:r>
                  <a:rPr lang="ar-SA"/>
                  <a:t>عدد</a:t>
                </a:r>
                <a:r>
                  <a:rPr lang="ar-SA" baseline="0"/>
                  <a:t> الأطراف المتعاقدة</a:t>
                </a:r>
                <a:endParaRPr lang="en-US"/>
              </a:p>
            </c:rich>
          </c:tx>
          <c:layout/>
          <c:overlay val="0"/>
        </c:title>
        <c:numFmt formatCode="General" sourceLinked="1"/>
        <c:majorTickMark val="out"/>
        <c:minorTickMark val="none"/>
        <c:tickLblPos val="nextTo"/>
        <c:crossAx val="281220608"/>
        <c:crosses val="autoZero"/>
        <c:crossBetween val="between"/>
        <c:majorUnit val="10"/>
      </c:valAx>
      <c:spPr>
        <a:noFill/>
      </c:spPr>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'[status-treats-Beijing.xlsx]Sheet1'!$A$1:$F$1</c:f>
              <c:numCache>
                <c:formatCode>General</c:formatCode>
                <c:ptCount val="6"/>
                <c:pt idx="0">
                  <c:v>2015</c:v>
                </c:pt>
                <c:pt idx="1">
                  <c:v>2016</c:v>
                </c:pt>
              </c:numCache>
            </c:numRef>
          </c:cat>
          <c:val>
            <c:numRef>
              <c:f>'[status-treats-Beijing.xlsx]Sheet1'!$A$2:$F$2</c:f>
              <c:numCache>
                <c:formatCode>General</c:formatCode>
                <c:ptCount val="6"/>
                <c:pt idx="0">
                  <c:v>9</c:v>
                </c:pt>
                <c:pt idx="1">
                  <c:v>11</c:v>
                </c:pt>
              </c:numCache>
            </c:numRef>
          </c:val>
        </c:ser>
        <c:dLbls>
          <c:dLblPos val="outEnd"/>
          <c:showLegendKey val="0"/>
          <c:showVal val="1"/>
          <c:showCatName val="0"/>
          <c:showSerName val="0"/>
          <c:showPercent val="0"/>
          <c:showBubbleSize val="0"/>
        </c:dLbls>
        <c:gapWidth val="150"/>
        <c:axId val="281226240"/>
        <c:axId val="281249280"/>
      </c:barChart>
      <c:catAx>
        <c:axId val="281226240"/>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81249280"/>
        <c:crosses val="autoZero"/>
        <c:auto val="1"/>
        <c:lblAlgn val="ctr"/>
        <c:lblOffset val="100"/>
        <c:noMultiLvlLbl val="0"/>
      </c:catAx>
      <c:valAx>
        <c:axId val="281249280"/>
        <c:scaling>
          <c:orientation val="minMax"/>
        </c:scaling>
        <c:delete val="0"/>
        <c:axPos val="r"/>
        <c:title>
          <c:tx>
            <c:rich>
              <a:bodyPr rot="-5400000" vert="horz"/>
              <a:lstStyle/>
              <a:p>
                <a:pPr>
                  <a:defRPr/>
                </a:pPr>
                <a:r>
                  <a:rPr lang="ar-EG"/>
                  <a:t>عدد</a:t>
                </a:r>
                <a:r>
                  <a:rPr lang="ar-EG" baseline="0"/>
                  <a:t> الأطراف المتعاقدة</a:t>
                </a:r>
                <a:endParaRPr lang="en-US"/>
              </a:p>
            </c:rich>
          </c:tx>
          <c:layout/>
          <c:overlay val="0"/>
        </c:title>
        <c:numFmt formatCode="General" sourceLinked="1"/>
        <c:majorTickMark val="out"/>
        <c:minorTickMark val="none"/>
        <c:tickLblPos val="nextTo"/>
        <c:crossAx val="281226240"/>
        <c:crosses val="autoZero"/>
        <c:crossBetween val="between"/>
        <c:majorUnit val="10"/>
      </c:valAx>
      <c:spPr>
        <a:noFill/>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numRef>
              <c:f>Sheet1!$A$1:$F$1</c:f>
              <c:numCache>
                <c:formatCode>General</c:formatCode>
                <c:ptCount val="6"/>
                <c:pt idx="0">
                  <c:v>1970</c:v>
                </c:pt>
                <c:pt idx="1">
                  <c:v>1980</c:v>
                </c:pt>
                <c:pt idx="2">
                  <c:v>1990</c:v>
                </c:pt>
                <c:pt idx="3">
                  <c:v>2000</c:v>
                </c:pt>
                <c:pt idx="4">
                  <c:v>2010</c:v>
                </c:pt>
                <c:pt idx="5">
                  <c:v>2016</c:v>
                </c:pt>
              </c:numCache>
            </c:numRef>
          </c:cat>
          <c:val>
            <c:numRef>
              <c:f>Sheet1!$A$2:$F$2</c:f>
              <c:numCache>
                <c:formatCode>General</c:formatCode>
                <c:ptCount val="6"/>
                <c:pt idx="0">
                  <c:v>59</c:v>
                </c:pt>
                <c:pt idx="1">
                  <c:v>71</c:v>
                </c:pt>
                <c:pt idx="2">
                  <c:v>84</c:v>
                </c:pt>
                <c:pt idx="3">
                  <c:v>146</c:v>
                </c:pt>
                <c:pt idx="4">
                  <c:v>159</c:v>
                </c:pt>
                <c:pt idx="5">
                  <c:v>172</c:v>
                </c:pt>
              </c:numCache>
            </c:numRef>
          </c:val>
        </c:ser>
        <c:dLbls>
          <c:dLblPos val="outEnd"/>
          <c:showLegendKey val="0"/>
          <c:showVal val="1"/>
          <c:showCatName val="0"/>
          <c:showSerName val="0"/>
          <c:showPercent val="0"/>
          <c:showBubbleSize val="0"/>
        </c:dLbls>
        <c:gapWidth val="150"/>
        <c:axId val="250964224"/>
        <c:axId val="250974592"/>
      </c:barChart>
      <c:catAx>
        <c:axId val="250964224"/>
        <c:scaling>
          <c:orientation val="maxMin"/>
        </c:scaling>
        <c:delete val="0"/>
        <c:axPos val="b"/>
        <c:title>
          <c:tx>
            <c:rich>
              <a:bodyPr/>
              <a:lstStyle/>
              <a:p>
                <a:pPr>
                  <a:defRPr/>
                </a:pPr>
                <a:r>
                  <a:rPr lang="ar-SA"/>
                  <a:t>السنة</a:t>
                </a:r>
                <a:endParaRPr lang="en-US"/>
              </a:p>
            </c:rich>
          </c:tx>
          <c:layout/>
          <c:overlay val="0"/>
        </c:title>
        <c:numFmt formatCode="General" sourceLinked="1"/>
        <c:majorTickMark val="out"/>
        <c:minorTickMark val="none"/>
        <c:tickLblPos val="nextTo"/>
        <c:crossAx val="250974592"/>
        <c:crosses val="autoZero"/>
        <c:auto val="1"/>
        <c:lblAlgn val="ctr"/>
        <c:lblOffset val="100"/>
        <c:noMultiLvlLbl val="0"/>
      </c:catAx>
      <c:valAx>
        <c:axId val="250974592"/>
        <c:scaling>
          <c:orientation val="minMax"/>
        </c:scaling>
        <c:delete val="0"/>
        <c:axPos val="r"/>
        <c:title>
          <c:tx>
            <c:rich>
              <a:bodyPr rot="-5400000" vert="horz"/>
              <a:lstStyle/>
              <a:p>
                <a:pPr>
                  <a:defRPr/>
                </a:pPr>
                <a:r>
                  <a:rPr lang="ar-EG" sz="1000" b="1" i="0" baseline="0">
                    <a:effectLst/>
                  </a:rPr>
                  <a:t>عدد الأطراف المتعاقدة</a:t>
                </a:r>
                <a:endParaRPr lang="en-US" sz="1000">
                  <a:effectLst/>
                </a:endParaRPr>
              </a:p>
            </c:rich>
          </c:tx>
          <c:layout/>
          <c:overlay val="0"/>
        </c:title>
        <c:numFmt formatCode="General" sourceLinked="1"/>
        <c:majorTickMark val="out"/>
        <c:minorTickMark val="none"/>
        <c:tickLblPos val="nextTo"/>
        <c:crossAx val="250964224"/>
        <c:crosses val="autoZero"/>
        <c:crossBetween val="between"/>
        <c:majorUnit val="20"/>
      </c:valAx>
      <c:spPr>
        <a:noFill/>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'[status-treats-Madrid-source.xlsx]Sheet1'!$A$1:$F$1</c:f>
              <c:numCache>
                <c:formatCode>General</c:formatCode>
                <c:ptCount val="6"/>
                <c:pt idx="0">
                  <c:v>1970</c:v>
                </c:pt>
                <c:pt idx="1">
                  <c:v>1980</c:v>
                </c:pt>
                <c:pt idx="2">
                  <c:v>1990</c:v>
                </c:pt>
                <c:pt idx="3">
                  <c:v>2000</c:v>
                </c:pt>
                <c:pt idx="4">
                  <c:v>2010</c:v>
                </c:pt>
                <c:pt idx="5">
                  <c:v>2016</c:v>
                </c:pt>
              </c:numCache>
            </c:numRef>
          </c:cat>
          <c:val>
            <c:numRef>
              <c:f>'[status-treats-Madrid-source.xlsx]Sheet1'!$A$2:$F$2</c:f>
              <c:numCache>
                <c:formatCode>General</c:formatCode>
                <c:ptCount val="6"/>
                <c:pt idx="0">
                  <c:v>29</c:v>
                </c:pt>
                <c:pt idx="1">
                  <c:v>31</c:v>
                </c:pt>
                <c:pt idx="2">
                  <c:v>31</c:v>
                </c:pt>
                <c:pt idx="3">
                  <c:v>32</c:v>
                </c:pt>
                <c:pt idx="4">
                  <c:v>34</c:v>
                </c:pt>
                <c:pt idx="5">
                  <c:v>36</c:v>
                </c:pt>
              </c:numCache>
            </c:numRef>
          </c:val>
        </c:ser>
        <c:dLbls>
          <c:dLblPos val="outEnd"/>
          <c:showLegendKey val="0"/>
          <c:showVal val="1"/>
          <c:showCatName val="0"/>
          <c:showSerName val="0"/>
          <c:showPercent val="0"/>
          <c:showBubbleSize val="0"/>
        </c:dLbls>
        <c:gapWidth val="150"/>
        <c:axId val="252452224"/>
        <c:axId val="252455552"/>
      </c:barChart>
      <c:catAx>
        <c:axId val="252452224"/>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52455552"/>
        <c:crosses val="autoZero"/>
        <c:auto val="1"/>
        <c:lblAlgn val="ctr"/>
        <c:lblOffset val="100"/>
        <c:noMultiLvlLbl val="0"/>
      </c:catAx>
      <c:valAx>
        <c:axId val="252455552"/>
        <c:scaling>
          <c:orientation val="minMax"/>
        </c:scaling>
        <c:delete val="0"/>
        <c:axPos val="r"/>
        <c:title>
          <c:tx>
            <c:rich>
              <a:bodyPr rot="-5400000" vert="horz"/>
              <a:lstStyle/>
              <a:p>
                <a:pPr>
                  <a:defRPr/>
                </a:pPr>
                <a:r>
                  <a:rPr lang="ar-EG"/>
                  <a:t>عدد الأطراف المتعاقدة</a:t>
                </a:r>
                <a:endParaRPr lang="en-US"/>
              </a:p>
            </c:rich>
          </c:tx>
          <c:layout/>
          <c:overlay val="0"/>
        </c:title>
        <c:numFmt formatCode="General" sourceLinked="1"/>
        <c:majorTickMark val="out"/>
        <c:minorTickMark val="none"/>
        <c:tickLblPos val="nextTo"/>
        <c:crossAx val="252452224"/>
        <c:crosses val="autoZero"/>
        <c:crossBetween val="between"/>
        <c:majorUnit val="10"/>
      </c:valAx>
      <c:spPr>
        <a:noFill/>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EG" sz="1400">
                <a:latin typeface="Arial" panose="020B0604020202020204" pitchFamily="34" charset="0"/>
                <a:cs typeface="Arial" panose="020B0604020202020204" pitchFamily="34" charset="0"/>
              </a:rPr>
              <a:t>اتفاق مدريد</a:t>
            </a:r>
            <a:endParaRPr lang="en-US" sz="1400">
              <a:latin typeface="Arial" panose="020B0604020202020204" pitchFamily="34" charset="0"/>
              <a:cs typeface="Arial" panose="020B0604020202020204" pitchFamily="34" charset="0"/>
            </a:endParaRPr>
          </a:p>
        </c:rich>
      </c:tx>
      <c:layout/>
      <c:overlay val="0"/>
    </c:title>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'[status-treats-Madrid-agreement.xlsx]Sheet1'!$A$1:$F$1</c:f>
              <c:numCache>
                <c:formatCode>General</c:formatCode>
                <c:ptCount val="6"/>
                <c:pt idx="0">
                  <c:v>1970</c:v>
                </c:pt>
                <c:pt idx="1">
                  <c:v>1980</c:v>
                </c:pt>
                <c:pt idx="2">
                  <c:v>1990</c:v>
                </c:pt>
                <c:pt idx="3">
                  <c:v>2000</c:v>
                </c:pt>
                <c:pt idx="4">
                  <c:v>2010</c:v>
                </c:pt>
                <c:pt idx="5">
                  <c:v>2016</c:v>
                </c:pt>
              </c:numCache>
            </c:numRef>
          </c:cat>
          <c:val>
            <c:numRef>
              <c:f>'[status-treats-Madrid-agreement.xlsx]Sheet1'!$A$2:$F$2</c:f>
              <c:numCache>
                <c:formatCode>General</c:formatCode>
                <c:ptCount val="6"/>
                <c:pt idx="0">
                  <c:v>21</c:v>
                </c:pt>
                <c:pt idx="1">
                  <c:v>24</c:v>
                </c:pt>
                <c:pt idx="2">
                  <c:v>29</c:v>
                </c:pt>
                <c:pt idx="3">
                  <c:v>52</c:v>
                </c:pt>
                <c:pt idx="4">
                  <c:v>56</c:v>
                </c:pt>
                <c:pt idx="5">
                  <c:v>55</c:v>
                </c:pt>
              </c:numCache>
            </c:numRef>
          </c:val>
        </c:ser>
        <c:dLbls>
          <c:dLblPos val="outEnd"/>
          <c:showLegendKey val="0"/>
          <c:showVal val="1"/>
          <c:showCatName val="0"/>
          <c:showSerName val="0"/>
          <c:showPercent val="0"/>
          <c:showBubbleSize val="0"/>
        </c:dLbls>
        <c:gapWidth val="150"/>
        <c:axId val="252470784"/>
        <c:axId val="252478208"/>
      </c:barChart>
      <c:catAx>
        <c:axId val="252470784"/>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52478208"/>
        <c:crosses val="autoZero"/>
        <c:auto val="1"/>
        <c:lblAlgn val="ctr"/>
        <c:lblOffset val="100"/>
        <c:noMultiLvlLbl val="0"/>
      </c:catAx>
      <c:valAx>
        <c:axId val="252478208"/>
        <c:scaling>
          <c:orientation val="minMax"/>
        </c:scaling>
        <c:delete val="0"/>
        <c:axPos val="r"/>
        <c:title>
          <c:tx>
            <c:rich>
              <a:bodyPr rot="-5400000" vert="horz"/>
              <a:lstStyle/>
              <a:p>
                <a:pPr>
                  <a:defRPr/>
                </a:pPr>
                <a:r>
                  <a:rPr lang="ar-EG"/>
                  <a:t>عدد الأطراف المتعاقدة</a:t>
                </a:r>
                <a:endParaRPr lang="en-US"/>
              </a:p>
            </c:rich>
          </c:tx>
          <c:layout/>
          <c:overlay val="0"/>
        </c:title>
        <c:numFmt formatCode="General" sourceLinked="1"/>
        <c:majorTickMark val="out"/>
        <c:minorTickMark val="none"/>
        <c:tickLblPos val="nextTo"/>
        <c:crossAx val="252470784"/>
        <c:crosses val="autoZero"/>
        <c:crossBetween val="between"/>
        <c:majorUnit val="10"/>
      </c:valAx>
      <c:spPr>
        <a:noFill/>
      </c:spPr>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EG" sz="1400">
                <a:latin typeface="Arial" panose="020B0604020202020204" pitchFamily="34" charset="0"/>
                <a:cs typeface="Arial" panose="020B0604020202020204" pitchFamily="34" charset="0"/>
              </a:rPr>
              <a:t>بروتوكول مدريد</a:t>
            </a:r>
            <a:endParaRPr lang="en-US" sz="1400">
              <a:latin typeface="Arial" panose="020B0604020202020204" pitchFamily="34" charset="0"/>
              <a:cs typeface="Arial" panose="020B0604020202020204" pitchFamily="34" charset="0"/>
            </a:endParaRPr>
          </a:p>
        </c:rich>
      </c:tx>
      <c:layout/>
      <c:overlay val="1"/>
    </c:title>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'[status-treats-Madrid-protocol.xlsx]Sheet1'!$A$1:$F$1</c:f>
              <c:numCache>
                <c:formatCode>General</c:formatCode>
                <c:ptCount val="6"/>
                <c:pt idx="0">
                  <c:v>1996</c:v>
                </c:pt>
                <c:pt idx="1">
                  <c:v>1997</c:v>
                </c:pt>
                <c:pt idx="2">
                  <c:v>1998</c:v>
                </c:pt>
                <c:pt idx="3">
                  <c:v>2000</c:v>
                </c:pt>
                <c:pt idx="4">
                  <c:v>2010</c:v>
                </c:pt>
                <c:pt idx="5">
                  <c:v>2016</c:v>
                </c:pt>
              </c:numCache>
            </c:numRef>
          </c:cat>
          <c:val>
            <c:numRef>
              <c:f>'[status-treats-Madrid-protocol.xlsx]Sheet1'!$A$2:$F$2</c:f>
              <c:numCache>
                <c:formatCode>General</c:formatCode>
                <c:ptCount val="6"/>
                <c:pt idx="0">
                  <c:v>9</c:v>
                </c:pt>
                <c:pt idx="1">
                  <c:v>14</c:v>
                </c:pt>
                <c:pt idx="2">
                  <c:v>34</c:v>
                </c:pt>
                <c:pt idx="3">
                  <c:v>48</c:v>
                </c:pt>
                <c:pt idx="4">
                  <c:v>66</c:v>
                </c:pt>
                <c:pt idx="5">
                  <c:v>97</c:v>
                </c:pt>
              </c:numCache>
            </c:numRef>
          </c:val>
        </c:ser>
        <c:dLbls>
          <c:dLblPos val="outEnd"/>
          <c:showLegendKey val="0"/>
          <c:showVal val="1"/>
          <c:showCatName val="0"/>
          <c:showSerName val="0"/>
          <c:showPercent val="0"/>
          <c:showBubbleSize val="0"/>
        </c:dLbls>
        <c:gapWidth val="150"/>
        <c:axId val="252484992"/>
        <c:axId val="252492416"/>
      </c:barChart>
      <c:catAx>
        <c:axId val="252484992"/>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52492416"/>
        <c:crosses val="autoZero"/>
        <c:auto val="1"/>
        <c:lblAlgn val="ctr"/>
        <c:lblOffset val="100"/>
        <c:noMultiLvlLbl val="0"/>
      </c:catAx>
      <c:valAx>
        <c:axId val="252492416"/>
        <c:scaling>
          <c:orientation val="minMax"/>
        </c:scaling>
        <c:delete val="0"/>
        <c:axPos val="r"/>
        <c:title>
          <c:tx>
            <c:rich>
              <a:bodyPr rot="-5400000" vert="horz"/>
              <a:lstStyle/>
              <a:p>
                <a:pPr>
                  <a:defRPr/>
                </a:pPr>
                <a:r>
                  <a:rPr lang="ar-EG"/>
                  <a:t>عدد الأطراف المتعاقدة</a:t>
                </a:r>
                <a:endParaRPr lang="en-US"/>
              </a:p>
            </c:rich>
          </c:tx>
          <c:layout/>
          <c:overlay val="0"/>
        </c:title>
        <c:numFmt formatCode="General" sourceLinked="1"/>
        <c:majorTickMark val="out"/>
        <c:minorTickMark val="none"/>
        <c:tickLblPos val="nextTo"/>
        <c:crossAx val="252484992"/>
        <c:crosses val="autoZero"/>
        <c:crossBetween val="between"/>
        <c:majorUnit val="10"/>
      </c:valAx>
      <c:spPr>
        <a:noFill/>
      </c:spPr>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Arial" panose="020B0604020202020204" pitchFamily="34" charset="0"/>
                <a:cs typeface="Arial" panose="020B0604020202020204" pitchFamily="34" charset="0"/>
              </a:defRPr>
            </a:pPr>
            <a:r>
              <a:rPr lang="ar-EG" sz="1400">
                <a:latin typeface="Arial" panose="020B0604020202020204" pitchFamily="34" charset="0"/>
                <a:cs typeface="Arial" panose="020B0604020202020204" pitchFamily="34" charset="0"/>
              </a:rPr>
              <a:t>وثيقة لاهاي (1960)</a:t>
            </a:r>
            <a:endParaRPr lang="en-US" sz="1400">
              <a:latin typeface="Arial" panose="020B0604020202020204" pitchFamily="34" charset="0"/>
              <a:cs typeface="Arial" panose="020B0604020202020204" pitchFamily="34" charset="0"/>
            </a:endParaRPr>
          </a:p>
        </c:rich>
      </c:tx>
      <c:layout/>
      <c:overlay val="0"/>
    </c:title>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'[status-treats-hague Agreement.xlsx]Sheet1'!$A$1:$F$1</c:f>
              <c:numCache>
                <c:formatCode>General</c:formatCode>
                <c:ptCount val="6"/>
                <c:pt idx="0">
                  <c:v>1970</c:v>
                </c:pt>
                <c:pt idx="1">
                  <c:v>1980</c:v>
                </c:pt>
                <c:pt idx="2">
                  <c:v>1990</c:v>
                </c:pt>
                <c:pt idx="3">
                  <c:v>2000</c:v>
                </c:pt>
                <c:pt idx="4">
                  <c:v>2010</c:v>
                </c:pt>
                <c:pt idx="5">
                  <c:v>2016</c:v>
                </c:pt>
              </c:numCache>
            </c:numRef>
          </c:cat>
          <c:val>
            <c:numRef>
              <c:f>'[status-treats-hague Agreement.xlsx]Sheet1'!$A$2:$F$2</c:f>
              <c:numCache>
                <c:formatCode>General</c:formatCode>
                <c:ptCount val="6"/>
                <c:pt idx="0">
                  <c:v>14</c:v>
                </c:pt>
                <c:pt idx="1">
                  <c:v>17</c:v>
                </c:pt>
                <c:pt idx="2">
                  <c:v>20</c:v>
                </c:pt>
                <c:pt idx="3">
                  <c:v>29</c:v>
                </c:pt>
                <c:pt idx="4">
                  <c:v>31</c:v>
                </c:pt>
                <c:pt idx="5">
                  <c:v>34</c:v>
                </c:pt>
              </c:numCache>
            </c:numRef>
          </c:val>
        </c:ser>
        <c:dLbls>
          <c:dLblPos val="outEnd"/>
          <c:showLegendKey val="0"/>
          <c:showVal val="1"/>
          <c:showCatName val="0"/>
          <c:showSerName val="0"/>
          <c:showPercent val="0"/>
          <c:showBubbleSize val="0"/>
        </c:dLbls>
        <c:gapWidth val="150"/>
        <c:axId val="252508800"/>
        <c:axId val="252548224"/>
      </c:barChart>
      <c:catAx>
        <c:axId val="252508800"/>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52548224"/>
        <c:crosses val="autoZero"/>
        <c:auto val="1"/>
        <c:lblAlgn val="ctr"/>
        <c:lblOffset val="100"/>
        <c:noMultiLvlLbl val="0"/>
      </c:catAx>
      <c:valAx>
        <c:axId val="252548224"/>
        <c:scaling>
          <c:orientation val="minMax"/>
        </c:scaling>
        <c:delete val="0"/>
        <c:axPos val="r"/>
        <c:title>
          <c:tx>
            <c:rich>
              <a:bodyPr rot="-5400000" vert="horz"/>
              <a:lstStyle/>
              <a:p>
                <a:pPr>
                  <a:defRPr/>
                </a:pPr>
                <a:r>
                  <a:rPr lang="ar-EG"/>
                  <a:t>عدد الأطراف المتعاقدة</a:t>
                </a:r>
                <a:endParaRPr lang="en-US"/>
              </a:p>
            </c:rich>
          </c:tx>
          <c:layout/>
          <c:overlay val="0"/>
        </c:title>
        <c:numFmt formatCode="General" sourceLinked="1"/>
        <c:majorTickMark val="out"/>
        <c:minorTickMark val="none"/>
        <c:tickLblPos val="nextTo"/>
        <c:crossAx val="252508800"/>
        <c:crosses val="autoZero"/>
        <c:crossBetween val="between"/>
        <c:majorUnit val="10"/>
      </c:valAx>
      <c:spPr>
        <a:noFill/>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SA"/>
              <a:t>وثيقة جنيف</a:t>
            </a:r>
            <a:endParaRPr lang="en-US"/>
          </a:p>
        </c:rich>
      </c:tx>
      <c:layout/>
      <c:overlay val="0"/>
    </c:title>
    <c:autoTitleDeleted val="0"/>
    <c:plotArea>
      <c:layout/>
      <c:barChart>
        <c:barDir val="col"/>
        <c:grouping val="clustered"/>
        <c:varyColors val="0"/>
        <c:ser>
          <c:idx val="0"/>
          <c:order val="0"/>
          <c:invertIfNegative val="0"/>
          <c:cat>
            <c:numRef>
              <c:f>Sheet1!$A$1:$F$1</c:f>
              <c:numCache>
                <c:formatCode>General</c:formatCode>
                <c:ptCount val="6"/>
                <c:pt idx="0">
                  <c:v>2003</c:v>
                </c:pt>
                <c:pt idx="1">
                  <c:v>2010</c:v>
                </c:pt>
                <c:pt idx="2">
                  <c:v>2016</c:v>
                </c:pt>
              </c:numCache>
            </c:numRef>
          </c:cat>
          <c:val>
            <c:numRef>
              <c:f>Sheet1!$A$2:$F$2</c:f>
              <c:numCache>
                <c:formatCode>General</c:formatCode>
                <c:ptCount val="6"/>
                <c:pt idx="0">
                  <c:v>11</c:v>
                </c:pt>
                <c:pt idx="1">
                  <c:v>18</c:v>
                </c:pt>
                <c:pt idx="2">
                  <c:v>51</c:v>
                </c:pt>
              </c:numCache>
            </c:numRef>
          </c:val>
        </c:ser>
        <c:dLbls>
          <c:dLblPos val="outEnd"/>
          <c:showLegendKey val="0"/>
          <c:showVal val="1"/>
          <c:showCatName val="0"/>
          <c:showSerName val="0"/>
          <c:showPercent val="0"/>
          <c:showBubbleSize val="0"/>
        </c:dLbls>
        <c:gapWidth val="150"/>
        <c:axId val="252577664"/>
        <c:axId val="252592128"/>
      </c:barChart>
      <c:catAx>
        <c:axId val="252577664"/>
        <c:scaling>
          <c:orientation val="maxMin"/>
        </c:scaling>
        <c:delete val="0"/>
        <c:axPos val="b"/>
        <c:title>
          <c:tx>
            <c:rich>
              <a:bodyPr/>
              <a:lstStyle/>
              <a:p>
                <a:pPr>
                  <a:defRPr/>
                </a:pPr>
                <a:r>
                  <a:rPr lang="ar-SA"/>
                  <a:t>السنة</a:t>
                </a:r>
                <a:endParaRPr lang="en-US"/>
              </a:p>
            </c:rich>
          </c:tx>
          <c:layout/>
          <c:overlay val="0"/>
        </c:title>
        <c:numFmt formatCode="General" sourceLinked="1"/>
        <c:majorTickMark val="out"/>
        <c:minorTickMark val="none"/>
        <c:tickLblPos val="nextTo"/>
        <c:crossAx val="252592128"/>
        <c:crosses val="autoZero"/>
        <c:auto val="1"/>
        <c:lblAlgn val="ctr"/>
        <c:lblOffset val="100"/>
        <c:noMultiLvlLbl val="0"/>
      </c:catAx>
      <c:valAx>
        <c:axId val="252592128"/>
        <c:scaling>
          <c:orientation val="minMax"/>
        </c:scaling>
        <c:delete val="0"/>
        <c:axPos val="r"/>
        <c:title>
          <c:tx>
            <c:rich>
              <a:bodyPr rot="-5400000" vert="horz"/>
              <a:lstStyle/>
              <a:p>
                <a:pPr>
                  <a:defRPr/>
                </a:pPr>
                <a:r>
                  <a:rPr lang="ar-SA"/>
                  <a:t>عدد الأطراف المتعاقدة</a:t>
                </a:r>
                <a:endParaRPr lang="en-US"/>
              </a:p>
            </c:rich>
          </c:tx>
          <c:layout/>
          <c:overlay val="0"/>
        </c:title>
        <c:numFmt formatCode="General" sourceLinked="1"/>
        <c:majorTickMark val="out"/>
        <c:minorTickMark val="none"/>
        <c:tickLblPos val="nextTo"/>
        <c:crossAx val="252577664"/>
        <c:crosses val="autoZero"/>
        <c:crossBetween val="between"/>
        <c:majorUnit val="10"/>
      </c:valAx>
      <c:spPr>
        <a:noFill/>
      </c:spPr>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'[status-treats-Nice.xlsx]Sheet1'!$A$1:$F$1</c:f>
              <c:numCache>
                <c:formatCode>General</c:formatCode>
                <c:ptCount val="6"/>
                <c:pt idx="0">
                  <c:v>1970</c:v>
                </c:pt>
                <c:pt idx="1">
                  <c:v>1980</c:v>
                </c:pt>
                <c:pt idx="2">
                  <c:v>1990</c:v>
                </c:pt>
                <c:pt idx="3">
                  <c:v>2000</c:v>
                </c:pt>
                <c:pt idx="4">
                  <c:v>2010</c:v>
                </c:pt>
                <c:pt idx="5">
                  <c:v>2016</c:v>
                </c:pt>
              </c:numCache>
            </c:numRef>
          </c:cat>
          <c:val>
            <c:numRef>
              <c:f>'[status-treats-Nice.xlsx]Sheet1'!$A$2:$F$2</c:f>
              <c:numCache>
                <c:formatCode>General</c:formatCode>
                <c:ptCount val="6"/>
                <c:pt idx="0">
                  <c:v>25</c:v>
                </c:pt>
                <c:pt idx="1">
                  <c:v>32</c:v>
                </c:pt>
                <c:pt idx="2">
                  <c:v>34</c:v>
                </c:pt>
                <c:pt idx="3">
                  <c:v>61</c:v>
                </c:pt>
                <c:pt idx="4">
                  <c:v>76</c:v>
                </c:pt>
                <c:pt idx="5">
                  <c:v>84</c:v>
                </c:pt>
              </c:numCache>
            </c:numRef>
          </c:val>
        </c:ser>
        <c:dLbls>
          <c:dLblPos val="outEnd"/>
          <c:showLegendKey val="0"/>
          <c:showVal val="1"/>
          <c:showCatName val="0"/>
          <c:showSerName val="0"/>
          <c:showPercent val="0"/>
          <c:showBubbleSize val="0"/>
        </c:dLbls>
        <c:gapWidth val="150"/>
        <c:axId val="252623872"/>
        <c:axId val="252750080"/>
      </c:barChart>
      <c:catAx>
        <c:axId val="252623872"/>
        <c:scaling>
          <c:orientation val="maxMin"/>
        </c:scaling>
        <c:delete val="0"/>
        <c:axPos val="b"/>
        <c:title>
          <c:tx>
            <c:rich>
              <a:bodyPr/>
              <a:lstStyle/>
              <a:p>
                <a:pPr>
                  <a:defRPr/>
                </a:pPr>
                <a:r>
                  <a:rPr lang="ar-EG"/>
                  <a:t>السنة</a:t>
                </a:r>
                <a:endParaRPr lang="en-US"/>
              </a:p>
            </c:rich>
          </c:tx>
          <c:layout/>
          <c:overlay val="0"/>
        </c:title>
        <c:numFmt formatCode="General" sourceLinked="1"/>
        <c:majorTickMark val="out"/>
        <c:minorTickMark val="none"/>
        <c:tickLblPos val="nextTo"/>
        <c:crossAx val="252750080"/>
        <c:crosses val="autoZero"/>
        <c:auto val="1"/>
        <c:lblAlgn val="ctr"/>
        <c:lblOffset val="100"/>
        <c:noMultiLvlLbl val="0"/>
      </c:catAx>
      <c:valAx>
        <c:axId val="252750080"/>
        <c:scaling>
          <c:orientation val="minMax"/>
        </c:scaling>
        <c:delete val="0"/>
        <c:axPos val="r"/>
        <c:title>
          <c:tx>
            <c:rich>
              <a:bodyPr rot="-5400000" vert="horz"/>
              <a:lstStyle/>
              <a:p>
                <a:pPr>
                  <a:defRPr/>
                </a:pPr>
                <a:r>
                  <a:rPr lang="ar-EG"/>
                  <a:t>عدد الأطراف</a:t>
                </a:r>
                <a:r>
                  <a:rPr lang="ar-EG" baseline="0"/>
                  <a:t> المتعاقدة</a:t>
                </a:r>
                <a:endParaRPr lang="en-US"/>
              </a:p>
            </c:rich>
          </c:tx>
          <c:layout/>
          <c:overlay val="0"/>
        </c:title>
        <c:numFmt formatCode="General" sourceLinked="1"/>
        <c:majorTickMark val="out"/>
        <c:minorTickMark val="none"/>
        <c:tickLblPos val="nextTo"/>
        <c:crossAx val="252623872"/>
        <c:crosses val="autoZero"/>
        <c:crossBetween val="between"/>
        <c:majorUnit val="10"/>
      </c:valAx>
      <c:spPr>
        <a:noFill/>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3877-8607-4C6C-9D44-7CC23184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A_56_AR.dotx</Template>
  <TotalTime>164</TotalTime>
  <Pages>17</Pages>
  <Words>1670</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A/56/-- (Arabic)</vt:lpstr>
    </vt:vector>
  </TitlesOfParts>
  <Company>World Intellectual Property Organization</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 (Arabic)</dc:title>
  <dc:creator>HZ</dc:creator>
  <cp:lastModifiedBy>CHADAREVIAN Diane</cp:lastModifiedBy>
  <cp:revision>15</cp:revision>
  <cp:lastPrinted>2016-07-26T15:32:00Z</cp:lastPrinted>
  <dcterms:created xsi:type="dcterms:W3CDTF">2016-07-18T10:09:00Z</dcterms:created>
  <dcterms:modified xsi:type="dcterms:W3CDTF">2016-07-26T15:32:00Z</dcterms:modified>
</cp:coreProperties>
</file>