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B742A7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0273E" w:rsidP="0040273E">
      <w:pPr>
        <w:bidi w:val="0"/>
        <w:rPr>
          <w:rFonts w:ascii="Arial Black" w:hAnsi="Arial Black"/>
          <w:caps/>
          <w:sz w:val="15"/>
          <w:szCs w:val="15"/>
        </w:rPr>
      </w:pPr>
      <w:r>
        <w:rPr>
          <w:rFonts w:ascii="Arial Black" w:hAnsi="Arial Black"/>
          <w:caps/>
          <w:sz w:val="15"/>
          <w:szCs w:val="15"/>
        </w:rPr>
        <w:t>BP/A/39/</w:t>
      </w:r>
      <w:r w:rsidR="000A1C96">
        <w:rPr>
          <w:rFonts w:ascii="Arial Black" w:hAnsi="Arial Black"/>
          <w:caps/>
          <w:sz w:val="15"/>
          <w:szCs w:val="15"/>
        </w:rPr>
        <w:t>1</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0A1C96">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A1C96">
        <w:rPr>
          <w:rFonts w:asciiTheme="minorHAnsi" w:hAnsiTheme="minorHAnsi" w:cstheme="minorHAnsi" w:hint="cs"/>
          <w:b/>
          <w:bCs/>
          <w:caps/>
          <w:sz w:val="15"/>
          <w:szCs w:val="15"/>
          <w:rtl/>
        </w:rPr>
        <w:t>13 مايو 2022</w:t>
      </w:r>
    </w:p>
    <w:bookmarkEnd w:id="2"/>
    <w:p w:rsidR="008B2CC1" w:rsidRDefault="00F0061B" w:rsidP="0040273E">
      <w:pPr>
        <w:pStyle w:val="Heading1"/>
        <w:rPr>
          <w:rtl/>
        </w:rPr>
      </w:pPr>
      <w:r w:rsidRPr="00F0061B">
        <w:rPr>
          <w:rtl/>
        </w:rPr>
        <w:t xml:space="preserve">اتحاد </w:t>
      </w:r>
      <w:r w:rsidR="0040273E">
        <w:rPr>
          <w:rFonts w:hint="cs"/>
          <w:rtl/>
        </w:rPr>
        <w:t>الاعتراف الدولي بإيداع الكائنات الدقيقة لأغراض الإجراءات الخاصة بالبراءات</w:t>
      </w:r>
      <w:r w:rsidRPr="00F0061B">
        <w:rPr>
          <w:rtl/>
        </w:rPr>
        <w:t xml:space="preserve"> (اتحاد </w:t>
      </w:r>
      <w:r w:rsidR="0040273E">
        <w:rPr>
          <w:rFonts w:hint="cs"/>
          <w:rtl/>
        </w:rPr>
        <w:t>بودابست</w:t>
      </w:r>
      <w:r w:rsidRPr="00F0061B">
        <w:rPr>
          <w:rtl/>
        </w:rPr>
        <w:t>)</w:t>
      </w:r>
    </w:p>
    <w:p w:rsidR="00F0061B" w:rsidRDefault="00F0061B" w:rsidP="00F0061B">
      <w:pPr>
        <w:pStyle w:val="Heading1"/>
        <w:rPr>
          <w:rtl/>
        </w:rPr>
      </w:pPr>
      <w:r>
        <w:rPr>
          <w:rFonts w:hint="cs"/>
          <w:rtl/>
        </w:rPr>
        <w:t>الجمعية</w:t>
      </w:r>
    </w:p>
    <w:p w:rsidR="00A90F0A" w:rsidRPr="00D67EAE" w:rsidRDefault="00D67EAE" w:rsidP="0040273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0273E">
        <w:rPr>
          <w:rFonts w:asciiTheme="minorHAnsi" w:hAnsiTheme="minorHAnsi" w:cstheme="minorHAnsi" w:hint="cs"/>
          <w:bCs/>
          <w:sz w:val="24"/>
          <w:szCs w:val="24"/>
          <w:rtl/>
        </w:rPr>
        <w:t>التاسعة</w:t>
      </w:r>
      <w:r w:rsidR="00F0061B">
        <w:rPr>
          <w:rFonts w:asciiTheme="minorHAnsi" w:hAnsiTheme="minorHAnsi" w:cstheme="minorHAnsi" w:hint="cs"/>
          <w:bCs/>
          <w:sz w:val="24"/>
          <w:szCs w:val="24"/>
          <w:rtl/>
        </w:rPr>
        <w:t xml:space="preserve"> والثلاثون</w:t>
      </w:r>
      <w:r w:rsidR="00B710E8">
        <w:rPr>
          <w:rFonts w:asciiTheme="minorHAnsi" w:hAnsiTheme="minorHAnsi" w:cstheme="minorHAnsi" w:hint="cs"/>
          <w:bCs/>
          <w:sz w:val="24"/>
          <w:szCs w:val="24"/>
          <w:rtl/>
        </w:rPr>
        <w:t xml:space="preserve"> (الدورة </w:t>
      </w:r>
      <w:r w:rsidR="0040273E">
        <w:rPr>
          <w:rFonts w:asciiTheme="minorHAnsi" w:hAnsiTheme="minorHAnsi" w:cstheme="minorHAnsi" w:hint="cs"/>
          <w:bCs/>
          <w:sz w:val="24"/>
          <w:szCs w:val="24"/>
          <w:rtl/>
        </w:rPr>
        <w:t>الاستثنائية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الثامنة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عشرة</w:t>
      </w:r>
      <w:r w:rsidR="00B710E8">
        <w:rPr>
          <w:rFonts w:asciiTheme="minorHAnsi" w:hAnsiTheme="minorHAnsi" w:cstheme="minorHAnsi" w:hint="cs"/>
          <w:bCs/>
          <w:sz w:val="24"/>
          <w:szCs w:val="24"/>
          <w:rtl/>
        </w:rPr>
        <w:t>)</w:t>
      </w:r>
    </w:p>
    <w:p w:rsidR="008B2CC1" w:rsidRPr="00D67EAE" w:rsidRDefault="00D67EAE" w:rsidP="0040273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0273E">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40273E">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2022</w:t>
      </w:r>
    </w:p>
    <w:p w:rsidR="008B2CC1" w:rsidRPr="00D67EAE" w:rsidRDefault="000A1C96" w:rsidP="0035081D">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 xml:space="preserve">استمارات معاهدة </w:t>
      </w:r>
      <w:r w:rsidR="0035081D">
        <w:rPr>
          <w:rFonts w:asciiTheme="minorHAnsi" w:hAnsiTheme="minorHAnsi" w:cstheme="minorHAnsi" w:hint="cs"/>
          <w:caps/>
          <w:sz w:val="28"/>
          <w:szCs w:val="24"/>
          <w:rtl/>
        </w:rPr>
        <w:t>بودابست</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0A1C96">
        <w:rPr>
          <w:rFonts w:asciiTheme="minorHAnsi" w:hAnsiTheme="minorHAnsi" w:cstheme="minorHAnsi" w:hint="cs"/>
          <w:iCs/>
          <w:rtl/>
        </w:rPr>
        <w:t xml:space="preserve"> الأمانة</w:t>
      </w:r>
    </w:p>
    <w:p w:rsidR="009B0855" w:rsidRPr="00FB24BA" w:rsidRDefault="000A1C96" w:rsidP="000A1C96">
      <w:pPr>
        <w:pStyle w:val="Heading2"/>
        <w:spacing w:before="0" w:after="220"/>
        <w:rPr>
          <w:i/>
          <w:iCs w:val="0"/>
          <w:sz w:val="24"/>
          <w:szCs w:val="24"/>
          <w:lang w:bidi="ar-EG"/>
        </w:rPr>
      </w:pPr>
      <w:r w:rsidRPr="00FB24BA">
        <w:rPr>
          <w:rFonts w:hint="cs"/>
          <w:i/>
          <w:iCs w:val="0"/>
          <w:sz w:val="24"/>
          <w:szCs w:val="24"/>
          <w:rtl/>
          <w:lang w:bidi="ar-EG"/>
        </w:rPr>
        <w:t>ملخص</w:t>
      </w:r>
    </w:p>
    <w:p w:rsidR="009B0855" w:rsidRDefault="000A1C96" w:rsidP="00BA6F83">
      <w:pPr>
        <w:pStyle w:val="ONUMA"/>
      </w:pPr>
      <w:r>
        <w:rPr>
          <w:rFonts w:hint="cs"/>
          <w:rtl/>
        </w:rPr>
        <w:t xml:space="preserve">تحتوي هذه الوثيقة على مقترح </w:t>
      </w:r>
      <w:r w:rsidR="00FB24BA">
        <w:rPr>
          <w:rFonts w:hint="cs"/>
          <w:rtl/>
        </w:rPr>
        <w:t xml:space="preserve">بتوفير مجالات </w:t>
      </w:r>
      <w:r w:rsidR="00BA6F83">
        <w:rPr>
          <w:rFonts w:hint="cs"/>
          <w:rtl/>
        </w:rPr>
        <w:t>لإدراج</w:t>
      </w:r>
      <w:r w:rsidR="00FB24BA">
        <w:rPr>
          <w:rFonts w:hint="cs"/>
          <w:rtl/>
        </w:rPr>
        <w:t xml:space="preserve"> عنوان بريد إلكتروني (يُشار إليه فيما يلي </w:t>
      </w:r>
      <w:r w:rsidR="0099799E">
        <w:rPr>
          <w:rFonts w:hint="cs"/>
          <w:rtl/>
        </w:rPr>
        <w:t>بعبارة</w:t>
      </w:r>
      <w:r w:rsidR="00FB24BA">
        <w:rPr>
          <w:rFonts w:hint="cs"/>
          <w:rtl/>
        </w:rPr>
        <w:t xml:space="preserve"> "البريد الإلكتروني") ورقم هاتف على الاستمارات المعدة بموجب معاهدة بودابست بشأن الاعتراف الدولي بإيداع الكائنات الدقيقة لأغراض الإجراءات الخاصة بالبراءات (معاهدة بودابست).</w:t>
      </w:r>
    </w:p>
    <w:p w:rsidR="00FB24BA" w:rsidRDefault="00FB24BA" w:rsidP="00FB24BA">
      <w:pPr>
        <w:pStyle w:val="ONUMA"/>
      </w:pPr>
      <w:r>
        <w:rPr>
          <w:rFonts w:hint="cs"/>
          <w:rtl/>
        </w:rPr>
        <w:t xml:space="preserve">ولتبني التعددية اللغوية المعتمدة في الويبو، يُقترح أيضاً إعداد تلك الاستمارات بلغات الأمم المتحدة الست، وإدخال تعديلات على القاعدة 4.11(أ) </w:t>
      </w:r>
      <w:r w:rsidR="00D51B9D">
        <w:rPr>
          <w:rFonts w:hint="cs"/>
          <w:rtl/>
        </w:rPr>
        <w:t xml:space="preserve">و(ب) </w:t>
      </w:r>
      <w:r>
        <w:rPr>
          <w:rFonts w:hint="cs"/>
          <w:rtl/>
        </w:rPr>
        <w:t>من اللائحة التنفيذية لمعاهدة بودابست حتى تكون لغات الأمم المتحدة الست مشمولة بموجب أحكام تلك</w:t>
      </w:r>
      <w:r>
        <w:rPr>
          <w:rFonts w:hint="eastAsia"/>
          <w:rtl/>
        </w:rPr>
        <w:t> </w:t>
      </w:r>
      <w:r>
        <w:rPr>
          <w:rFonts w:hint="cs"/>
          <w:rtl/>
        </w:rPr>
        <w:t>القاعدة.</w:t>
      </w:r>
    </w:p>
    <w:p w:rsidR="00FB24BA" w:rsidRPr="00FB24BA" w:rsidRDefault="00FB24BA" w:rsidP="00E34396">
      <w:pPr>
        <w:pStyle w:val="Heading2"/>
        <w:spacing w:before="0" w:after="220"/>
        <w:rPr>
          <w:i/>
          <w:iCs w:val="0"/>
          <w:sz w:val="24"/>
          <w:szCs w:val="24"/>
          <w:lang w:bidi="ar-EG"/>
        </w:rPr>
      </w:pPr>
      <w:r w:rsidRPr="00FB24BA">
        <w:rPr>
          <w:rFonts w:hint="cs"/>
          <w:i/>
          <w:iCs w:val="0"/>
          <w:sz w:val="24"/>
          <w:szCs w:val="24"/>
          <w:rtl/>
          <w:lang w:bidi="ar-EG"/>
        </w:rPr>
        <w:t>استمارات معاهدة بودابست</w:t>
      </w:r>
    </w:p>
    <w:p w:rsidR="00FB24BA" w:rsidRDefault="002D4D10" w:rsidP="00D51B9D">
      <w:pPr>
        <w:pStyle w:val="ONUMA"/>
      </w:pPr>
      <w:r>
        <w:rPr>
          <w:rFonts w:hint="cs"/>
          <w:rtl/>
        </w:rPr>
        <w:t xml:space="preserve">تُتاح، بموجب معاهدة بودابست، أربع عشرة استمارة </w:t>
      </w:r>
      <w:r w:rsidRPr="002D4D10">
        <w:rPr>
          <w:rFonts w:hint="cs"/>
          <w:rtl/>
        </w:rPr>
        <w:t xml:space="preserve">مرقّمة </w:t>
      </w:r>
      <w:r w:rsidRPr="002D4D10">
        <w:t>BP/1</w:t>
      </w:r>
      <w:r w:rsidRPr="002D4D10">
        <w:rPr>
          <w:rFonts w:hint="cs"/>
          <w:rtl/>
        </w:rPr>
        <w:t xml:space="preserve"> إلى </w:t>
      </w:r>
      <w:r w:rsidRPr="002D4D10">
        <w:t>BP/</w:t>
      </w:r>
      <w:r w:rsidR="0099799E">
        <w:t>14</w:t>
      </w:r>
      <w:r>
        <w:rPr>
          <w:rFonts w:hint="cs"/>
          <w:rtl/>
        </w:rPr>
        <w:t xml:space="preserve"> (انظر قائمة الاستمارات الواردة في المرفق الأول). </w:t>
      </w:r>
      <w:r w:rsidR="0099799E">
        <w:rPr>
          <w:rFonts w:hint="cs"/>
          <w:rtl/>
        </w:rPr>
        <w:t>وقد أُعِدت تلك الاستمارات من قبل المكتب الدولي للويبو على أساس المناقشات التي جرت على صعيد جمعية اتحاد بودابست (المشار إليها فيما يلي بكلمة "الجمعية") واللجنة الاستشارية المؤقتة المعنية بالتحضير لبدء نفاذ معاهدة بودابست.</w:t>
      </w:r>
    </w:p>
    <w:p w:rsidR="0099799E" w:rsidRDefault="0099799E" w:rsidP="00D51B9D">
      <w:pPr>
        <w:pStyle w:val="ONUMA"/>
      </w:pPr>
      <w:r>
        <w:rPr>
          <w:rFonts w:hint="cs"/>
          <w:rtl/>
        </w:rPr>
        <w:t xml:space="preserve">وعملية إعداد الاستمارات ليس منصوص عليها بخصوص كل الاستمارات في اللائحة التنفيذية لمعاهدة بودابست. فتلك اللائحة تنص على إعداد الاستمارات </w:t>
      </w:r>
      <w:r w:rsidRPr="0099799E">
        <w:t>BP/</w:t>
      </w:r>
      <w:r>
        <w:t>4</w:t>
      </w:r>
      <w:r>
        <w:rPr>
          <w:rFonts w:hint="cs"/>
          <w:rtl/>
        </w:rPr>
        <w:t xml:space="preserve"> و</w:t>
      </w:r>
      <w:r w:rsidRPr="0099799E">
        <w:rPr>
          <w:rFonts w:eastAsia="SimSun"/>
          <w:lang w:eastAsia="zh-CN"/>
        </w:rPr>
        <w:t xml:space="preserve"> </w:t>
      </w:r>
      <w:r w:rsidRPr="0099799E">
        <w:t>BP/</w:t>
      </w:r>
      <w:r>
        <w:t>5</w:t>
      </w:r>
      <w:r>
        <w:rPr>
          <w:rFonts w:hint="cs"/>
          <w:rtl/>
        </w:rPr>
        <w:t>و</w:t>
      </w:r>
      <w:r w:rsidRPr="0099799E">
        <w:rPr>
          <w:rFonts w:eastAsia="SimSun"/>
          <w:lang w:eastAsia="zh-CN"/>
        </w:rPr>
        <w:t xml:space="preserve"> </w:t>
      </w:r>
      <w:r w:rsidRPr="0099799E">
        <w:t>BP/</w:t>
      </w:r>
      <w:r>
        <w:t>6</w:t>
      </w:r>
      <w:r>
        <w:rPr>
          <w:rFonts w:hint="cs"/>
          <w:rtl/>
        </w:rPr>
        <w:t>و</w:t>
      </w:r>
      <w:r w:rsidRPr="0099799E">
        <w:rPr>
          <w:rFonts w:eastAsia="SimSun"/>
          <w:lang w:eastAsia="zh-CN"/>
        </w:rPr>
        <w:t xml:space="preserve"> </w:t>
      </w:r>
      <w:r w:rsidRPr="0099799E">
        <w:t>BP/</w:t>
      </w:r>
      <w:r>
        <w:t>9</w:t>
      </w:r>
      <w:r>
        <w:rPr>
          <w:rFonts w:hint="cs"/>
          <w:rtl/>
        </w:rPr>
        <w:t>و</w:t>
      </w:r>
      <w:r w:rsidRPr="0099799E">
        <w:t>BP/</w:t>
      </w:r>
      <w:r>
        <w:t>12</w:t>
      </w:r>
      <w:r>
        <w:rPr>
          <w:rFonts w:hint="cs"/>
          <w:rtl/>
        </w:rPr>
        <w:t xml:space="preserve">. أما الاستمارات </w:t>
      </w:r>
      <w:r w:rsidR="00D51B9D">
        <w:rPr>
          <w:rFonts w:hint="cs"/>
          <w:rtl/>
        </w:rPr>
        <w:t xml:space="preserve">الأخرى </w:t>
      </w:r>
      <w:r>
        <w:rPr>
          <w:rFonts w:hint="cs"/>
          <w:rtl/>
        </w:rPr>
        <w:t xml:space="preserve">المرقّمة </w:t>
      </w:r>
      <w:r w:rsidR="0002380A" w:rsidRPr="0002380A">
        <w:t>BP/</w:t>
      </w:r>
      <w:r w:rsidR="0002380A">
        <w:t>1</w:t>
      </w:r>
      <w:r w:rsidR="0002380A" w:rsidRPr="0002380A">
        <w:rPr>
          <w:rFonts w:hint="cs"/>
          <w:rtl/>
        </w:rPr>
        <w:t xml:space="preserve"> و</w:t>
      </w:r>
      <w:r w:rsidR="0002380A" w:rsidRPr="0002380A">
        <w:t>BP/</w:t>
      </w:r>
      <w:r w:rsidR="0002380A">
        <w:t>2</w:t>
      </w:r>
      <w:r w:rsidR="0002380A">
        <w:rPr>
          <w:rFonts w:hint="cs"/>
          <w:rtl/>
        </w:rPr>
        <w:t xml:space="preserve"> </w:t>
      </w:r>
      <w:r w:rsidR="0002380A" w:rsidRPr="0002380A">
        <w:rPr>
          <w:rFonts w:hint="cs"/>
          <w:rtl/>
        </w:rPr>
        <w:lastRenderedPageBreak/>
        <w:t>و</w:t>
      </w:r>
      <w:r w:rsidR="0002380A" w:rsidRPr="0002380A">
        <w:t>BP/</w:t>
      </w:r>
      <w:r w:rsidR="0002380A">
        <w:t>3</w:t>
      </w:r>
      <w:r w:rsidR="00D51B9D">
        <w:rPr>
          <w:rFonts w:hint="cs"/>
          <w:rtl/>
        </w:rPr>
        <w:t xml:space="preserve"> </w:t>
      </w:r>
      <w:r w:rsidR="0002380A" w:rsidRPr="0002380A">
        <w:rPr>
          <w:rFonts w:hint="cs"/>
          <w:rtl/>
        </w:rPr>
        <w:t>و</w:t>
      </w:r>
      <w:r w:rsidR="0002380A" w:rsidRPr="0002380A">
        <w:t xml:space="preserve"> BP/</w:t>
      </w:r>
      <w:r w:rsidR="0002380A">
        <w:t>7</w:t>
      </w:r>
      <w:r w:rsidR="0002380A" w:rsidRPr="0002380A">
        <w:rPr>
          <w:rFonts w:hint="cs"/>
          <w:rtl/>
        </w:rPr>
        <w:t>و</w:t>
      </w:r>
      <w:r w:rsidR="0002380A" w:rsidRPr="0002380A">
        <w:t>BP/</w:t>
      </w:r>
      <w:r w:rsidR="0002380A">
        <w:t>8</w:t>
      </w:r>
      <w:r w:rsidR="0002380A">
        <w:rPr>
          <w:rFonts w:hint="cs"/>
          <w:rtl/>
        </w:rPr>
        <w:t xml:space="preserve"> </w:t>
      </w:r>
      <w:r w:rsidR="0002380A" w:rsidRPr="0002380A">
        <w:rPr>
          <w:rFonts w:hint="cs"/>
          <w:rtl/>
        </w:rPr>
        <w:t>و</w:t>
      </w:r>
      <w:r w:rsidR="0002380A" w:rsidRPr="0002380A">
        <w:t xml:space="preserve"> BP/</w:t>
      </w:r>
      <w:r w:rsidR="0002380A">
        <w:t>10</w:t>
      </w:r>
      <w:r w:rsidR="0002380A" w:rsidRPr="0002380A">
        <w:rPr>
          <w:rFonts w:hint="cs"/>
          <w:rtl/>
        </w:rPr>
        <w:t>و</w:t>
      </w:r>
      <w:r w:rsidR="0002380A" w:rsidRPr="0002380A">
        <w:t xml:space="preserve"> BP/</w:t>
      </w:r>
      <w:r w:rsidR="0002380A">
        <w:t>11</w:t>
      </w:r>
      <w:r w:rsidR="0002380A" w:rsidRPr="0002380A">
        <w:rPr>
          <w:rFonts w:hint="cs"/>
          <w:rtl/>
        </w:rPr>
        <w:t>و</w:t>
      </w:r>
      <w:r w:rsidR="0002380A" w:rsidRPr="0002380A">
        <w:t>BP/</w:t>
      </w:r>
      <w:r w:rsidR="0002380A">
        <w:t>13</w:t>
      </w:r>
      <w:r w:rsidR="0002380A">
        <w:rPr>
          <w:rFonts w:hint="cs"/>
          <w:rtl/>
        </w:rPr>
        <w:t xml:space="preserve"> </w:t>
      </w:r>
      <w:r w:rsidR="0002380A" w:rsidRPr="0002380A">
        <w:rPr>
          <w:rFonts w:hint="cs"/>
          <w:rtl/>
        </w:rPr>
        <w:t>و</w:t>
      </w:r>
      <w:r w:rsidR="0002380A" w:rsidRPr="0002380A">
        <w:t>BP/</w:t>
      </w:r>
      <w:r w:rsidR="0002380A">
        <w:t>14</w:t>
      </w:r>
      <w:r w:rsidR="0002380A">
        <w:rPr>
          <w:rFonts w:hint="cs"/>
          <w:rtl/>
        </w:rPr>
        <w:t>، فإن الجمعية ارتأت أنه من المفيد أن تكون تلك الاستمارات في شكل نماذج. وبناء عليه، قام المكتب الدولي بإعداد تلك الاستمارات بذلك الشكل.</w:t>
      </w:r>
    </w:p>
    <w:p w:rsidR="0002380A" w:rsidRDefault="00D624F7" w:rsidP="00D624F7">
      <w:pPr>
        <w:pStyle w:val="ONUMA"/>
      </w:pPr>
      <w:r>
        <w:rPr>
          <w:rFonts w:hint="cs"/>
          <w:rtl/>
        </w:rPr>
        <w:t xml:space="preserve">ويُطلق على الاستمارات </w:t>
      </w:r>
      <w:r w:rsidRPr="0099799E">
        <w:t>BP/</w:t>
      </w:r>
      <w:r>
        <w:t>4</w:t>
      </w:r>
      <w:r>
        <w:rPr>
          <w:rFonts w:hint="cs"/>
          <w:rtl/>
        </w:rPr>
        <w:t xml:space="preserve"> و</w:t>
      </w:r>
      <w:r w:rsidRPr="0099799E">
        <w:rPr>
          <w:rFonts w:eastAsia="SimSun"/>
          <w:lang w:eastAsia="zh-CN"/>
        </w:rPr>
        <w:t xml:space="preserve"> </w:t>
      </w:r>
      <w:r w:rsidRPr="0099799E">
        <w:t>BP/</w:t>
      </w:r>
      <w:r>
        <w:t>5</w:t>
      </w:r>
      <w:r>
        <w:rPr>
          <w:rFonts w:hint="cs"/>
          <w:rtl/>
        </w:rPr>
        <w:t>و</w:t>
      </w:r>
      <w:r w:rsidRPr="0099799E">
        <w:rPr>
          <w:rFonts w:eastAsia="SimSun"/>
          <w:lang w:eastAsia="zh-CN"/>
        </w:rPr>
        <w:t xml:space="preserve"> </w:t>
      </w:r>
      <w:r w:rsidRPr="0099799E">
        <w:t>BP/</w:t>
      </w:r>
      <w:r>
        <w:t>6</w:t>
      </w:r>
      <w:r>
        <w:rPr>
          <w:rFonts w:hint="cs"/>
          <w:rtl/>
        </w:rPr>
        <w:t>و</w:t>
      </w:r>
      <w:r w:rsidRPr="0099799E">
        <w:rPr>
          <w:rFonts w:eastAsia="SimSun"/>
          <w:lang w:eastAsia="zh-CN"/>
        </w:rPr>
        <w:t xml:space="preserve"> </w:t>
      </w:r>
      <w:r w:rsidRPr="0099799E">
        <w:t>BP/</w:t>
      </w:r>
      <w:r>
        <w:t>9</w:t>
      </w:r>
      <w:r>
        <w:rPr>
          <w:rFonts w:hint="cs"/>
          <w:rtl/>
        </w:rPr>
        <w:t>اسم "الاس</w:t>
      </w:r>
      <w:r w:rsidR="000814DD">
        <w:rPr>
          <w:rFonts w:hint="cs"/>
          <w:rtl/>
        </w:rPr>
        <w:t>تمارات الدولية". وهي تتعلق بإيصال عن إيداع</w:t>
      </w:r>
      <w:r>
        <w:rPr>
          <w:rFonts w:hint="cs"/>
          <w:rtl/>
        </w:rPr>
        <w:t xml:space="preserve"> كائن دقيق وإعلان بشأن الصلاحية، صادرين عن سلطات الإيداع الدولية. وتُتاح تلك الاستمارات الدولية باللغات الإنكليزية والفرنسية والروسية والإسبانية، على نحو ما تقرّره الجمعية. وهناك استمارات أخرى متاحة حالياً باللغتين الإنكليزية والفرنسية.</w:t>
      </w:r>
    </w:p>
    <w:p w:rsidR="00D624F7" w:rsidRPr="00672BE5" w:rsidRDefault="00D624F7" w:rsidP="00672BE5">
      <w:pPr>
        <w:pStyle w:val="Heading2"/>
        <w:spacing w:before="0" w:after="220"/>
        <w:rPr>
          <w:i/>
          <w:iCs w:val="0"/>
          <w:sz w:val="24"/>
          <w:szCs w:val="24"/>
          <w:lang w:bidi="ar-EG"/>
        </w:rPr>
      </w:pPr>
      <w:r w:rsidRPr="00672BE5">
        <w:rPr>
          <w:rFonts w:hint="cs"/>
          <w:i/>
          <w:iCs w:val="0"/>
          <w:sz w:val="24"/>
          <w:szCs w:val="24"/>
          <w:rtl/>
          <w:lang w:bidi="ar-EG"/>
        </w:rPr>
        <w:t xml:space="preserve">إدراج رقم هاتف وعنوان بريد إلكتروني في </w:t>
      </w:r>
      <w:r w:rsidR="00672BE5" w:rsidRPr="00672BE5">
        <w:rPr>
          <w:rFonts w:hint="cs"/>
          <w:i/>
          <w:iCs w:val="0"/>
          <w:sz w:val="24"/>
          <w:szCs w:val="24"/>
          <w:rtl/>
          <w:lang w:bidi="ar-EG"/>
        </w:rPr>
        <w:t>استمارات</w:t>
      </w:r>
      <w:r w:rsidR="00E34396" w:rsidRPr="00672BE5">
        <w:rPr>
          <w:rFonts w:hint="cs"/>
          <w:i/>
          <w:iCs w:val="0"/>
          <w:sz w:val="24"/>
          <w:szCs w:val="24"/>
          <w:rtl/>
          <w:lang w:bidi="ar-EG"/>
        </w:rPr>
        <w:t xml:space="preserve"> معاهدة بودابست</w:t>
      </w:r>
    </w:p>
    <w:p w:rsidR="00672BE5" w:rsidRDefault="00BA6F83" w:rsidP="006319F3">
      <w:pPr>
        <w:pStyle w:val="ONUMA"/>
      </w:pPr>
      <w:r>
        <w:rPr>
          <w:rFonts w:hint="cs"/>
          <w:rtl/>
        </w:rPr>
        <w:t xml:space="preserve">لأغراض تحديد هوية مودع كائن دقيق أو </w:t>
      </w:r>
      <w:r w:rsidR="006319F3">
        <w:rPr>
          <w:rFonts w:hint="cs"/>
          <w:rtl/>
        </w:rPr>
        <w:t>ملتمس</w:t>
      </w:r>
      <w:r w:rsidR="00126E9C">
        <w:rPr>
          <w:rFonts w:hint="cs"/>
          <w:rtl/>
        </w:rPr>
        <w:t xml:space="preserve"> </w:t>
      </w:r>
      <w:r>
        <w:rPr>
          <w:rFonts w:hint="cs"/>
          <w:rtl/>
        </w:rPr>
        <w:t xml:space="preserve">عينة من الكائن الدقيق ذاته، أو التواصل معه، تحتوي جميع استمارات معاهدة بودابست على مجالات للاسم والعنوان. ولكن لا تتيح أي منها مجالات لإدراج عنوان البريد الإلكتروني </w:t>
      </w:r>
      <w:r w:rsidR="00FF02CA">
        <w:rPr>
          <w:rFonts w:hint="cs"/>
          <w:rtl/>
        </w:rPr>
        <w:t>و</w:t>
      </w:r>
      <w:r>
        <w:rPr>
          <w:rFonts w:hint="cs"/>
          <w:rtl/>
        </w:rPr>
        <w:t>رقم الهاتف الخاص</w:t>
      </w:r>
      <w:r w:rsidR="00FF02CA">
        <w:rPr>
          <w:rFonts w:hint="cs"/>
          <w:rtl/>
        </w:rPr>
        <w:t>ين</w:t>
      </w:r>
      <w:r>
        <w:rPr>
          <w:rFonts w:hint="cs"/>
          <w:rtl/>
        </w:rPr>
        <w:t xml:space="preserve"> بالطرف المعني.</w:t>
      </w:r>
    </w:p>
    <w:p w:rsidR="00BA6F83" w:rsidRDefault="00BA6F83" w:rsidP="00126E9C">
      <w:pPr>
        <w:pStyle w:val="ONUMA"/>
      </w:pPr>
      <w:r>
        <w:rPr>
          <w:rFonts w:hint="cs"/>
          <w:rtl/>
        </w:rPr>
        <w:t>وقد تبيّن، على أ</w:t>
      </w:r>
      <w:r w:rsidR="00CC5F37">
        <w:rPr>
          <w:rFonts w:hint="cs"/>
          <w:rtl/>
        </w:rPr>
        <w:t>رض الواقع</w:t>
      </w:r>
      <w:r>
        <w:rPr>
          <w:rFonts w:hint="cs"/>
          <w:rtl/>
        </w:rPr>
        <w:t xml:space="preserve">، أن البريد الإلكتروني والهاتف أصبحا من وسائل التواصل المعيارية. ويمكّن بيان رقم الهاتف وعنوان البريد الإلكتروني أيضاً من </w:t>
      </w:r>
      <w:r w:rsidR="00CC5F37">
        <w:rPr>
          <w:rFonts w:hint="cs"/>
          <w:rtl/>
        </w:rPr>
        <w:t>تحديد هوية الطرف المعني والتواصل معه حيثما اقتضى الأمر ذلك. و</w:t>
      </w:r>
      <w:r w:rsidR="00CD1D00">
        <w:rPr>
          <w:rFonts w:hint="cs"/>
          <w:rtl/>
        </w:rPr>
        <w:t>عليه</w:t>
      </w:r>
      <w:r w:rsidR="00FF02CA">
        <w:rPr>
          <w:rFonts w:hint="cs"/>
          <w:rtl/>
        </w:rPr>
        <w:t xml:space="preserve">، </w:t>
      </w:r>
      <w:r w:rsidR="00CC5F37">
        <w:rPr>
          <w:rFonts w:hint="cs"/>
          <w:rtl/>
        </w:rPr>
        <w:t xml:space="preserve">فإن إتاحة إمكانية إدراج </w:t>
      </w:r>
      <w:r w:rsidR="00CD1D00">
        <w:rPr>
          <w:rFonts w:hint="cs"/>
          <w:rtl/>
        </w:rPr>
        <w:t>تلك المعلومات في استمارات معاهدة بودا</w:t>
      </w:r>
      <w:r w:rsidR="00126E9C">
        <w:rPr>
          <w:rFonts w:hint="cs"/>
          <w:rtl/>
        </w:rPr>
        <w:t>بست ستفيد مستخدمي نظام بودابست بضمان</w:t>
      </w:r>
      <w:r w:rsidR="00CD1D00">
        <w:rPr>
          <w:rFonts w:hint="cs"/>
          <w:rtl/>
        </w:rPr>
        <w:t xml:space="preserve"> التواصل السريع بين سلطات الإيداع الدولية ومكاتب الملكية الفكرية ومودعي الكائنات الدقيقة أو </w:t>
      </w:r>
      <w:r w:rsidR="006319F3">
        <w:rPr>
          <w:rFonts w:hint="cs"/>
          <w:rtl/>
        </w:rPr>
        <w:t>ملتمسي</w:t>
      </w:r>
      <w:r w:rsidR="00CD1D00">
        <w:rPr>
          <w:rFonts w:hint="cs"/>
          <w:rtl/>
        </w:rPr>
        <w:t xml:space="preserve"> عينات من الكائنات الدقيقة المودعة. وبالتالي</w:t>
      </w:r>
      <w:r w:rsidR="00FF02CA">
        <w:rPr>
          <w:rFonts w:hint="cs"/>
          <w:rtl/>
        </w:rPr>
        <w:t>،</w:t>
      </w:r>
      <w:r w:rsidR="00CD1D00">
        <w:rPr>
          <w:rFonts w:hint="cs"/>
          <w:rtl/>
        </w:rPr>
        <w:t xml:space="preserve"> يُقترح توفير مجالات لإدراج عنوان البريد الإلكتروني ورقم الهاتف في استمارات معاهدة بودابست.</w:t>
      </w:r>
    </w:p>
    <w:p w:rsidR="00CD1D00" w:rsidRDefault="00CD1D00" w:rsidP="00FF02CA">
      <w:pPr>
        <w:pStyle w:val="ONUMA"/>
      </w:pPr>
      <w:r>
        <w:rPr>
          <w:rFonts w:hint="cs"/>
          <w:rtl/>
        </w:rPr>
        <w:t xml:space="preserve">وطبقاً للقاعدة 3.11(أ) </w:t>
      </w:r>
      <w:r w:rsidR="00126E9C">
        <w:rPr>
          <w:rFonts w:hint="cs"/>
          <w:rtl/>
        </w:rPr>
        <w:t>من اللائحة التنفيذية لمعاهدة بو</w:t>
      </w:r>
      <w:r>
        <w:rPr>
          <w:rFonts w:hint="cs"/>
          <w:rtl/>
        </w:rPr>
        <w:t>د</w:t>
      </w:r>
      <w:r w:rsidR="00126E9C">
        <w:rPr>
          <w:rFonts w:hint="cs"/>
          <w:rtl/>
        </w:rPr>
        <w:t>ا</w:t>
      </w:r>
      <w:r>
        <w:rPr>
          <w:rFonts w:hint="cs"/>
          <w:rtl/>
        </w:rPr>
        <w:t xml:space="preserve">بست، تتولى </w:t>
      </w:r>
      <w:r w:rsidR="00FF02CA">
        <w:rPr>
          <w:rFonts w:hint="cs"/>
          <w:rtl/>
        </w:rPr>
        <w:t xml:space="preserve">الجمعية تحديد محتوى الاستمارة </w:t>
      </w:r>
      <w:r w:rsidR="00FF02CA" w:rsidRPr="00FF02CA">
        <w:t>BP/12</w:t>
      </w:r>
      <w:r w:rsidR="00FF02CA">
        <w:rPr>
          <w:rFonts w:hint="cs"/>
          <w:rtl/>
        </w:rPr>
        <w:t xml:space="preserve">، المتعلقة بتقديم عينات من الكائنات الدقيقة المودعة إلى الطرف المخوّل قانوناً. وبالتالي فإن الجمعية مدعوة إلى النظر في إمكانية إدراج عنوان البريد الإلكتروني ورقم الهاتف الخاصين بالطرف المعني كجزء من محتوى الاستمارة </w:t>
      </w:r>
      <w:r w:rsidR="00FF02CA" w:rsidRPr="00FF02CA">
        <w:t>BP/12</w:t>
      </w:r>
      <w:r w:rsidR="00FF02CA">
        <w:rPr>
          <w:rFonts w:hint="cs"/>
          <w:rtl/>
        </w:rPr>
        <w:t>.</w:t>
      </w:r>
    </w:p>
    <w:p w:rsidR="00FF02CA" w:rsidRDefault="00126E9C" w:rsidP="00126E9C">
      <w:pPr>
        <w:pStyle w:val="ONUMA"/>
      </w:pPr>
      <w:r>
        <w:rPr>
          <w:rFonts w:hint="cs"/>
          <w:rtl/>
        </w:rPr>
        <w:t>أما</w:t>
      </w:r>
      <w:r w:rsidR="00EC260E">
        <w:rPr>
          <w:rFonts w:hint="cs"/>
          <w:rtl/>
        </w:rPr>
        <w:t xml:space="preserve"> الاستمارات الدولية الأخرى ل</w:t>
      </w:r>
      <w:r w:rsidR="00D44612">
        <w:rPr>
          <w:rFonts w:hint="cs"/>
          <w:rtl/>
        </w:rPr>
        <w:t>معاهدة بودابست</w:t>
      </w:r>
      <w:r w:rsidR="00EC260E">
        <w:rPr>
          <w:rFonts w:hint="cs"/>
          <w:rtl/>
        </w:rPr>
        <w:t>،</w:t>
      </w:r>
      <w:r>
        <w:rPr>
          <w:rFonts w:hint="cs"/>
          <w:rtl/>
        </w:rPr>
        <w:t xml:space="preserve"> أي</w:t>
      </w:r>
      <w:r w:rsidR="00EC260E">
        <w:rPr>
          <w:rFonts w:hint="cs"/>
          <w:rtl/>
        </w:rPr>
        <w:t xml:space="preserve"> </w:t>
      </w:r>
      <w:r w:rsidR="00E112CF" w:rsidRPr="00E112CF">
        <w:t>BP/4</w:t>
      </w:r>
      <w:r w:rsidR="00E112CF" w:rsidRPr="00E112CF">
        <w:rPr>
          <w:rFonts w:hint="cs"/>
          <w:rtl/>
        </w:rPr>
        <w:t xml:space="preserve"> </w:t>
      </w:r>
      <w:r w:rsidR="00E112CF">
        <w:rPr>
          <w:rFonts w:hint="cs"/>
          <w:rtl/>
        </w:rPr>
        <w:t>و</w:t>
      </w:r>
      <w:r w:rsidR="00E112CF" w:rsidRPr="00E112CF">
        <w:t>BP/5</w:t>
      </w:r>
      <w:r w:rsidR="00E112CF">
        <w:rPr>
          <w:rFonts w:hint="cs"/>
          <w:rtl/>
        </w:rPr>
        <w:t xml:space="preserve"> </w:t>
      </w:r>
      <w:r w:rsidR="00E112CF" w:rsidRPr="00E112CF">
        <w:rPr>
          <w:rFonts w:hint="cs"/>
          <w:rtl/>
        </w:rPr>
        <w:t>و</w:t>
      </w:r>
      <w:r w:rsidR="00E112CF" w:rsidRPr="00E112CF">
        <w:t>BP/6</w:t>
      </w:r>
      <w:r w:rsidR="00E112CF">
        <w:rPr>
          <w:rFonts w:hint="cs"/>
          <w:rtl/>
        </w:rPr>
        <w:t xml:space="preserve"> </w:t>
      </w:r>
      <w:r w:rsidR="00E112CF" w:rsidRPr="00E112CF">
        <w:rPr>
          <w:rFonts w:hint="cs"/>
          <w:rtl/>
        </w:rPr>
        <w:t>و</w:t>
      </w:r>
      <w:r w:rsidR="00E112CF" w:rsidRPr="00E112CF">
        <w:t>BP/9</w:t>
      </w:r>
      <w:r>
        <w:rPr>
          <w:rFonts w:hint="cs"/>
          <w:rtl/>
        </w:rPr>
        <w:t xml:space="preserve">، فيتولى المدير العام </w:t>
      </w:r>
      <w:r w:rsidRPr="00E741EB">
        <w:rPr>
          <w:rFonts w:hint="cs"/>
          <w:rtl/>
        </w:rPr>
        <w:t>إعداد</w:t>
      </w:r>
      <w:r>
        <w:rPr>
          <w:rFonts w:hint="cs"/>
          <w:rtl/>
        </w:rPr>
        <w:t xml:space="preserve">ها </w:t>
      </w:r>
      <w:r w:rsidR="00E112CF">
        <w:rPr>
          <w:rFonts w:hint="cs"/>
          <w:rtl/>
        </w:rPr>
        <w:t>(انظر القاعدة 2.7(أ) والقاعدة 2.10</w:t>
      </w:r>
      <w:r w:rsidR="006319F3">
        <w:rPr>
          <w:rFonts w:hint="cs"/>
          <w:rtl/>
        </w:rPr>
        <w:t>(د) من اللائحة التنفيذية لمعاهدة بودابست). ويتولى المكتب الدولي إعداد بقية استمارات معاهدة بودابست</w:t>
      </w:r>
      <w:r w:rsidR="006319F3">
        <w:rPr>
          <w:rStyle w:val="FootnoteReference"/>
          <w:rtl/>
        </w:rPr>
        <w:footnoteReference w:id="2"/>
      </w:r>
      <w:r w:rsidR="006319F3">
        <w:rPr>
          <w:rFonts w:hint="cs"/>
          <w:rtl/>
        </w:rPr>
        <w:t xml:space="preserve"> كمجرّد مرجع أو نموذج لفائدة مستخدمي نظام بودابست. وبناء عليه، سيعد المكتب الدولي مسودات مراج</w:t>
      </w:r>
      <w:r w:rsidR="00AC1DF4">
        <w:rPr>
          <w:rFonts w:hint="cs"/>
          <w:rtl/>
        </w:rPr>
        <w:t>َ</w:t>
      </w:r>
      <w:r w:rsidR="006319F3">
        <w:rPr>
          <w:rFonts w:hint="cs"/>
          <w:rtl/>
        </w:rPr>
        <w:t xml:space="preserve">عة لاستمارات معاهدة بودابست تحتوي على مجالات لإدراج عنوان البريد الإلكتروني ورقم الهاتف الخاصين بالمودع/الملتمس، وتعميمها على الدول الأعضاء للتشاور، قبل إعداد الصيغة النهائية </w:t>
      </w:r>
      <w:r w:rsidR="00D44612">
        <w:rPr>
          <w:rFonts w:hint="cs"/>
          <w:rtl/>
        </w:rPr>
        <w:t>لاستمارات معاهدة بودابست المراجَعة ونشرها.</w:t>
      </w:r>
    </w:p>
    <w:p w:rsidR="00D44612" w:rsidRPr="00D44612" w:rsidRDefault="00D44612" w:rsidP="00D44612">
      <w:pPr>
        <w:pStyle w:val="Heading2"/>
        <w:spacing w:before="0" w:after="220"/>
        <w:rPr>
          <w:i/>
          <w:iCs w:val="0"/>
          <w:sz w:val="24"/>
          <w:szCs w:val="24"/>
          <w:lang w:bidi="ar-EG"/>
        </w:rPr>
      </w:pPr>
      <w:r w:rsidRPr="00D44612">
        <w:rPr>
          <w:rFonts w:hint="cs"/>
          <w:i/>
          <w:iCs w:val="0"/>
          <w:sz w:val="24"/>
          <w:szCs w:val="24"/>
          <w:rtl/>
          <w:lang w:bidi="ar-EG"/>
        </w:rPr>
        <w:t>إعداد استمارات معاهدة بودابست بلغات الأمم المتحدة الست</w:t>
      </w:r>
    </w:p>
    <w:p w:rsidR="00D44612" w:rsidRDefault="00D44612" w:rsidP="005F7F43">
      <w:pPr>
        <w:pStyle w:val="ONUMA"/>
      </w:pPr>
      <w:r>
        <w:rPr>
          <w:rFonts w:hint="cs"/>
          <w:rtl/>
        </w:rPr>
        <w:t xml:space="preserve">طبقاً للقاعدتين </w:t>
      </w:r>
      <w:r w:rsidR="001F53F8">
        <w:rPr>
          <w:rFonts w:hint="cs"/>
          <w:rtl/>
        </w:rPr>
        <w:t>2.7(أ) و2.10(د) من ال</w:t>
      </w:r>
      <w:r w:rsidR="005F7F43">
        <w:rPr>
          <w:rFonts w:hint="cs"/>
          <w:rtl/>
        </w:rPr>
        <w:t xml:space="preserve">لائحة التنفيذية لمعاهدة بودابست، تحدّد الجمعية لغات الاستمارات </w:t>
      </w:r>
      <w:r w:rsidR="005F7F43" w:rsidRPr="0099799E">
        <w:t>BP/</w:t>
      </w:r>
      <w:r w:rsidR="005F7F43">
        <w:t>4</w:t>
      </w:r>
      <w:r w:rsidR="005F7F43">
        <w:rPr>
          <w:rFonts w:hint="cs"/>
          <w:rtl/>
        </w:rPr>
        <w:t xml:space="preserve"> و</w:t>
      </w:r>
      <w:r w:rsidR="005F7F43" w:rsidRPr="0099799E">
        <w:t>BP/</w:t>
      </w:r>
      <w:r w:rsidR="005F7F43">
        <w:t>5</w:t>
      </w:r>
      <w:r w:rsidR="005F7F43">
        <w:rPr>
          <w:rFonts w:hint="cs"/>
          <w:rtl/>
        </w:rPr>
        <w:t xml:space="preserve"> و</w:t>
      </w:r>
      <w:r w:rsidR="005F7F43" w:rsidRPr="0099799E">
        <w:rPr>
          <w:rFonts w:eastAsia="SimSun"/>
          <w:lang w:eastAsia="zh-CN"/>
        </w:rPr>
        <w:t xml:space="preserve"> </w:t>
      </w:r>
      <w:r w:rsidR="005F7F43" w:rsidRPr="0099799E">
        <w:t>BP/</w:t>
      </w:r>
      <w:r w:rsidR="005F7F43">
        <w:t>6</w:t>
      </w:r>
      <w:r w:rsidR="005F7F43">
        <w:rPr>
          <w:rFonts w:hint="cs"/>
          <w:rtl/>
        </w:rPr>
        <w:t>و</w:t>
      </w:r>
      <w:r w:rsidR="005F7F43" w:rsidRPr="0099799E">
        <w:t>BP/</w:t>
      </w:r>
      <w:r w:rsidR="005F7F43">
        <w:t>9</w:t>
      </w:r>
      <w:r w:rsidR="005F7F43">
        <w:rPr>
          <w:rFonts w:hint="cs"/>
          <w:rtl/>
        </w:rPr>
        <w:t>. وقامت الجمعية، أثناء دورتها الثانية المعقودة في عام 1981، بتحديد الإنكليزية والفرنسية والروسية والإسبانية كلغات لتلك الاستمارات.</w:t>
      </w:r>
      <w:r w:rsidR="005F7F43">
        <w:rPr>
          <w:rStyle w:val="FootnoteReference"/>
          <w:rtl/>
        </w:rPr>
        <w:footnoteReference w:id="3"/>
      </w:r>
      <w:r w:rsidR="005F7F43">
        <w:rPr>
          <w:rFonts w:hint="cs"/>
          <w:rtl/>
        </w:rPr>
        <w:t xml:space="preserve"> ويجري، عادة، إعداد الاستمارات الأخرى من قبل المكتب الدولي باللغتين الإنكليزية والفرنسية.</w:t>
      </w:r>
    </w:p>
    <w:p w:rsidR="00461F79" w:rsidRDefault="005F7F43" w:rsidP="00461F79">
      <w:pPr>
        <w:pStyle w:val="ONUMA"/>
      </w:pPr>
      <w:r>
        <w:rPr>
          <w:rFonts w:hint="cs"/>
          <w:rtl/>
        </w:rPr>
        <w:t>ومنذ قرار الجمعية في عام 1981، انضمت الصين وعدة بلدان لغتها الرسمية (أو من بين لغاتها الرسمية) العربية</w:t>
      </w:r>
      <w:r>
        <w:rPr>
          <w:rStyle w:val="FootnoteReference"/>
          <w:rtl/>
        </w:rPr>
        <w:footnoteReference w:id="4"/>
      </w:r>
      <w:r>
        <w:rPr>
          <w:rFonts w:hint="cs"/>
          <w:rtl/>
        </w:rPr>
        <w:t xml:space="preserve"> إلى معاهدة بودابست. </w:t>
      </w:r>
      <w:r w:rsidR="00461F79">
        <w:rPr>
          <w:rFonts w:hint="cs"/>
          <w:rtl/>
        </w:rPr>
        <w:t xml:space="preserve">واللغات الرسمية لكثير من الدول المتعاقدة بموجب معاهدة بودابست وعددها 85 دولة هي العربية والصينية والإسبانية والروسية. ومع اتساع النطاق الجغرافي للمعاهدة، سيتيح توسيع نطاق اللغات التي تُتاح بها استمارات المعاهدة لمستخدمي نظام بودابست خياراً لغوياً أفضل للاضطلاع بالإجراءات المحدّدة بموجب معاهدة بودابست. وعليه، يُقترح أن تحدّد الجمعية لغات الأمم المتحدة الست، أي العربية والصينية والإنكليزية والفرنسية والإسبانية والروسية، كلغات للاستمارات </w:t>
      </w:r>
      <w:r w:rsidR="00461F79" w:rsidRPr="0099799E">
        <w:t>BP/</w:t>
      </w:r>
      <w:r w:rsidR="00461F79">
        <w:t>4</w:t>
      </w:r>
      <w:r w:rsidR="00461F79">
        <w:rPr>
          <w:rFonts w:hint="cs"/>
          <w:rtl/>
        </w:rPr>
        <w:t xml:space="preserve"> و</w:t>
      </w:r>
      <w:r w:rsidR="00461F79" w:rsidRPr="0099799E">
        <w:t>BP/</w:t>
      </w:r>
      <w:r w:rsidR="00461F79">
        <w:t>5</w:t>
      </w:r>
      <w:r w:rsidR="00461F79">
        <w:rPr>
          <w:rFonts w:hint="cs"/>
          <w:rtl/>
        </w:rPr>
        <w:t xml:space="preserve"> و</w:t>
      </w:r>
      <w:r w:rsidR="00461F79" w:rsidRPr="0099799E">
        <w:t>BP/</w:t>
      </w:r>
      <w:r w:rsidR="00461F79">
        <w:t>6</w:t>
      </w:r>
      <w:r w:rsidR="00461F79">
        <w:rPr>
          <w:rFonts w:hint="cs"/>
          <w:rtl/>
        </w:rPr>
        <w:t>و</w:t>
      </w:r>
      <w:r w:rsidR="00461F79" w:rsidRPr="0099799E">
        <w:t>BP/</w:t>
      </w:r>
      <w:r w:rsidR="00461F79">
        <w:t>9</w:t>
      </w:r>
      <w:r w:rsidR="00461F79">
        <w:rPr>
          <w:rFonts w:hint="cs"/>
          <w:rtl/>
        </w:rPr>
        <w:t>.</w:t>
      </w:r>
    </w:p>
    <w:p w:rsidR="00461F79" w:rsidRDefault="00E741EB" w:rsidP="003229FF">
      <w:pPr>
        <w:pStyle w:val="ONUMA"/>
      </w:pPr>
      <w:r>
        <w:rPr>
          <w:rFonts w:hint="cs"/>
          <w:rtl/>
        </w:rPr>
        <w:t xml:space="preserve">وتخضع الاستمارات </w:t>
      </w:r>
      <w:r w:rsidRPr="00E741EB">
        <w:t>BP/10</w:t>
      </w:r>
      <w:r w:rsidR="003229FF">
        <w:rPr>
          <w:rFonts w:hint="cs"/>
          <w:rtl/>
        </w:rPr>
        <w:t xml:space="preserve"> </w:t>
      </w:r>
      <w:r w:rsidRPr="00E741EB">
        <w:rPr>
          <w:rFonts w:hint="cs"/>
          <w:rtl/>
        </w:rPr>
        <w:t>و</w:t>
      </w:r>
      <w:r w:rsidRPr="00E741EB">
        <w:t xml:space="preserve"> BP/11</w:t>
      </w:r>
      <w:r>
        <w:rPr>
          <w:rFonts w:hint="cs"/>
          <w:rtl/>
        </w:rPr>
        <w:t>و</w:t>
      </w:r>
      <w:r w:rsidRPr="00E741EB">
        <w:rPr>
          <w:rFonts w:eastAsia="SimSun"/>
          <w:lang w:eastAsia="zh-CN"/>
        </w:rPr>
        <w:t xml:space="preserve"> </w:t>
      </w:r>
      <w:r w:rsidRPr="00E741EB">
        <w:t>BP/</w:t>
      </w:r>
      <w:r>
        <w:t>12</w:t>
      </w:r>
      <w:r w:rsidRPr="00E741EB">
        <w:rPr>
          <w:rFonts w:hint="cs"/>
          <w:rtl/>
        </w:rPr>
        <w:t>و</w:t>
      </w:r>
      <w:r w:rsidRPr="00E741EB">
        <w:t>BP/13</w:t>
      </w:r>
      <w:r>
        <w:rPr>
          <w:rFonts w:hint="cs"/>
          <w:rtl/>
        </w:rPr>
        <w:t>، المتعلقة بتقديم عينة من كائن دقيق، لأحكام القواعد 1.11 و2.11 و3.11 من اللائحة التنفيذية لمعاهدة بودابست. وتغطي القاعدة 4.11(أ) و(ب) المسائل المرتبطة بلغات وترجمة أي طلب أو</w:t>
      </w:r>
      <w:r>
        <w:rPr>
          <w:rFonts w:hint="eastAsia"/>
          <w:rtl/>
        </w:rPr>
        <w:t> </w:t>
      </w:r>
      <w:r>
        <w:rPr>
          <w:rFonts w:hint="cs"/>
          <w:rtl/>
        </w:rPr>
        <w:t xml:space="preserve">إعلان أو </w:t>
      </w:r>
      <w:r w:rsidR="009C0C01">
        <w:rPr>
          <w:rFonts w:hint="cs"/>
          <w:rtl/>
        </w:rPr>
        <w:t>إشهاد</w:t>
      </w:r>
      <w:r>
        <w:rPr>
          <w:rFonts w:hint="cs"/>
          <w:rtl/>
        </w:rPr>
        <w:t xml:space="preserve"> أو تبلي</w:t>
      </w:r>
      <w:r w:rsidR="009C0C01">
        <w:rPr>
          <w:rFonts w:hint="cs"/>
          <w:rtl/>
        </w:rPr>
        <w:t xml:space="preserve">غ </w:t>
      </w:r>
      <w:r>
        <w:rPr>
          <w:rFonts w:hint="cs"/>
          <w:rtl/>
        </w:rPr>
        <w:t xml:space="preserve">مشار إليه في القواعد 1.11 و2.11 و3.11. وتنص تلك القواعد على ما يلي: "1" اللغات التي </w:t>
      </w:r>
      <w:r w:rsidR="009C0C01">
        <w:rPr>
          <w:rFonts w:hint="cs"/>
          <w:rtl/>
        </w:rPr>
        <w:t xml:space="preserve">ينبغي أن يُوجه بها أي </w:t>
      </w:r>
      <w:r w:rsidR="003229FF" w:rsidRPr="003229FF">
        <w:rPr>
          <w:rFonts w:hint="cs"/>
          <w:rtl/>
        </w:rPr>
        <w:t>طلب أو</w:t>
      </w:r>
      <w:r w:rsidR="003229FF">
        <w:rPr>
          <w:rFonts w:hint="cs"/>
          <w:rtl/>
        </w:rPr>
        <w:t xml:space="preserve"> </w:t>
      </w:r>
      <w:r w:rsidR="003229FF" w:rsidRPr="003229FF">
        <w:rPr>
          <w:rFonts w:hint="cs"/>
          <w:rtl/>
        </w:rPr>
        <w:t>إعلان أو إشهاد أو تبلي</w:t>
      </w:r>
      <w:r w:rsidR="003229FF">
        <w:rPr>
          <w:rFonts w:hint="cs"/>
          <w:rtl/>
        </w:rPr>
        <w:t>غ من ذلك القبيل</w:t>
      </w:r>
      <w:r w:rsidR="009C0C01">
        <w:rPr>
          <w:rFonts w:hint="cs"/>
          <w:rtl/>
        </w:rPr>
        <w:t xml:space="preserve">؛ "2" والحالات التي يتعيّن فيها على المكتب الدولي تقديم ترجمة لأنواع التبليغ المختلفة المذكورة. ويتعيّن، على وجه التحديد، توجيه تلك التبليغات باللغات الإنكليزية والفرنسية والروسية والإسبانية في بعض الحالات وباللغة الإنكليزية أو الفرنسية في بعض الحالات الأخرى، حسب اللغة (اللغات) الرسمية لسلطة الإيداع الدولية التي </w:t>
      </w:r>
      <w:r w:rsidR="009C0C01">
        <w:rPr>
          <w:rFonts w:hint="cs"/>
          <w:rtl/>
        </w:rPr>
        <w:lastRenderedPageBreak/>
        <w:t>تتسلم تلك التبليغات. وفي ظلّ ظروف معيّنة، يكون المكتب الدولي ملزماً</w:t>
      </w:r>
      <w:r w:rsidR="00324EFC">
        <w:rPr>
          <w:rFonts w:hint="cs"/>
          <w:rtl/>
        </w:rPr>
        <w:t xml:space="preserve"> بأن يُعد، بناء على الطلب، ترجمة معتمدة لتلك التبليغات من/إلى اللغة الروسية أو من/إلى اللغة الإسبانية.</w:t>
      </w:r>
    </w:p>
    <w:p w:rsidR="002A06AD" w:rsidRDefault="00161E5F" w:rsidP="003229FF">
      <w:pPr>
        <w:pStyle w:val="ONUMA"/>
      </w:pPr>
      <w:r>
        <w:rPr>
          <w:rFonts w:hint="cs"/>
          <w:rtl/>
        </w:rPr>
        <w:t xml:space="preserve">ولضمان الاتساق مع اتساع النطاق اللغوي لاستمارات معاهدة بودابست ومع التزام الويبو بالتعددية اللغوية بوصفها إحدى </w:t>
      </w:r>
      <w:r w:rsidR="000F246F">
        <w:rPr>
          <w:rtl/>
        </w:rPr>
        <w:t>القيم الأساسية للمنظمة و</w:t>
      </w:r>
      <w:r w:rsidR="000F246F" w:rsidRPr="000F246F">
        <w:rPr>
          <w:rtl/>
        </w:rPr>
        <w:t>وسي</w:t>
      </w:r>
      <w:r w:rsidR="003229FF">
        <w:rPr>
          <w:rtl/>
        </w:rPr>
        <w:t>لة للوصول إلى أرجاء العالم</w:t>
      </w:r>
      <w:r>
        <w:rPr>
          <w:rFonts w:hint="cs"/>
          <w:rtl/>
        </w:rPr>
        <w:t>،</w:t>
      </w:r>
      <w:r>
        <w:rPr>
          <w:rStyle w:val="FootnoteReference"/>
          <w:rtl/>
        </w:rPr>
        <w:footnoteReference w:id="5"/>
      </w:r>
      <w:r>
        <w:rPr>
          <w:rFonts w:hint="cs"/>
          <w:rtl/>
        </w:rPr>
        <w:t xml:space="preserve"> </w:t>
      </w:r>
      <w:r w:rsidR="000F246F">
        <w:rPr>
          <w:rFonts w:hint="cs"/>
          <w:rtl/>
        </w:rPr>
        <w:t xml:space="preserve">يُقترح أن تُعدّل الجمعية القاعدة 4.11(أ) و(ب) لتضمين تلك الأحكام التبليغات باللغتين العربية والصينية، وإتاحة إمكانية </w:t>
      </w:r>
      <w:r w:rsidR="003229FF">
        <w:rPr>
          <w:rFonts w:hint="cs"/>
          <w:rtl/>
        </w:rPr>
        <w:t>أن تُلتمس</w:t>
      </w:r>
      <w:r w:rsidR="000F246F">
        <w:rPr>
          <w:rFonts w:hint="cs"/>
          <w:rtl/>
        </w:rPr>
        <w:t xml:space="preserve"> </w:t>
      </w:r>
      <w:r w:rsidR="003229FF">
        <w:rPr>
          <w:rFonts w:hint="cs"/>
          <w:rtl/>
        </w:rPr>
        <w:t xml:space="preserve">من المكتب الدولي </w:t>
      </w:r>
      <w:r w:rsidR="000F246F">
        <w:rPr>
          <w:rFonts w:hint="cs"/>
          <w:rtl/>
        </w:rPr>
        <w:t>ترجمة معتمدة للتبليغات من/إلى العربية والصينية. ويعرض المرفق الثاني من هذه الوثيقة التعديلات المقترح إدخالها على القاعدة 4.11(أ)</w:t>
      </w:r>
      <w:r w:rsidR="00570B8C">
        <w:rPr>
          <w:rFonts w:hint="cs"/>
          <w:rtl/>
        </w:rPr>
        <w:t xml:space="preserve"> و(ب). ويُقترح أن تعتمد الجمعية</w:t>
      </w:r>
      <w:r w:rsidR="000F246F">
        <w:rPr>
          <w:rFonts w:hint="cs"/>
          <w:rtl/>
        </w:rPr>
        <w:t xml:space="preserve"> التعديلات المبيّنة في المرفق الثاني، كي تدخل حيّز النفاذ في 1 يناير 2023 وتنطبق على أي طلب أو إعلان أو إشهاد أو تبليغ مشار إليه في القواعد 1.11 و2.11 و3.11، مما سيود</w:t>
      </w:r>
      <w:r w:rsidR="00570B8C">
        <w:rPr>
          <w:rFonts w:hint="cs"/>
          <w:rtl/>
        </w:rPr>
        <w:t>َ</w:t>
      </w:r>
      <w:r w:rsidR="000F246F">
        <w:rPr>
          <w:rFonts w:hint="cs"/>
          <w:rtl/>
        </w:rPr>
        <w:t>ع أو يُقد</w:t>
      </w:r>
      <w:r w:rsidR="00570B8C">
        <w:rPr>
          <w:rFonts w:hint="cs"/>
          <w:rtl/>
        </w:rPr>
        <w:t>َ</w:t>
      </w:r>
      <w:r w:rsidR="000F246F">
        <w:rPr>
          <w:rFonts w:hint="cs"/>
          <w:rtl/>
        </w:rPr>
        <w:t>م في ذلك التاريخ أو بعده.</w:t>
      </w:r>
    </w:p>
    <w:p w:rsidR="000F246F" w:rsidRDefault="000F246F" w:rsidP="004C5FEC">
      <w:pPr>
        <w:pStyle w:val="ONUMA"/>
      </w:pPr>
      <w:r>
        <w:rPr>
          <w:rFonts w:hint="cs"/>
          <w:rtl/>
        </w:rPr>
        <w:t>و</w:t>
      </w:r>
      <w:r w:rsidR="00C164B0">
        <w:rPr>
          <w:rFonts w:hint="cs"/>
          <w:rtl/>
        </w:rPr>
        <w:t>تجدر الإشارة إلى أن سلطات الإيداع الدولية تميل كلها، في الواقع، إلى قبول الإنكليزية كلغة عمل أو تواصل، حتى وإن لم تكن لغتها الرسمية (أو إحدى لغاتها الرسمية). ولم يعثر المكتب الدولي، في سجلاته، عن أي طلبات للترجمة بموجب القاعدة 4.11(أ) أو</w:t>
      </w:r>
      <w:r w:rsidR="00C164B0">
        <w:rPr>
          <w:rFonts w:hint="eastAsia"/>
          <w:rtl/>
        </w:rPr>
        <w:t> </w:t>
      </w:r>
      <w:r w:rsidR="00C164B0">
        <w:rPr>
          <w:rFonts w:hint="cs"/>
          <w:rtl/>
        </w:rPr>
        <w:t xml:space="preserve">(ب). وبناء عليه، لا يُتوقّع أن يكون لتعديل القاعدة 4.11(أ) و(ب) تأثير كبير على </w:t>
      </w:r>
      <w:r w:rsidR="004C5FEC">
        <w:rPr>
          <w:rFonts w:hint="cs"/>
          <w:rtl/>
        </w:rPr>
        <w:t>حجم</w:t>
      </w:r>
      <w:r w:rsidR="00C164B0">
        <w:rPr>
          <w:rFonts w:hint="cs"/>
          <w:rtl/>
        </w:rPr>
        <w:t xml:space="preserve"> </w:t>
      </w:r>
      <w:r w:rsidR="004C5FEC">
        <w:rPr>
          <w:rFonts w:hint="cs"/>
          <w:rtl/>
        </w:rPr>
        <w:t>ال</w:t>
      </w:r>
      <w:r w:rsidR="00C164B0">
        <w:rPr>
          <w:rFonts w:hint="cs"/>
          <w:rtl/>
        </w:rPr>
        <w:t xml:space="preserve">عمل </w:t>
      </w:r>
      <w:r w:rsidR="004C5FEC">
        <w:rPr>
          <w:rFonts w:hint="cs"/>
          <w:rtl/>
        </w:rPr>
        <w:t>الخاص ب</w:t>
      </w:r>
      <w:r w:rsidR="00C164B0">
        <w:rPr>
          <w:rFonts w:hint="cs"/>
          <w:rtl/>
        </w:rPr>
        <w:t>الترجمة في المكتب الدولي.</w:t>
      </w:r>
    </w:p>
    <w:p w:rsidR="004C5FEC" w:rsidRDefault="004C5FEC" w:rsidP="00AC1DF4">
      <w:pPr>
        <w:pStyle w:val="ONUMA"/>
      </w:pPr>
      <w:r>
        <w:rPr>
          <w:rFonts w:hint="cs"/>
          <w:rtl/>
        </w:rPr>
        <w:t>وفيما يخص استمارات معاهدة بودابست الأخرى، سيقوم المكتب الدولي، إلا إذا قرّرت الجمعية خلاف ذلك، بإعدادها أيضاً بلغات الأمم المتحدة الست</w:t>
      </w:r>
      <w:r w:rsidR="00AC1DF4">
        <w:rPr>
          <w:rFonts w:hint="cs"/>
          <w:rtl/>
        </w:rPr>
        <w:t>، بحيث يتسنى توفير خدمة بمستوى متسق للمودعين/الملتمسين وسلطات الإيداع الدولية ومكاتب الملكية الفكرية.</w:t>
      </w:r>
    </w:p>
    <w:p w:rsidR="00AC1DF4" w:rsidRPr="00487DDB" w:rsidRDefault="00AC1DF4" w:rsidP="00AC1DF4">
      <w:pPr>
        <w:pStyle w:val="ONUMA"/>
        <w:ind w:left="5534"/>
        <w:rPr>
          <w:i/>
          <w:iCs/>
        </w:rPr>
      </w:pPr>
      <w:r w:rsidRPr="00487DDB">
        <w:rPr>
          <w:rFonts w:hint="cs"/>
          <w:i/>
          <w:iCs/>
          <w:rtl/>
        </w:rPr>
        <w:t>إن جمعية معاهدة بودابست مدعوة إلى ما</w:t>
      </w:r>
      <w:r w:rsidRPr="00487DDB">
        <w:rPr>
          <w:rFonts w:hint="eastAsia"/>
          <w:i/>
          <w:iCs/>
          <w:rtl/>
        </w:rPr>
        <w:t> </w:t>
      </w:r>
      <w:r w:rsidRPr="00487DDB">
        <w:rPr>
          <w:rFonts w:hint="cs"/>
          <w:i/>
          <w:iCs/>
          <w:rtl/>
        </w:rPr>
        <w:t>يلي:</w:t>
      </w:r>
    </w:p>
    <w:p w:rsidR="00AC1DF4" w:rsidRPr="00487DDB" w:rsidRDefault="00AC1DF4" w:rsidP="00AC1DF4">
      <w:pPr>
        <w:pStyle w:val="ONUMA"/>
        <w:numPr>
          <w:ilvl w:val="2"/>
          <w:numId w:val="7"/>
        </w:numPr>
        <w:ind w:left="6236" w:firstLine="142"/>
        <w:rPr>
          <w:i/>
          <w:iCs/>
        </w:rPr>
      </w:pPr>
      <w:r w:rsidRPr="00487DDB">
        <w:rPr>
          <w:rFonts w:hint="cs"/>
          <w:i/>
          <w:iCs/>
          <w:rtl/>
        </w:rPr>
        <w:t xml:space="preserve">تحديد محتوى الاستمارة </w:t>
      </w:r>
      <w:r w:rsidRPr="00487DDB">
        <w:rPr>
          <w:i/>
          <w:iCs/>
        </w:rPr>
        <w:t>BP/12</w:t>
      </w:r>
      <w:r w:rsidR="00487DDB" w:rsidRPr="00487DDB">
        <w:rPr>
          <w:rFonts w:hint="cs"/>
          <w:i/>
          <w:iCs/>
          <w:rtl/>
        </w:rPr>
        <w:t xml:space="preserve">، </w:t>
      </w:r>
      <w:r w:rsidRPr="00487DDB">
        <w:rPr>
          <w:rFonts w:hint="cs"/>
          <w:i/>
          <w:iCs/>
          <w:rtl/>
        </w:rPr>
        <w:t xml:space="preserve">على النحو المبيّن في الفقرة 8 من الوثيقة </w:t>
      </w:r>
      <w:r w:rsidRPr="00487DDB" w:rsidDel="00E71949">
        <w:rPr>
          <w:i/>
          <w:iCs/>
        </w:rPr>
        <w:t>BP/A/39/1</w:t>
      </w:r>
      <w:r w:rsidRPr="00487DDB">
        <w:rPr>
          <w:rFonts w:hint="cs"/>
          <w:i/>
          <w:iCs/>
          <w:rtl/>
        </w:rPr>
        <w:t>؛</w:t>
      </w:r>
    </w:p>
    <w:p w:rsidR="00AC1DF4" w:rsidRPr="00487DDB" w:rsidRDefault="00AC1DF4" w:rsidP="00AC1DF4">
      <w:pPr>
        <w:pStyle w:val="ONUMA"/>
        <w:numPr>
          <w:ilvl w:val="2"/>
          <w:numId w:val="7"/>
        </w:numPr>
        <w:ind w:left="6236" w:firstLine="142"/>
        <w:rPr>
          <w:i/>
          <w:iCs/>
        </w:rPr>
      </w:pPr>
      <w:r w:rsidRPr="00487DDB">
        <w:rPr>
          <w:rFonts w:hint="cs"/>
          <w:i/>
          <w:iCs/>
          <w:rtl/>
        </w:rPr>
        <w:t xml:space="preserve">والإحاطة علماً بمحتوى الفقرة 9 من الوثيقة </w:t>
      </w:r>
      <w:r w:rsidRPr="00487DDB" w:rsidDel="00E71949">
        <w:rPr>
          <w:i/>
          <w:iCs/>
        </w:rPr>
        <w:t>BP/A/39/1</w:t>
      </w:r>
      <w:r w:rsidRPr="00487DDB">
        <w:rPr>
          <w:rFonts w:hint="cs"/>
          <w:i/>
          <w:iCs/>
          <w:rtl/>
        </w:rPr>
        <w:t>؛</w:t>
      </w:r>
    </w:p>
    <w:p w:rsidR="00AC1DF4" w:rsidRPr="00487DDB" w:rsidRDefault="00AC1DF4" w:rsidP="00AC1DF4">
      <w:pPr>
        <w:pStyle w:val="ONUMA"/>
        <w:numPr>
          <w:ilvl w:val="2"/>
          <w:numId w:val="7"/>
        </w:numPr>
        <w:ind w:left="6236" w:firstLine="142"/>
        <w:rPr>
          <w:i/>
          <w:iCs/>
        </w:rPr>
      </w:pPr>
      <w:r w:rsidRPr="00487DDB">
        <w:rPr>
          <w:rFonts w:hint="cs"/>
          <w:i/>
          <w:iCs/>
          <w:rtl/>
        </w:rPr>
        <w:t xml:space="preserve">وتحديد لغات الاستمارات </w:t>
      </w:r>
      <w:r w:rsidRPr="00487DDB">
        <w:rPr>
          <w:i/>
          <w:iCs/>
        </w:rPr>
        <w:t>BP/4</w:t>
      </w:r>
      <w:r w:rsidRPr="00487DDB">
        <w:rPr>
          <w:rFonts w:hint="cs"/>
          <w:i/>
          <w:iCs/>
          <w:rtl/>
        </w:rPr>
        <w:t xml:space="preserve"> و</w:t>
      </w:r>
      <w:r w:rsidRPr="00487DDB">
        <w:rPr>
          <w:i/>
          <w:iCs/>
        </w:rPr>
        <w:t>BP/5</w:t>
      </w:r>
      <w:r w:rsidRPr="00487DDB">
        <w:rPr>
          <w:rFonts w:hint="cs"/>
          <w:i/>
          <w:iCs/>
          <w:rtl/>
        </w:rPr>
        <w:t xml:space="preserve"> و</w:t>
      </w:r>
      <w:r w:rsidRPr="00487DDB">
        <w:rPr>
          <w:i/>
          <w:iCs/>
        </w:rPr>
        <w:t xml:space="preserve"> BP/6</w:t>
      </w:r>
      <w:r w:rsidRPr="00487DDB">
        <w:rPr>
          <w:rFonts w:hint="cs"/>
          <w:i/>
          <w:iCs/>
          <w:rtl/>
        </w:rPr>
        <w:t>و</w:t>
      </w:r>
      <w:r w:rsidRPr="00487DDB">
        <w:rPr>
          <w:i/>
          <w:iCs/>
        </w:rPr>
        <w:t>BP/9</w:t>
      </w:r>
      <w:r w:rsidR="00487DDB" w:rsidRPr="00487DDB">
        <w:rPr>
          <w:rFonts w:hint="cs"/>
          <w:i/>
          <w:iCs/>
          <w:rtl/>
        </w:rPr>
        <w:t xml:space="preserve">، </w:t>
      </w:r>
      <w:r w:rsidRPr="00487DDB">
        <w:rPr>
          <w:rFonts w:hint="cs"/>
          <w:i/>
          <w:iCs/>
          <w:rtl/>
        </w:rPr>
        <w:t xml:space="preserve">على النحو المبيّن في الفقرة 11 من الوثيقة </w:t>
      </w:r>
      <w:r w:rsidRPr="00487DDB" w:rsidDel="00E71949">
        <w:rPr>
          <w:i/>
          <w:iCs/>
        </w:rPr>
        <w:t>BP/A/39/1</w:t>
      </w:r>
      <w:r w:rsidRPr="00487DDB">
        <w:rPr>
          <w:rFonts w:hint="cs"/>
          <w:i/>
          <w:iCs/>
          <w:rtl/>
        </w:rPr>
        <w:t>؛</w:t>
      </w:r>
    </w:p>
    <w:p w:rsidR="00AC1DF4" w:rsidRPr="00487DDB" w:rsidRDefault="00AC1DF4" w:rsidP="00AC1DF4">
      <w:pPr>
        <w:pStyle w:val="ONUMA"/>
        <w:numPr>
          <w:ilvl w:val="2"/>
          <w:numId w:val="7"/>
        </w:numPr>
        <w:ind w:left="6236" w:firstLine="142"/>
        <w:rPr>
          <w:i/>
          <w:iCs/>
        </w:rPr>
      </w:pPr>
      <w:r w:rsidRPr="00487DDB">
        <w:rPr>
          <w:rFonts w:hint="cs"/>
          <w:i/>
          <w:iCs/>
          <w:rtl/>
        </w:rPr>
        <w:t>واعتماد التعديلات المقترح إدخالها على اللائحة التنفيذية لمعاهدة بودابست</w:t>
      </w:r>
      <w:r w:rsidR="00487DDB" w:rsidRPr="00487DDB">
        <w:rPr>
          <w:rFonts w:hint="cs"/>
          <w:i/>
          <w:iCs/>
          <w:rtl/>
        </w:rPr>
        <w:t>، على النحو المبيّن في المرفق الثاني، على أن يكون تاريخ بدء النفاذ 1 يناير 2023.</w:t>
      </w:r>
    </w:p>
    <w:p w:rsidR="00487DDB" w:rsidRDefault="00487DDB" w:rsidP="00487DDB">
      <w:pPr>
        <w:pStyle w:val="Endofdocument-Annex"/>
        <w:rPr>
          <w:rtl/>
        </w:rPr>
        <w:sectPr w:rsidR="00487DDB"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المرفقان]</w:t>
      </w:r>
    </w:p>
    <w:p w:rsidR="00487DDB" w:rsidRPr="00DA0D9C" w:rsidRDefault="00487DDB" w:rsidP="0002184E">
      <w:pPr>
        <w:pStyle w:val="BodyText"/>
        <w:jc w:val="center"/>
        <w:rPr>
          <w:b/>
          <w:bCs/>
          <w:sz w:val="24"/>
          <w:szCs w:val="24"/>
          <w:rtl/>
        </w:rPr>
      </w:pPr>
      <w:r w:rsidRPr="00DA0D9C">
        <w:rPr>
          <w:rFonts w:hint="cs"/>
          <w:b/>
          <w:bCs/>
          <w:sz w:val="24"/>
          <w:szCs w:val="24"/>
          <w:rtl/>
        </w:rPr>
        <w:lastRenderedPageBreak/>
        <w:t>استمارات معاهدة بودابست ولائحتها التنفيذية</w:t>
      </w:r>
    </w:p>
    <w:p w:rsidR="00487DDB" w:rsidRPr="002D4D10" w:rsidRDefault="00487DDB" w:rsidP="000E1310">
      <w:pPr>
        <w:pStyle w:val="BodyText"/>
      </w:pPr>
    </w:p>
    <w:p w:rsidR="0002184E" w:rsidRPr="0002184E" w:rsidRDefault="000E1310" w:rsidP="000E1310">
      <w:pPr>
        <w:spacing w:after="220"/>
        <w:rPr>
          <w:rFonts w:ascii="Calibri" w:hAnsi="Calibri"/>
          <w:szCs w:val="20"/>
        </w:rPr>
      </w:pPr>
      <w:r>
        <w:rPr>
          <w:rFonts w:ascii="Calibri" w:hAnsi="Calibri" w:hint="cs"/>
          <w:szCs w:val="20"/>
          <w:rtl/>
        </w:rPr>
        <w:t>1.</w:t>
      </w:r>
      <w:r w:rsidR="0002184E" w:rsidRPr="0002184E">
        <w:rPr>
          <w:rFonts w:ascii="Calibri" w:hAnsi="Calibri"/>
          <w:szCs w:val="20"/>
        </w:rPr>
        <w:tab/>
        <w:t>BP/1</w:t>
      </w:r>
      <w:r w:rsidR="0002184E">
        <w:rPr>
          <w:rFonts w:ascii="Calibri" w:hAnsi="Calibri" w:hint="cs"/>
          <w:szCs w:val="20"/>
          <w:rtl/>
        </w:rPr>
        <w:t>: إعلان في حالة إيداع أصلي (القاعدة 1.6)</w:t>
      </w:r>
    </w:p>
    <w:p w:rsidR="0002184E" w:rsidRPr="0002184E" w:rsidRDefault="000E1310" w:rsidP="000E1310">
      <w:pPr>
        <w:spacing w:after="220"/>
        <w:ind w:left="540" w:hanging="540"/>
        <w:rPr>
          <w:rFonts w:ascii="Calibri" w:hAnsi="Calibri"/>
          <w:szCs w:val="20"/>
        </w:rPr>
      </w:pPr>
      <w:r>
        <w:rPr>
          <w:rFonts w:ascii="Calibri" w:hAnsi="Calibri" w:hint="cs"/>
          <w:szCs w:val="20"/>
          <w:rtl/>
        </w:rPr>
        <w:t>2.</w:t>
      </w:r>
      <w:r w:rsidR="0002184E" w:rsidRPr="0002184E">
        <w:rPr>
          <w:rFonts w:ascii="Calibri" w:hAnsi="Calibri"/>
          <w:szCs w:val="20"/>
        </w:rPr>
        <w:tab/>
        <w:t>BP/2</w:t>
      </w:r>
      <w:r w:rsidR="0002184E">
        <w:rPr>
          <w:rFonts w:ascii="Calibri" w:hAnsi="Calibri" w:hint="cs"/>
          <w:szCs w:val="20"/>
          <w:rtl/>
        </w:rPr>
        <w:t>: إعلان في حالة إيداع جديد لدى سلطة الإيداع الدولية ذاتها (القاعدة 2.6)</w:t>
      </w:r>
    </w:p>
    <w:p w:rsidR="0002184E" w:rsidRPr="0002184E" w:rsidRDefault="000E1310" w:rsidP="000E1310">
      <w:pPr>
        <w:spacing w:after="220"/>
        <w:ind w:left="540" w:hanging="540"/>
        <w:rPr>
          <w:rFonts w:ascii="Calibri" w:hAnsi="Calibri"/>
          <w:szCs w:val="20"/>
        </w:rPr>
      </w:pPr>
      <w:r>
        <w:rPr>
          <w:rFonts w:ascii="Calibri" w:hAnsi="Calibri" w:hint="cs"/>
          <w:szCs w:val="20"/>
          <w:rtl/>
        </w:rPr>
        <w:t>3.</w:t>
      </w:r>
      <w:r w:rsidR="0002184E" w:rsidRPr="0002184E">
        <w:rPr>
          <w:rFonts w:ascii="Calibri" w:hAnsi="Calibri"/>
          <w:szCs w:val="20"/>
        </w:rPr>
        <w:tab/>
        <w:t>BP/3</w:t>
      </w:r>
      <w:r w:rsidR="0002184E">
        <w:rPr>
          <w:rFonts w:ascii="Calibri" w:hAnsi="Calibri" w:hint="cs"/>
          <w:szCs w:val="20"/>
          <w:rtl/>
        </w:rPr>
        <w:t xml:space="preserve">: إعلان في حالة إيداع جديد لدى سلطة إيداع دولية أخرى (القاعدة </w:t>
      </w:r>
      <w:r>
        <w:rPr>
          <w:rFonts w:ascii="Calibri" w:hAnsi="Calibri" w:hint="cs"/>
          <w:szCs w:val="20"/>
          <w:rtl/>
        </w:rPr>
        <w:t>2</w:t>
      </w:r>
      <w:r w:rsidR="0002184E">
        <w:rPr>
          <w:rFonts w:ascii="Calibri" w:hAnsi="Calibri" w:hint="cs"/>
          <w:szCs w:val="20"/>
          <w:rtl/>
        </w:rPr>
        <w:t>.6)</w:t>
      </w:r>
    </w:p>
    <w:p w:rsidR="0002184E" w:rsidRPr="0002184E" w:rsidRDefault="000E1310" w:rsidP="000E1310">
      <w:pPr>
        <w:spacing w:after="220"/>
        <w:rPr>
          <w:rFonts w:ascii="Calibri" w:hAnsi="Calibri"/>
          <w:szCs w:val="20"/>
        </w:rPr>
      </w:pPr>
      <w:r>
        <w:rPr>
          <w:rFonts w:ascii="Calibri" w:hAnsi="Calibri" w:hint="cs"/>
          <w:szCs w:val="20"/>
          <w:rtl/>
        </w:rPr>
        <w:t>4.</w:t>
      </w:r>
      <w:r w:rsidR="0002184E" w:rsidRPr="0002184E">
        <w:rPr>
          <w:rFonts w:ascii="Calibri" w:hAnsi="Calibri"/>
          <w:szCs w:val="20"/>
        </w:rPr>
        <w:tab/>
        <w:t>BP/4</w:t>
      </w:r>
      <w:r w:rsidR="00F442BC">
        <w:rPr>
          <w:rFonts w:ascii="Calibri" w:hAnsi="Calibri" w:hint="cs"/>
          <w:szCs w:val="20"/>
          <w:rtl/>
        </w:rPr>
        <w:t>: إيصال في حالة إيداع أصلي (القاعدة 1.7)</w:t>
      </w:r>
    </w:p>
    <w:p w:rsidR="0002184E" w:rsidRPr="0002184E" w:rsidRDefault="000E1310" w:rsidP="000E1310">
      <w:pPr>
        <w:spacing w:after="220"/>
        <w:rPr>
          <w:rFonts w:ascii="Calibri" w:hAnsi="Calibri"/>
          <w:szCs w:val="20"/>
        </w:rPr>
      </w:pPr>
      <w:r>
        <w:rPr>
          <w:rFonts w:ascii="Calibri" w:hAnsi="Calibri" w:hint="cs"/>
          <w:szCs w:val="20"/>
          <w:rtl/>
        </w:rPr>
        <w:t>5.</w:t>
      </w:r>
      <w:r w:rsidR="0002184E" w:rsidRPr="0002184E">
        <w:rPr>
          <w:rFonts w:ascii="Calibri" w:hAnsi="Calibri"/>
          <w:szCs w:val="20"/>
        </w:rPr>
        <w:tab/>
        <w:t>BP/5</w:t>
      </w:r>
      <w:r w:rsidR="00F442BC">
        <w:rPr>
          <w:rFonts w:ascii="Calibri" w:hAnsi="Calibri" w:hint="cs"/>
          <w:szCs w:val="20"/>
          <w:rtl/>
        </w:rPr>
        <w:t>: إيصال في حالة إيداع جديد (القاعدة 1.7)</w:t>
      </w:r>
    </w:p>
    <w:p w:rsidR="0002184E" w:rsidRPr="0002184E" w:rsidRDefault="000E1310" w:rsidP="000E1310">
      <w:pPr>
        <w:spacing w:after="220"/>
        <w:rPr>
          <w:rFonts w:ascii="Calibri" w:hAnsi="Calibri"/>
          <w:szCs w:val="20"/>
        </w:rPr>
      </w:pPr>
      <w:r>
        <w:rPr>
          <w:rFonts w:ascii="Calibri" w:hAnsi="Calibri" w:hint="cs"/>
          <w:szCs w:val="20"/>
          <w:rtl/>
        </w:rPr>
        <w:t>6.</w:t>
      </w:r>
      <w:r w:rsidR="0002184E" w:rsidRPr="0002184E">
        <w:rPr>
          <w:rFonts w:ascii="Calibri" w:hAnsi="Calibri"/>
          <w:szCs w:val="20"/>
        </w:rPr>
        <w:tab/>
        <w:t>BP/6</w:t>
      </w:r>
      <w:r w:rsidR="00F442BC">
        <w:rPr>
          <w:rFonts w:ascii="Calibri" w:hAnsi="Calibri" w:hint="cs"/>
          <w:szCs w:val="20"/>
          <w:rtl/>
        </w:rPr>
        <w:t>: إيصال في حالة نقل (القاعدة 1.7)</w:t>
      </w:r>
    </w:p>
    <w:p w:rsidR="0002184E" w:rsidRPr="0002184E" w:rsidRDefault="000E1310" w:rsidP="000E1310">
      <w:pPr>
        <w:spacing w:after="220"/>
        <w:ind w:left="540" w:hanging="540"/>
        <w:rPr>
          <w:rFonts w:ascii="Calibri" w:hAnsi="Calibri"/>
          <w:szCs w:val="20"/>
        </w:rPr>
      </w:pPr>
      <w:r>
        <w:rPr>
          <w:rFonts w:ascii="Calibri" w:hAnsi="Calibri" w:hint="cs"/>
          <w:szCs w:val="20"/>
          <w:rtl/>
        </w:rPr>
        <w:t>7.</w:t>
      </w:r>
      <w:r w:rsidR="0002184E" w:rsidRPr="0002184E">
        <w:rPr>
          <w:rFonts w:ascii="Calibri" w:hAnsi="Calibri"/>
          <w:szCs w:val="20"/>
        </w:rPr>
        <w:tab/>
        <w:t>BP/7</w:t>
      </w:r>
      <w:r w:rsidR="00F442BC">
        <w:rPr>
          <w:rFonts w:ascii="Calibri" w:hAnsi="Calibri" w:hint="cs"/>
          <w:szCs w:val="20"/>
          <w:rtl/>
        </w:rPr>
        <w:t>: تبليغ البيان أو التعديل اللاحق للوصف العلمي و/أو التعيين التصنيفي المقترح (القاعدة 1.8)</w:t>
      </w:r>
    </w:p>
    <w:p w:rsidR="0002184E" w:rsidRPr="0002184E" w:rsidRDefault="000E1310" w:rsidP="000E1310">
      <w:pPr>
        <w:spacing w:after="220"/>
        <w:ind w:left="540" w:hanging="540"/>
        <w:rPr>
          <w:rFonts w:ascii="Calibri" w:hAnsi="Calibri"/>
          <w:szCs w:val="20"/>
        </w:rPr>
      </w:pPr>
      <w:r>
        <w:rPr>
          <w:rFonts w:ascii="Calibri" w:hAnsi="Calibri" w:hint="cs"/>
          <w:szCs w:val="20"/>
          <w:rtl/>
        </w:rPr>
        <w:t>8.</w:t>
      </w:r>
      <w:r w:rsidR="0002184E" w:rsidRPr="0002184E">
        <w:rPr>
          <w:rFonts w:ascii="Calibri" w:hAnsi="Calibri"/>
          <w:szCs w:val="20"/>
        </w:rPr>
        <w:tab/>
        <w:t>BP/8</w:t>
      </w:r>
      <w:r w:rsidR="00F442BC">
        <w:rPr>
          <w:rFonts w:ascii="Calibri" w:hAnsi="Calibri" w:hint="cs"/>
          <w:szCs w:val="20"/>
          <w:rtl/>
        </w:rPr>
        <w:t xml:space="preserve">: </w:t>
      </w:r>
      <w:r w:rsidR="00250FB0">
        <w:rPr>
          <w:rFonts w:ascii="Calibri" w:hAnsi="Calibri" w:hint="cs"/>
          <w:szCs w:val="20"/>
          <w:rtl/>
        </w:rPr>
        <w:t xml:space="preserve">شهادة بخصوص </w:t>
      </w:r>
      <w:r w:rsidR="00F442BC">
        <w:rPr>
          <w:rFonts w:ascii="Calibri" w:hAnsi="Calibri" w:hint="cs"/>
          <w:szCs w:val="20"/>
          <w:rtl/>
        </w:rPr>
        <w:t>البيان أو التعديل اللاحق للوصف العلمي و/أو التعيين التصنيفي المقترح (القاعدة 2.8)</w:t>
      </w:r>
    </w:p>
    <w:p w:rsidR="0002184E" w:rsidRPr="0002184E" w:rsidRDefault="000E1310" w:rsidP="000E1310">
      <w:pPr>
        <w:spacing w:after="220"/>
        <w:rPr>
          <w:rFonts w:ascii="Calibri" w:hAnsi="Calibri"/>
          <w:szCs w:val="20"/>
        </w:rPr>
      </w:pPr>
      <w:r>
        <w:rPr>
          <w:rFonts w:ascii="Calibri" w:hAnsi="Calibri" w:hint="cs"/>
          <w:szCs w:val="20"/>
          <w:rtl/>
        </w:rPr>
        <w:t>9.</w:t>
      </w:r>
      <w:r w:rsidR="0002184E" w:rsidRPr="0002184E">
        <w:rPr>
          <w:rFonts w:ascii="Calibri" w:hAnsi="Calibri"/>
          <w:szCs w:val="20"/>
        </w:rPr>
        <w:tab/>
        <w:t>BP/9</w:t>
      </w:r>
      <w:r w:rsidR="00250FB0">
        <w:rPr>
          <w:rFonts w:ascii="Calibri" w:hAnsi="Calibri" w:hint="cs"/>
          <w:szCs w:val="20"/>
          <w:rtl/>
        </w:rPr>
        <w:t>: إعلان بشأن الصلاحية (القاعدة 2.10)</w:t>
      </w:r>
    </w:p>
    <w:p w:rsidR="0002184E" w:rsidRPr="0002184E" w:rsidRDefault="000E1310" w:rsidP="000E1310">
      <w:pPr>
        <w:spacing w:after="220"/>
        <w:rPr>
          <w:rFonts w:ascii="Calibri" w:hAnsi="Calibri"/>
          <w:szCs w:val="20"/>
        </w:rPr>
      </w:pPr>
      <w:r>
        <w:rPr>
          <w:rFonts w:ascii="Calibri" w:hAnsi="Calibri" w:hint="cs"/>
          <w:szCs w:val="20"/>
          <w:rtl/>
        </w:rPr>
        <w:t>10.</w:t>
      </w:r>
      <w:r w:rsidR="0002184E" w:rsidRPr="0002184E">
        <w:rPr>
          <w:rFonts w:ascii="Calibri" w:hAnsi="Calibri"/>
          <w:szCs w:val="20"/>
        </w:rPr>
        <w:tab/>
        <w:t>BP/10</w:t>
      </w:r>
      <w:r w:rsidR="00592A6B">
        <w:rPr>
          <w:rFonts w:ascii="Calibri" w:hAnsi="Calibri" w:hint="cs"/>
          <w:szCs w:val="20"/>
          <w:rtl/>
        </w:rPr>
        <w:t>: طلب تقديم عينات من كائنات دقيقة مودعة (القاعدة 1.11)</w:t>
      </w:r>
    </w:p>
    <w:p w:rsidR="0002184E" w:rsidRPr="0002184E" w:rsidRDefault="000E1310" w:rsidP="000E1310">
      <w:pPr>
        <w:spacing w:after="220"/>
        <w:ind w:left="540" w:hanging="540"/>
        <w:rPr>
          <w:rFonts w:ascii="Calibri" w:hAnsi="Calibri"/>
          <w:szCs w:val="20"/>
        </w:rPr>
      </w:pPr>
      <w:r>
        <w:rPr>
          <w:rFonts w:ascii="Calibri" w:hAnsi="Calibri" w:hint="cs"/>
          <w:szCs w:val="20"/>
          <w:rtl/>
        </w:rPr>
        <w:t>11.</w:t>
      </w:r>
      <w:r w:rsidR="0002184E" w:rsidRPr="0002184E">
        <w:rPr>
          <w:rFonts w:ascii="Calibri" w:hAnsi="Calibri"/>
          <w:szCs w:val="20"/>
        </w:rPr>
        <w:tab/>
        <w:t>BP/11</w:t>
      </w:r>
      <w:r w:rsidR="00592A6B">
        <w:rPr>
          <w:rFonts w:ascii="Calibri" w:hAnsi="Calibri" w:hint="cs"/>
          <w:szCs w:val="20"/>
          <w:rtl/>
        </w:rPr>
        <w:t xml:space="preserve">: </w:t>
      </w:r>
      <w:r w:rsidR="00592A6B" w:rsidRPr="00592A6B">
        <w:rPr>
          <w:rFonts w:ascii="Calibri" w:hAnsi="Calibri" w:hint="cs"/>
          <w:szCs w:val="20"/>
          <w:rtl/>
        </w:rPr>
        <w:t xml:space="preserve">طلب تقديم عينات من كائنات دقيقة مودعة (القاعدة </w:t>
      </w:r>
      <w:r w:rsidR="00592A6B">
        <w:rPr>
          <w:rFonts w:ascii="Calibri" w:hAnsi="Calibri" w:hint="cs"/>
          <w:szCs w:val="20"/>
          <w:rtl/>
        </w:rPr>
        <w:t>2.11"2"</w:t>
      </w:r>
      <w:r w:rsidR="00592A6B" w:rsidRPr="00592A6B">
        <w:rPr>
          <w:rFonts w:ascii="Calibri" w:hAnsi="Calibri" w:hint="cs"/>
          <w:szCs w:val="20"/>
          <w:rtl/>
        </w:rPr>
        <w:t>)</w:t>
      </w:r>
    </w:p>
    <w:p w:rsidR="0002184E" w:rsidRPr="0002184E" w:rsidRDefault="000E1310" w:rsidP="000E1310">
      <w:pPr>
        <w:spacing w:after="220"/>
        <w:ind w:left="540" w:hanging="540"/>
        <w:rPr>
          <w:rFonts w:ascii="Calibri" w:hAnsi="Calibri"/>
          <w:szCs w:val="20"/>
        </w:rPr>
      </w:pPr>
      <w:r>
        <w:rPr>
          <w:rFonts w:ascii="Calibri" w:hAnsi="Calibri" w:hint="cs"/>
          <w:szCs w:val="20"/>
          <w:rtl/>
        </w:rPr>
        <w:t>12.</w:t>
      </w:r>
      <w:r w:rsidR="0002184E" w:rsidRPr="0002184E">
        <w:rPr>
          <w:rFonts w:ascii="Calibri" w:hAnsi="Calibri"/>
          <w:szCs w:val="20"/>
        </w:rPr>
        <w:tab/>
        <w:t>BP/12</w:t>
      </w:r>
      <w:r w:rsidR="00592A6B">
        <w:rPr>
          <w:rFonts w:ascii="Calibri" w:hAnsi="Calibri" w:hint="cs"/>
          <w:szCs w:val="20"/>
          <w:rtl/>
        </w:rPr>
        <w:t xml:space="preserve">: </w:t>
      </w:r>
      <w:r w:rsidR="00592A6B" w:rsidRPr="00592A6B">
        <w:rPr>
          <w:rFonts w:ascii="Calibri" w:hAnsi="Calibri" w:hint="cs"/>
          <w:szCs w:val="20"/>
          <w:rtl/>
        </w:rPr>
        <w:t xml:space="preserve">طلب تقديم عينات من كائنات دقيقة مودعة (القاعدة </w:t>
      </w:r>
      <w:r w:rsidR="00592A6B">
        <w:rPr>
          <w:rFonts w:ascii="Calibri" w:hAnsi="Calibri" w:hint="cs"/>
          <w:szCs w:val="20"/>
          <w:rtl/>
        </w:rPr>
        <w:t>3.11(أ)</w:t>
      </w:r>
      <w:r w:rsidR="00592A6B" w:rsidRPr="00592A6B">
        <w:rPr>
          <w:rFonts w:ascii="Calibri" w:hAnsi="Calibri" w:hint="cs"/>
          <w:szCs w:val="20"/>
          <w:rtl/>
        </w:rPr>
        <w:t>)</w:t>
      </w:r>
    </w:p>
    <w:p w:rsidR="0002184E" w:rsidRPr="0002184E" w:rsidRDefault="000E1310" w:rsidP="000E1310">
      <w:pPr>
        <w:spacing w:after="220"/>
        <w:ind w:left="540" w:hanging="540"/>
        <w:rPr>
          <w:rFonts w:ascii="Calibri" w:hAnsi="Calibri"/>
          <w:szCs w:val="20"/>
        </w:rPr>
      </w:pPr>
      <w:r>
        <w:rPr>
          <w:rFonts w:ascii="Calibri" w:hAnsi="Calibri" w:hint="cs"/>
          <w:szCs w:val="20"/>
          <w:rtl/>
        </w:rPr>
        <w:t>13.</w:t>
      </w:r>
      <w:r w:rsidR="0002184E" w:rsidRPr="0002184E">
        <w:rPr>
          <w:rFonts w:ascii="Calibri" w:hAnsi="Calibri"/>
          <w:szCs w:val="20"/>
        </w:rPr>
        <w:tab/>
        <w:t>BP/13</w:t>
      </w:r>
      <w:r w:rsidR="00592A6B">
        <w:rPr>
          <w:rFonts w:ascii="Calibri" w:hAnsi="Calibri" w:hint="cs"/>
          <w:szCs w:val="20"/>
          <w:rtl/>
        </w:rPr>
        <w:t xml:space="preserve">: </w:t>
      </w:r>
      <w:r w:rsidR="00DA0D9C" w:rsidRPr="00592A6B">
        <w:rPr>
          <w:rFonts w:ascii="Calibri" w:hAnsi="Calibri" w:hint="cs"/>
          <w:szCs w:val="20"/>
          <w:rtl/>
        </w:rPr>
        <w:t xml:space="preserve">طلب تقديم عينات من كائنات دقيقة مودعة (القاعدة </w:t>
      </w:r>
      <w:r w:rsidR="00DA0D9C">
        <w:rPr>
          <w:rFonts w:ascii="Calibri" w:hAnsi="Calibri" w:hint="cs"/>
          <w:szCs w:val="20"/>
          <w:rtl/>
        </w:rPr>
        <w:t>3.11(ب)</w:t>
      </w:r>
      <w:r w:rsidR="00DA0D9C" w:rsidRPr="00592A6B">
        <w:rPr>
          <w:rFonts w:ascii="Calibri" w:hAnsi="Calibri" w:hint="cs"/>
          <w:szCs w:val="20"/>
          <w:rtl/>
        </w:rPr>
        <w:t>)</w:t>
      </w:r>
    </w:p>
    <w:p w:rsidR="0002184E" w:rsidRPr="0002184E" w:rsidRDefault="000E1310" w:rsidP="000E1310">
      <w:pPr>
        <w:spacing w:after="220"/>
        <w:ind w:left="540" w:hanging="540"/>
        <w:rPr>
          <w:rFonts w:ascii="Calibri" w:hAnsi="Calibri"/>
          <w:szCs w:val="20"/>
        </w:rPr>
      </w:pPr>
      <w:r>
        <w:rPr>
          <w:rFonts w:ascii="Calibri" w:hAnsi="Calibri" w:hint="cs"/>
          <w:szCs w:val="20"/>
          <w:rtl/>
        </w:rPr>
        <w:t>14.</w:t>
      </w:r>
      <w:r w:rsidR="0002184E" w:rsidRPr="0002184E">
        <w:rPr>
          <w:rFonts w:ascii="Calibri" w:hAnsi="Calibri"/>
          <w:szCs w:val="20"/>
        </w:rPr>
        <w:tab/>
        <w:t>BP/14</w:t>
      </w:r>
      <w:r w:rsidR="00DA0D9C">
        <w:rPr>
          <w:rFonts w:ascii="Calibri" w:hAnsi="Calibri" w:hint="cs"/>
          <w:szCs w:val="20"/>
          <w:rtl/>
        </w:rPr>
        <w:t>: إخطار ب</w:t>
      </w:r>
      <w:r w:rsidR="00DA0D9C" w:rsidRPr="00592A6B">
        <w:rPr>
          <w:rFonts w:ascii="Calibri" w:hAnsi="Calibri" w:hint="cs"/>
          <w:szCs w:val="20"/>
          <w:rtl/>
        </w:rPr>
        <w:t xml:space="preserve">تقديم عينات من كائنات دقيقة مودعة (القاعدة </w:t>
      </w:r>
      <w:r w:rsidR="00DA0D9C">
        <w:rPr>
          <w:rFonts w:ascii="Calibri" w:hAnsi="Calibri" w:hint="cs"/>
          <w:szCs w:val="20"/>
          <w:rtl/>
        </w:rPr>
        <w:t>4.11(ز)</w:t>
      </w:r>
      <w:r w:rsidR="00DA0D9C" w:rsidRPr="00592A6B">
        <w:rPr>
          <w:rFonts w:ascii="Calibri" w:hAnsi="Calibri" w:hint="cs"/>
          <w:szCs w:val="20"/>
          <w:rtl/>
        </w:rPr>
        <w:t>)</w:t>
      </w:r>
    </w:p>
    <w:p w:rsidR="00487DDB" w:rsidRPr="0002184E" w:rsidRDefault="00487DDB" w:rsidP="000E1310">
      <w:pPr>
        <w:pStyle w:val="BodyText"/>
      </w:pPr>
    </w:p>
    <w:p w:rsidR="0002184E" w:rsidRDefault="0002184E" w:rsidP="0002184E">
      <w:pPr>
        <w:pStyle w:val="Endofdocument-Annex"/>
        <w:rPr>
          <w:rtl/>
        </w:rPr>
        <w:sectPr w:rsidR="0002184E" w:rsidSect="00CC3E2D">
          <w:headerReference w:type="first" r:id="rId18"/>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 الثاني]</w:t>
      </w:r>
    </w:p>
    <w:p w:rsidR="00487DDB" w:rsidRPr="00DA0D9C" w:rsidRDefault="00DA0D9C" w:rsidP="00DA0D9C">
      <w:pPr>
        <w:pStyle w:val="BodyText"/>
        <w:jc w:val="center"/>
        <w:rPr>
          <w:b/>
          <w:bCs/>
          <w:sz w:val="24"/>
          <w:szCs w:val="24"/>
        </w:rPr>
      </w:pPr>
      <w:r w:rsidRPr="00DA0D9C">
        <w:rPr>
          <w:rFonts w:hint="cs"/>
          <w:b/>
          <w:bCs/>
          <w:sz w:val="24"/>
          <w:szCs w:val="24"/>
          <w:rtl/>
        </w:rPr>
        <w:lastRenderedPageBreak/>
        <w:t>التعديلات المقترح إدخالها على اللائحة التنفيذية لمعاهدة بودابست</w:t>
      </w:r>
      <w:r w:rsidR="00307B1E">
        <w:rPr>
          <w:rStyle w:val="FootnoteReference"/>
          <w:b/>
          <w:bCs/>
          <w:sz w:val="24"/>
          <w:szCs w:val="24"/>
          <w:rtl/>
        </w:rPr>
        <w:footnoteReference w:id="6"/>
      </w:r>
    </w:p>
    <w:p w:rsidR="00487DDB" w:rsidRPr="002D4D10" w:rsidRDefault="00487DDB" w:rsidP="00487DDB">
      <w:pPr>
        <w:pStyle w:val="BodyText"/>
      </w:pPr>
    </w:p>
    <w:p w:rsidR="00487DDB" w:rsidRPr="002D4D10" w:rsidRDefault="00AE4885" w:rsidP="00AE4885">
      <w:pPr>
        <w:pStyle w:val="BodyText"/>
        <w:spacing w:after="0"/>
        <w:jc w:val="center"/>
      </w:pPr>
      <w:r w:rsidRPr="00AE4885">
        <w:rPr>
          <w:rFonts w:hint="eastAsia"/>
          <w:b/>
          <w:bCs/>
          <w:rtl/>
          <w:lang w:bidi="ar-EG"/>
        </w:rPr>
        <w:t>القاعدة</w:t>
      </w:r>
      <w:r w:rsidRPr="00AE4885">
        <w:rPr>
          <w:b/>
          <w:bCs/>
          <w:rtl/>
          <w:lang w:bidi="ar-EG"/>
        </w:rPr>
        <w:t xml:space="preserve"> 11</w:t>
      </w:r>
    </w:p>
    <w:p w:rsidR="00AE4885" w:rsidRPr="002D4D10" w:rsidRDefault="00AE4885" w:rsidP="00AE4885">
      <w:pPr>
        <w:pStyle w:val="BodyText"/>
        <w:jc w:val="center"/>
      </w:pPr>
      <w:r w:rsidRPr="00AE4885">
        <w:rPr>
          <w:rFonts w:hint="eastAsia"/>
          <w:b/>
          <w:bCs/>
          <w:rtl/>
          <w:lang w:bidi="ar-EG"/>
        </w:rPr>
        <w:t>تقديم</w:t>
      </w:r>
      <w:r w:rsidRPr="00AE4885">
        <w:rPr>
          <w:b/>
          <w:bCs/>
          <w:rtl/>
          <w:lang w:bidi="ar-EG"/>
        </w:rPr>
        <w:t xml:space="preserve"> عينات</w:t>
      </w:r>
    </w:p>
    <w:p w:rsidR="00AE4885" w:rsidRPr="00AE4885" w:rsidRDefault="00AE4885" w:rsidP="00AE4885">
      <w:pPr>
        <w:pStyle w:val="BodyText"/>
        <w:rPr>
          <w:rtl/>
        </w:rPr>
      </w:pPr>
      <w:r w:rsidRPr="00AE4885">
        <w:rPr>
          <w:rFonts w:hint="cs"/>
          <w:rtl/>
          <w:lang w:bidi="ar-EG"/>
        </w:rPr>
        <w:t>4.11</w:t>
      </w:r>
      <w:r w:rsidRPr="00AE4885">
        <w:rPr>
          <w:rtl/>
          <w:lang w:bidi="ar-EG"/>
        </w:rPr>
        <w:tab/>
      </w:r>
      <w:r w:rsidRPr="00AE4885">
        <w:rPr>
          <w:i/>
          <w:iCs/>
          <w:rtl/>
          <w:lang w:bidi="ar-EG"/>
        </w:rPr>
        <w:t>قواعد مشتركة</w:t>
      </w:r>
    </w:p>
    <w:p w:rsidR="00AE4885" w:rsidRPr="002D4D10" w:rsidRDefault="00AE4885" w:rsidP="00AE4885">
      <w:pPr>
        <w:pStyle w:val="BodyText"/>
        <w:ind w:left="283"/>
      </w:pPr>
      <w:r>
        <w:rPr>
          <w:rFonts w:hint="cs"/>
          <w:rtl/>
          <w:lang w:bidi="ar-EG"/>
        </w:rPr>
        <w:t>(</w:t>
      </w:r>
      <w:r w:rsidRPr="00AE4885">
        <w:rPr>
          <w:rtl/>
          <w:lang w:bidi="ar-EG"/>
        </w:rPr>
        <w:t>أ)</w:t>
      </w:r>
      <w:r w:rsidRPr="00AE4885">
        <w:rPr>
          <w:rtl/>
          <w:lang w:bidi="ar-EG"/>
        </w:rPr>
        <w:tab/>
        <w:t xml:space="preserve">كل طلب أو إعلان أو إشهاد أو تبليغ تشير إليه القواعد </w:t>
      </w:r>
      <w:r w:rsidRPr="00AE4885">
        <w:rPr>
          <w:rFonts w:hint="cs"/>
          <w:rtl/>
          <w:lang w:bidi="ar-EG"/>
        </w:rPr>
        <w:t>1.11</w:t>
      </w:r>
      <w:r w:rsidRPr="00AE4885">
        <w:rPr>
          <w:rtl/>
          <w:lang w:bidi="ar-EG"/>
        </w:rPr>
        <w:t xml:space="preserve"> و</w:t>
      </w:r>
      <w:r w:rsidRPr="00AE4885">
        <w:rPr>
          <w:rFonts w:hint="cs"/>
          <w:rtl/>
          <w:lang w:bidi="ar-EG"/>
        </w:rPr>
        <w:t>2.11</w:t>
      </w:r>
      <w:r w:rsidRPr="00AE4885">
        <w:rPr>
          <w:rtl/>
          <w:lang w:bidi="ar-EG"/>
        </w:rPr>
        <w:t xml:space="preserve"> و</w:t>
      </w:r>
      <w:r w:rsidRPr="00AE4885">
        <w:rPr>
          <w:rFonts w:hint="cs"/>
          <w:rtl/>
          <w:lang w:bidi="ar-EG"/>
        </w:rPr>
        <w:t>3.11</w:t>
      </w:r>
      <w:r w:rsidRPr="00AE4885">
        <w:rPr>
          <w:rtl/>
          <w:lang w:bidi="ar-EG"/>
        </w:rPr>
        <w:t>،</w:t>
      </w:r>
    </w:p>
    <w:p w:rsidR="00AE4885" w:rsidRPr="002D4D10" w:rsidRDefault="00AE4885" w:rsidP="0089221B">
      <w:pPr>
        <w:pStyle w:val="BodyText"/>
        <w:ind w:firstLine="566"/>
      </w:pPr>
      <w:r w:rsidRPr="00AE4885">
        <w:rPr>
          <w:rtl/>
          <w:lang w:bidi="ar-EG"/>
        </w:rPr>
        <w:t>"1"</w:t>
      </w:r>
      <w:r w:rsidRPr="00AE4885">
        <w:rPr>
          <w:rtl/>
          <w:lang w:bidi="ar-EG"/>
        </w:rPr>
        <w:tab/>
        <w:t xml:space="preserve">ينبغي أن يحرر باللغة الإسبانية أو الإنكليزية أو الروسية </w:t>
      </w:r>
      <w:r w:rsidRPr="00253F66">
        <w:rPr>
          <w:rFonts w:hint="cs"/>
          <w:color w:val="0070C0"/>
          <w:u w:val="single"/>
          <w:rtl/>
          <w:lang w:bidi="ar-EG"/>
        </w:rPr>
        <w:t>أو الصينية أو العربية</w:t>
      </w:r>
      <w:r>
        <w:rPr>
          <w:rFonts w:hint="cs"/>
          <w:rtl/>
          <w:lang w:bidi="ar-EG"/>
        </w:rPr>
        <w:t xml:space="preserve"> </w:t>
      </w:r>
      <w:r w:rsidRPr="00AE4885">
        <w:rPr>
          <w:rtl/>
          <w:lang w:bidi="ar-EG"/>
        </w:rPr>
        <w:t xml:space="preserve">أو الفرنسية، إذا كان موجهاً لسلطة إيداع دولية تكون لغتها الرسمية أو تشمل لغاتها الرسمية الإسبانية أو الإنكليزية أو الروسية </w:t>
      </w:r>
      <w:r w:rsidR="00253F66" w:rsidRPr="00253F66">
        <w:rPr>
          <w:rFonts w:hint="cs"/>
          <w:color w:val="0070C0"/>
          <w:u w:val="single"/>
          <w:rtl/>
          <w:lang w:bidi="ar-EG"/>
        </w:rPr>
        <w:t>أو الصينية أو العربية</w:t>
      </w:r>
      <w:r w:rsidR="00253F66" w:rsidRPr="00AE4885">
        <w:rPr>
          <w:rtl/>
          <w:lang w:bidi="ar-EG"/>
        </w:rPr>
        <w:t xml:space="preserve"> </w:t>
      </w:r>
      <w:r w:rsidRPr="00AE4885">
        <w:rPr>
          <w:rtl/>
          <w:lang w:bidi="ar-EG"/>
        </w:rPr>
        <w:t>أو الفرنسية على التوالي؛ بيد أنه إذا كان من الواجب أن يحرر بالإسبانية أو الروسية</w:t>
      </w:r>
      <w:r w:rsidR="00253F66">
        <w:rPr>
          <w:rFonts w:hint="cs"/>
          <w:rtl/>
          <w:lang w:bidi="ar-EG"/>
        </w:rPr>
        <w:t xml:space="preserve"> </w:t>
      </w:r>
      <w:r w:rsidR="00253F66" w:rsidRPr="00253F66">
        <w:rPr>
          <w:rFonts w:hint="cs"/>
          <w:color w:val="0070C0"/>
          <w:u w:val="single"/>
          <w:rtl/>
          <w:lang w:bidi="ar-EG"/>
        </w:rPr>
        <w:t>أو الصينية أو العربية</w:t>
      </w:r>
      <w:r w:rsidRPr="00AE4885">
        <w:rPr>
          <w:rtl/>
          <w:lang w:bidi="ar-EG"/>
        </w:rPr>
        <w:t>، جاز تقديمه بالإنكليزية أو الفرنسية بدلاً من الإسبانية أو</w:t>
      </w:r>
      <w:r w:rsidR="0089221B">
        <w:rPr>
          <w:rFonts w:hint="cs"/>
          <w:rtl/>
          <w:lang w:bidi="ar-EG"/>
        </w:rPr>
        <w:t> </w:t>
      </w:r>
      <w:r w:rsidRPr="00AE4885">
        <w:rPr>
          <w:rtl/>
          <w:lang w:bidi="ar-EG"/>
        </w:rPr>
        <w:t>الروسية</w:t>
      </w:r>
      <w:r w:rsidR="0089221B">
        <w:rPr>
          <w:lang w:bidi="ar-EG"/>
        </w:rPr>
        <w:t xml:space="preserve"> </w:t>
      </w:r>
      <w:r w:rsidR="0089221B" w:rsidRPr="00253F66">
        <w:rPr>
          <w:rFonts w:hint="cs"/>
          <w:color w:val="0070C0"/>
          <w:u w:val="single"/>
          <w:rtl/>
          <w:lang w:bidi="ar-EG"/>
        </w:rPr>
        <w:t>أو الصينية أو العربية</w:t>
      </w:r>
      <w:r w:rsidRPr="00AE4885">
        <w:rPr>
          <w:rtl/>
          <w:lang w:bidi="ar-EG"/>
        </w:rPr>
        <w:t xml:space="preserve">. وإذا قدم على هذا النحو، فإن المكتب الدولي يعد ترجمة معتمدة بالإسبانية أو الروسية </w:t>
      </w:r>
      <w:r w:rsidR="0089221B" w:rsidRPr="00253F66">
        <w:rPr>
          <w:rFonts w:hint="cs"/>
          <w:color w:val="0070C0"/>
          <w:u w:val="single"/>
          <w:rtl/>
          <w:lang w:bidi="ar-EG"/>
        </w:rPr>
        <w:t>أو الصينية أو</w:t>
      </w:r>
      <w:r w:rsidR="0089221B">
        <w:rPr>
          <w:rFonts w:hint="eastAsia"/>
          <w:color w:val="0070C0"/>
          <w:u w:val="single"/>
          <w:lang w:bidi="ar-EG"/>
        </w:rPr>
        <w:t> </w:t>
      </w:r>
      <w:r w:rsidR="0089221B" w:rsidRPr="00253F66">
        <w:rPr>
          <w:rFonts w:hint="cs"/>
          <w:color w:val="0070C0"/>
          <w:u w:val="single"/>
          <w:rtl/>
          <w:lang w:bidi="ar-EG"/>
        </w:rPr>
        <w:t>العربية</w:t>
      </w:r>
      <w:r w:rsidR="0089221B" w:rsidRPr="00AE4885">
        <w:rPr>
          <w:rtl/>
          <w:lang w:bidi="ar-EG"/>
        </w:rPr>
        <w:t xml:space="preserve"> </w:t>
      </w:r>
      <w:r w:rsidRPr="00AE4885">
        <w:rPr>
          <w:rtl/>
          <w:lang w:bidi="ar-EG"/>
        </w:rPr>
        <w:t>على الفور ومجاناً، بناء على طلب الطرف المعني المشار إليه في القواعد الآنف ذكرها أو بناء على طلب سلط</w:t>
      </w:r>
      <w:r w:rsidRPr="00AE4885">
        <w:rPr>
          <w:rFonts w:hint="eastAsia"/>
          <w:rtl/>
          <w:lang w:bidi="ar-EG"/>
        </w:rPr>
        <w:t>ة</w:t>
      </w:r>
      <w:r w:rsidRPr="00AE4885">
        <w:rPr>
          <w:rtl/>
          <w:lang w:bidi="ar-EG"/>
        </w:rPr>
        <w:t xml:space="preserve"> الإيداع الدولية؛</w:t>
      </w:r>
    </w:p>
    <w:p w:rsidR="00AE4885" w:rsidRPr="002D4D10" w:rsidRDefault="00AE4885" w:rsidP="00AE4885">
      <w:pPr>
        <w:pStyle w:val="BodyText"/>
        <w:ind w:firstLine="566"/>
      </w:pPr>
      <w:r w:rsidRPr="00AE4885">
        <w:rPr>
          <w:rtl/>
          <w:lang w:bidi="ar-EG"/>
        </w:rPr>
        <w:t>"2"</w:t>
      </w:r>
      <w:r w:rsidRPr="00AE4885">
        <w:rPr>
          <w:rtl/>
          <w:lang w:bidi="ar-EG"/>
        </w:rPr>
        <w:tab/>
        <w:t>ينبغي أن يحرر في كل الحالات الأخرى بالإنكليزية أو الفرنسية، بيد أنه يجوز أن يحرر باللغة الرسمية أو بإحدى اللغات الرسمية لسلطة الإيداع الدولية بدلا من الإنكليزية أو الفرنسية.</w:t>
      </w:r>
    </w:p>
    <w:p w:rsidR="00AE4885" w:rsidRPr="002D4D10" w:rsidRDefault="00AE4885" w:rsidP="0089221B">
      <w:pPr>
        <w:pStyle w:val="BodyText"/>
        <w:ind w:left="283"/>
      </w:pPr>
      <w:r w:rsidRPr="00AE4885">
        <w:rPr>
          <w:rtl/>
          <w:lang w:bidi="ar-EG"/>
        </w:rPr>
        <w:t>(ب)</w:t>
      </w:r>
      <w:r w:rsidRPr="00AE4885">
        <w:rPr>
          <w:rtl/>
          <w:lang w:bidi="ar-EG"/>
        </w:rPr>
        <w:tab/>
        <w:t xml:space="preserve">على الرغم من أحكام الفقرة (أ)، إذا كان الطلب المشار إليه في القاعدة </w:t>
      </w:r>
      <w:r w:rsidRPr="00AE4885">
        <w:rPr>
          <w:rFonts w:hint="cs"/>
          <w:rtl/>
          <w:lang w:bidi="ar-EG"/>
        </w:rPr>
        <w:t>1.11</w:t>
      </w:r>
      <w:r w:rsidRPr="00AE4885">
        <w:rPr>
          <w:rtl/>
          <w:lang w:bidi="ar-EG"/>
        </w:rPr>
        <w:t xml:space="preserve"> مقدماً من مكتب للملكية الصناعية تكون لغته الرسمية الإسبانية أو الروسية</w:t>
      </w:r>
      <w:r w:rsidR="0089221B">
        <w:rPr>
          <w:rFonts w:hint="cs"/>
          <w:rtl/>
        </w:rPr>
        <w:t xml:space="preserve"> </w:t>
      </w:r>
      <w:r w:rsidR="0089221B" w:rsidRPr="00253F66">
        <w:rPr>
          <w:rFonts w:hint="cs"/>
          <w:color w:val="0070C0"/>
          <w:u w:val="single"/>
          <w:rtl/>
          <w:lang w:bidi="ar-EG"/>
        </w:rPr>
        <w:t>أو الصينية أو العربية</w:t>
      </w:r>
      <w:r w:rsidRPr="00AE4885">
        <w:rPr>
          <w:rtl/>
          <w:lang w:bidi="ar-EG"/>
        </w:rPr>
        <w:t xml:space="preserve">، فإن هذا الطلب يجوز أن يحرر بالإسبانية أو الروسية </w:t>
      </w:r>
      <w:r w:rsidR="0089221B" w:rsidRPr="00253F66">
        <w:rPr>
          <w:rFonts w:hint="cs"/>
          <w:color w:val="0070C0"/>
          <w:u w:val="single"/>
          <w:rtl/>
          <w:lang w:bidi="ar-EG"/>
        </w:rPr>
        <w:t>أو الصينية أو العربية</w:t>
      </w:r>
      <w:r w:rsidR="0089221B" w:rsidRPr="00AE4885">
        <w:rPr>
          <w:rtl/>
          <w:lang w:bidi="ar-EG"/>
        </w:rPr>
        <w:t xml:space="preserve"> </w:t>
      </w:r>
      <w:r w:rsidRPr="00AE4885">
        <w:rPr>
          <w:rtl/>
          <w:lang w:bidi="ar-EG"/>
        </w:rPr>
        <w:t xml:space="preserve">على التوالي، ويعد المكتب الدولي ترجمة معتمدة بالإنكليزية </w:t>
      </w:r>
      <w:r w:rsidRPr="00AE4885">
        <w:rPr>
          <w:rFonts w:hint="eastAsia"/>
          <w:rtl/>
          <w:lang w:bidi="ar-EG"/>
        </w:rPr>
        <w:t>أو</w:t>
      </w:r>
      <w:r w:rsidRPr="00AE4885">
        <w:rPr>
          <w:rtl/>
          <w:lang w:bidi="ar-EG"/>
        </w:rPr>
        <w:t xml:space="preserve"> الفرنسية على الفور ومجاناً، بناء على طلب المكتب المذكور أو</w:t>
      </w:r>
      <w:r w:rsidR="0089221B">
        <w:rPr>
          <w:rFonts w:hint="cs"/>
          <w:rtl/>
          <w:lang w:bidi="ar-EG"/>
        </w:rPr>
        <w:t> </w:t>
      </w:r>
      <w:r w:rsidRPr="00AE4885">
        <w:rPr>
          <w:rtl/>
          <w:lang w:bidi="ar-EG"/>
        </w:rPr>
        <w:t>سلطة الإيداع الدولية التي تسلمت ذلك الطلب.</w:t>
      </w:r>
    </w:p>
    <w:p w:rsidR="00AE4885" w:rsidRPr="002D4D10" w:rsidRDefault="00AE4885" w:rsidP="000E1310">
      <w:pPr>
        <w:pStyle w:val="BodyText"/>
        <w:spacing w:after="480"/>
        <w:ind w:left="284"/>
      </w:pPr>
      <w:r>
        <w:rPr>
          <w:rFonts w:hint="cs"/>
          <w:rtl/>
        </w:rPr>
        <w:t>من (ج) إلى (ح)</w:t>
      </w:r>
      <w:r>
        <w:rPr>
          <w:rtl/>
        </w:rPr>
        <w:tab/>
      </w:r>
      <w:r w:rsidRPr="00AE4885">
        <w:rPr>
          <w:rFonts w:hint="cs"/>
          <w:i/>
          <w:iCs/>
          <w:rtl/>
        </w:rPr>
        <w:t>[دون تغيير]</w:t>
      </w:r>
    </w:p>
    <w:p w:rsidR="00487DDB" w:rsidRPr="002D4D10" w:rsidRDefault="0089221B" w:rsidP="0089221B">
      <w:pPr>
        <w:pStyle w:val="Endofdocument-Annex"/>
      </w:pPr>
      <w:r>
        <w:rPr>
          <w:rFonts w:hint="cs"/>
          <w:rtl/>
        </w:rPr>
        <w:t>[نهاية المرفق الثاني والوثيقة]</w:t>
      </w:r>
    </w:p>
    <w:sectPr w:rsidR="00487DDB" w:rsidRPr="002D4D10" w:rsidSect="00CC3E2D">
      <w:head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4B0" w:rsidRDefault="00C164B0">
      <w:r>
        <w:separator/>
      </w:r>
    </w:p>
  </w:endnote>
  <w:endnote w:type="continuationSeparator" w:id="0">
    <w:p w:rsidR="00C164B0" w:rsidRDefault="00C164B0" w:rsidP="003B38C1">
      <w:r>
        <w:separator/>
      </w:r>
    </w:p>
    <w:p w:rsidR="00C164B0" w:rsidRPr="003B38C1" w:rsidRDefault="00C164B0" w:rsidP="003B38C1">
      <w:pPr>
        <w:spacing w:after="60"/>
        <w:rPr>
          <w:sz w:val="17"/>
        </w:rPr>
      </w:pPr>
      <w:r>
        <w:rPr>
          <w:sz w:val="17"/>
        </w:rPr>
        <w:t>[Endnote continued from previous page]</w:t>
      </w:r>
    </w:p>
  </w:endnote>
  <w:endnote w:type="continuationNotice" w:id="1">
    <w:p w:rsidR="00C164B0" w:rsidRPr="003B38C1" w:rsidRDefault="00C164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99" w:rsidRDefault="0035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99" w:rsidRDefault="00357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99" w:rsidRDefault="0035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4B0" w:rsidRDefault="00C164B0">
      <w:r>
        <w:separator/>
      </w:r>
    </w:p>
  </w:footnote>
  <w:footnote w:type="continuationSeparator" w:id="0">
    <w:p w:rsidR="00C164B0" w:rsidRDefault="00C164B0" w:rsidP="008B60B2">
      <w:r>
        <w:separator/>
      </w:r>
    </w:p>
    <w:p w:rsidR="00C164B0" w:rsidRPr="00ED77FB" w:rsidRDefault="00C164B0" w:rsidP="008B60B2">
      <w:pPr>
        <w:spacing w:after="60"/>
        <w:rPr>
          <w:sz w:val="17"/>
          <w:szCs w:val="17"/>
        </w:rPr>
      </w:pPr>
      <w:r w:rsidRPr="00ED77FB">
        <w:rPr>
          <w:sz w:val="17"/>
          <w:szCs w:val="17"/>
        </w:rPr>
        <w:t>[Footnote continued from previous page]</w:t>
      </w:r>
    </w:p>
  </w:footnote>
  <w:footnote w:type="continuationNotice" w:id="1">
    <w:p w:rsidR="00C164B0" w:rsidRPr="00ED77FB" w:rsidRDefault="00C164B0" w:rsidP="008B60B2">
      <w:pPr>
        <w:spacing w:before="60"/>
        <w:jc w:val="right"/>
        <w:rPr>
          <w:sz w:val="17"/>
          <w:szCs w:val="17"/>
        </w:rPr>
      </w:pPr>
      <w:r w:rsidRPr="00ED77FB">
        <w:rPr>
          <w:sz w:val="17"/>
          <w:szCs w:val="17"/>
        </w:rPr>
        <w:t>[Footnote continued on next page]</w:t>
      </w:r>
    </w:p>
  </w:footnote>
  <w:footnote w:id="2">
    <w:p w:rsidR="00C164B0" w:rsidRDefault="00C164B0" w:rsidP="006319F3">
      <w:pPr>
        <w:pStyle w:val="FootnoteText"/>
      </w:pPr>
      <w:r>
        <w:rPr>
          <w:rStyle w:val="FootnoteReference"/>
        </w:rPr>
        <w:footnoteRef/>
      </w:r>
      <w:r>
        <w:rPr>
          <w:rtl/>
        </w:rPr>
        <w:tab/>
      </w:r>
      <w:r w:rsidRPr="006319F3">
        <w:t>BP/</w:t>
      </w:r>
      <w:r>
        <w:t>1</w:t>
      </w:r>
      <w:r w:rsidRPr="006319F3">
        <w:rPr>
          <w:rFonts w:hint="cs"/>
          <w:rtl/>
        </w:rPr>
        <w:t xml:space="preserve"> و</w:t>
      </w:r>
      <w:r w:rsidRPr="006319F3">
        <w:t xml:space="preserve"> BP/</w:t>
      </w:r>
      <w:r>
        <w:t>2</w:t>
      </w:r>
      <w:r w:rsidRPr="006319F3">
        <w:rPr>
          <w:rFonts w:hint="cs"/>
          <w:rtl/>
        </w:rPr>
        <w:t>و</w:t>
      </w:r>
      <w:r w:rsidRPr="006319F3">
        <w:t xml:space="preserve"> BP/</w:t>
      </w:r>
      <w:r>
        <w:t>3</w:t>
      </w:r>
      <w:r w:rsidRPr="006319F3">
        <w:rPr>
          <w:rFonts w:hint="cs"/>
          <w:rtl/>
        </w:rPr>
        <w:t>و</w:t>
      </w:r>
      <w:r w:rsidRPr="006319F3">
        <w:t xml:space="preserve"> BP/</w:t>
      </w:r>
      <w:r>
        <w:t>7</w:t>
      </w:r>
      <w:r w:rsidRPr="006319F3">
        <w:rPr>
          <w:rFonts w:hint="cs"/>
          <w:rtl/>
        </w:rPr>
        <w:t>و</w:t>
      </w:r>
      <w:r w:rsidRPr="006319F3">
        <w:t>BP/</w:t>
      </w:r>
      <w:r>
        <w:t>8</w:t>
      </w:r>
      <w:r>
        <w:rPr>
          <w:rFonts w:hint="cs"/>
          <w:rtl/>
        </w:rPr>
        <w:t xml:space="preserve"> </w:t>
      </w:r>
      <w:r w:rsidRPr="006319F3">
        <w:rPr>
          <w:rFonts w:hint="cs"/>
          <w:rtl/>
        </w:rPr>
        <w:t>و</w:t>
      </w:r>
      <w:r w:rsidRPr="006319F3">
        <w:t xml:space="preserve"> BP/</w:t>
      </w:r>
      <w:r>
        <w:t>10</w:t>
      </w:r>
      <w:r w:rsidRPr="006319F3">
        <w:rPr>
          <w:rFonts w:hint="cs"/>
          <w:rtl/>
        </w:rPr>
        <w:t>و</w:t>
      </w:r>
      <w:r w:rsidRPr="006319F3">
        <w:t xml:space="preserve"> BP/</w:t>
      </w:r>
      <w:r>
        <w:t>11</w:t>
      </w:r>
      <w:r w:rsidRPr="006319F3">
        <w:rPr>
          <w:rFonts w:hint="cs"/>
          <w:rtl/>
        </w:rPr>
        <w:t>و</w:t>
      </w:r>
      <w:r w:rsidRPr="006319F3">
        <w:t xml:space="preserve"> BP/</w:t>
      </w:r>
      <w:r>
        <w:t>13</w:t>
      </w:r>
      <w:r w:rsidRPr="006319F3">
        <w:rPr>
          <w:rFonts w:hint="cs"/>
          <w:rtl/>
        </w:rPr>
        <w:t>و</w:t>
      </w:r>
      <w:r w:rsidRPr="006319F3">
        <w:t>BP/</w:t>
      </w:r>
      <w:r>
        <w:t>14</w:t>
      </w:r>
      <w:r>
        <w:rPr>
          <w:rFonts w:hint="cs"/>
          <w:rtl/>
        </w:rPr>
        <w:t>.</w:t>
      </w:r>
    </w:p>
  </w:footnote>
  <w:footnote w:id="3">
    <w:p w:rsidR="00C164B0" w:rsidRDefault="00C164B0" w:rsidP="005F7F43">
      <w:pPr>
        <w:pStyle w:val="FootnoteText"/>
      </w:pPr>
      <w:r>
        <w:rPr>
          <w:rStyle w:val="FootnoteReference"/>
        </w:rPr>
        <w:footnoteRef/>
      </w:r>
      <w:r>
        <w:rPr>
          <w:rtl/>
        </w:rPr>
        <w:tab/>
      </w:r>
      <w:r>
        <w:rPr>
          <w:rFonts w:hint="cs"/>
          <w:rtl/>
        </w:rPr>
        <w:t xml:space="preserve">الوثيقة </w:t>
      </w:r>
      <w:r w:rsidRPr="005F7F43">
        <w:t>BP/A/II/11</w:t>
      </w:r>
      <w:r>
        <w:rPr>
          <w:rFonts w:hint="cs"/>
          <w:rtl/>
        </w:rPr>
        <w:t>.</w:t>
      </w:r>
    </w:p>
  </w:footnote>
  <w:footnote w:id="4">
    <w:p w:rsidR="00C164B0" w:rsidRDefault="00C164B0">
      <w:pPr>
        <w:pStyle w:val="FootnoteText"/>
      </w:pPr>
      <w:r>
        <w:rPr>
          <w:rStyle w:val="FootnoteReference"/>
        </w:rPr>
        <w:footnoteRef/>
      </w:r>
      <w:r>
        <w:rPr>
          <w:rtl/>
        </w:rPr>
        <w:tab/>
      </w:r>
      <w:r>
        <w:rPr>
          <w:rFonts w:hint="cs"/>
          <w:rtl/>
        </w:rPr>
        <w:t xml:space="preserve">البحرين </w:t>
      </w:r>
      <w:r>
        <w:rPr>
          <w:rFonts w:hint="cs"/>
          <w:rtl/>
        </w:rPr>
        <w:t>والأردن والمغرب وعُمان وقطر والمملكة العربية السعودية وتونس والإمارات العربية المتحدة.</w:t>
      </w:r>
    </w:p>
  </w:footnote>
  <w:footnote w:id="5">
    <w:p w:rsidR="00C164B0" w:rsidRDefault="00C164B0" w:rsidP="00161E5F">
      <w:pPr>
        <w:pStyle w:val="FootnoteText"/>
      </w:pPr>
      <w:r>
        <w:rPr>
          <w:rStyle w:val="FootnoteReference"/>
        </w:rPr>
        <w:footnoteRef/>
      </w:r>
      <w:r>
        <w:rPr>
          <w:rtl/>
        </w:rPr>
        <w:tab/>
      </w:r>
      <w:r>
        <w:rPr>
          <w:rFonts w:hint="cs"/>
          <w:rtl/>
        </w:rPr>
        <w:t xml:space="preserve">الفقرة </w:t>
      </w:r>
      <w:r>
        <w:rPr>
          <w:rFonts w:hint="cs"/>
          <w:rtl/>
        </w:rPr>
        <w:t xml:space="preserve">5 من الوثيقة </w:t>
      </w:r>
      <w:r w:rsidRPr="00161E5F">
        <w:t>WO/PBC/32/6</w:t>
      </w:r>
      <w:r>
        <w:rPr>
          <w:rFonts w:hint="cs"/>
          <w:rtl/>
        </w:rPr>
        <w:t>.</w:t>
      </w:r>
    </w:p>
  </w:footnote>
  <w:footnote w:id="6">
    <w:p w:rsidR="00307B1E" w:rsidRDefault="00307B1E" w:rsidP="00307B1E">
      <w:pPr>
        <w:pStyle w:val="FootnoteText"/>
      </w:pPr>
      <w:r>
        <w:rPr>
          <w:rStyle w:val="FootnoteReference"/>
        </w:rPr>
        <w:footnoteRef/>
      </w:r>
      <w:r>
        <w:rPr>
          <w:rtl/>
        </w:rPr>
        <w:tab/>
      </w:r>
      <w:r>
        <w:rPr>
          <w:rFonts w:hint="cs"/>
          <w:rtl/>
        </w:rPr>
        <w:t xml:space="preserve">يُشار </w:t>
      </w:r>
      <w:r>
        <w:rPr>
          <w:rFonts w:hint="cs"/>
          <w:rtl/>
        </w:rPr>
        <w:t>إلى نص الإضافات المقترحة باللون الأزرق وبوضع خط تحته.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99" w:rsidRDefault="00357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4B0" w:rsidRPr="002326AB" w:rsidRDefault="00C164B0" w:rsidP="0002380A">
    <w:pPr>
      <w:bidi w:val="0"/>
      <w:rPr>
        <w:caps/>
      </w:rPr>
    </w:pPr>
    <w:r>
      <w:rPr>
        <w:caps/>
      </w:rPr>
      <w:t>BP/A/39/1</w:t>
    </w:r>
  </w:p>
  <w:p w:rsidR="00C164B0" w:rsidRDefault="00C164B0" w:rsidP="00210D5F">
    <w:pPr>
      <w:bidi w:val="0"/>
    </w:pPr>
    <w:r>
      <w:fldChar w:fldCharType="begin"/>
    </w:r>
    <w:r>
      <w:instrText xml:space="preserve"> PAGE  \* MERGEFORMAT </w:instrText>
    </w:r>
    <w:r>
      <w:fldChar w:fldCharType="separate"/>
    </w:r>
    <w:r w:rsidR="00357F99">
      <w:rPr>
        <w:noProof/>
      </w:rPr>
      <w:t>3</w:t>
    </w:r>
    <w:r>
      <w:fldChar w:fldCharType="end"/>
    </w:r>
  </w:p>
  <w:p w:rsidR="00C164B0" w:rsidRDefault="00C164B0" w:rsidP="00210D5F">
    <w:pPr>
      <w:bidi w:val="0"/>
    </w:pPr>
  </w:p>
  <w:p w:rsidR="00C164B0" w:rsidRDefault="00C164B0"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F99" w:rsidRDefault="00357F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D9C" w:rsidRPr="00DA0D9C" w:rsidRDefault="00DA0D9C" w:rsidP="00DA0D9C">
    <w:pPr>
      <w:pStyle w:val="Header"/>
      <w:jc w:val="right"/>
      <w:rPr>
        <w:rFonts w:cs="Arial"/>
        <w:szCs w:val="20"/>
      </w:rPr>
    </w:pPr>
    <w:r w:rsidRPr="00DA0D9C">
      <w:rPr>
        <w:rFonts w:cs="Arial"/>
        <w:szCs w:val="20"/>
      </w:rPr>
      <w:t>BP/A/39/1</w:t>
    </w:r>
  </w:p>
  <w:p w:rsidR="00DA0D9C" w:rsidRPr="00DA0D9C" w:rsidRDefault="00DA0D9C" w:rsidP="00DA0D9C">
    <w:pPr>
      <w:pStyle w:val="Header"/>
      <w:jc w:val="right"/>
      <w:rPr>
        <w:rFonts w:cs="Arial"/>
        <w:szCs w:val="20"/>
      </w:rPr>
    </w:pPr>
    <w:r w:rsidRPr="00DA0D9C">
      <w:rPr>
        <w:rFonts w:cs="Arial"/>
        <w:szCs w:val="20"/>
      </w:rPr>
      <w:t>ANNEX I</w:t>
    </w:r>
  </w:p>
  <w:p w:rsidR="00DA0D9C" w:rsidRDefault="00DA0D9C" w:rsidP="00DA0D9C">
    <w:pPr>
      <w:pStyle w:val="Header"/>
      <w:jc w:val="right"/>
    </w:pPr>
    <w:r>
      <w:rPr>
        <w:rFonts w:hint="cs"/>
        <w:rtl/>
      </w:rPr>
      <w:t>المرفق الأول</w:t>
    </w:r>
  </w:p>
  <w:p w:rsidR="00DA0D9C" w:rsidRDefault="00DA0D9C" w:rsidP="00DA0D9C">
    <w:pPr>
      <w:pStyle w:val="Header"/>
      <w:jc w:val="right"/>
    </w:pPr>
  </w:p>
  <w:p w:rsidR="00DA0D9C" w:rsidRDefault="00DA0D9C" w:rsidP="00DA0D9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D9C" w:rsidRPr="00DA0D9C" w:rsidRDefault="00DA0D9C" w:rsidP="00DA0D9C">
    <w:pPr>
      <w:pStyle w:val="Header"/>
      <w:jc w:val="right"/>
      <w:rPr>
        <w:rFonts w:cs="Arial"/>
        <w:szCs w:val="20"/>
      </w:rPr>
    </w:pPr>
    <w:r w:rsidRPr="00DA0D9C">
      <w:rPr>
        <w:rFonts w:cs="Arial"/>
        <w:szCs w:val="20"/>
      </w:rPr>
      <w:t>BP/A/39/1</w:t>
    </w:r>
  </w:p>
  <w:p w:rsidR="00DA0D9C" w:rsidRPr="00DA0D9C" w:rsidRDefault="00DA0D9C" w:rsidP="00DA0D9C">
    <w:pPr>
      <w:pStyle w:val="Header"/>
      <w:jc w:val="right"/>
      <w:rPr>
        <w:rFonts w:cs="Arial"/>
        <w:szCs w:val="20"/>
      </w:rPr>
    </w:pPr>
    <w:r w:rsidRPr="00DA0D9C">
      <w:rPr>
        <w:rFonts w:cs="Arial"/>
        <w:szCs w:val="20"/>
      </w:rPr>
      <w:t>ANNEX I</w:t>
    </w:r>
    <w:r>
      <w:rPr>
        <w:rFonts w:cs="Arial"/>
        <w:szCs w:val="20"/>
      </w:rPr>
      <w:t>I</w:t>
    </w:r>
  </w:p>
  <w:p w:rsidR="00DA0D9C" w:rsidRDefault="00DA0D9C" w:rsidP="00DA0D9C">
    <w:pPr>
      <w:pStyle w:val="Header"/>
      <w:jc w:val="right"/>
    </w:pPr>
    <w:r>
      <w:rPr>
        <w:rFonts w:hint="cs"/>
        <w:rtl/>
      </w:rPr>
      <w:t>المرفق الثاني</w:t>
    </w:r>
  </w:p>
  <w:p w:rsidR="00DA0D9C" w:rsidRDefault="00DA0D9C" w:rsidP="00DA0D9C">
    <w:pPr>
      <w:pStyle w:val="Header"/>
      <w:jc w:val="right"/>
    </w:pPr>
  </w:p>
  <w:p w:rsidR="00DA0D9C" w:rsidRDefault="00DA0D9C" w:rsidP="00DA0D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43"/>
    <w:rsid w:val="0002184E"/>
    <w:rsid w:val="0002380A"/>
    <w:rsid w:val="00043CAA"/>
    <w:rsid w:val="00056816"/>
    <w:rsid w:val="00075432"/>
    <w:rsid w:val="000814DD"/>
    <w:rsid w:val="000968ED"/>
    <w:rsid w:val="000A1C96"/>
    <w:rsid w:val="000A3D97"/>
    <w:rsid w:val="000E1310"/>
    <w:rsid w:val="000F246F"/>
    <w:rsid w:val="000F5E56"/>
    <w:rsid w:val="00126E9C"/>
    <w:rsid w:val="001362EE"/>
    <w:rsid w:val="001406E1"/>
    <w:rsid w:val="00155D8A"/>
    <w:rsid w:val="00161E5F"/>
    <w:rsid w:val="001647D5"/>
    <w:rsid w:val="001832A6"/>
    <w:rsid w:val="0019592A"/>
    <w:rsid w:val="001D4107"/>
    <w:rsid w:val="001F53F8"/>
    <w:rsid w:val="00203D24"/>
    <w:rsid w:val="00210D5F"/>
    <w:rsid w:val="0021217E"/>
    <w:rsid w:val="002326AB"/>
    <w:rsid w:val="00243430"/>
    <w:rsid w:val="00250FB0"/>
    <w:rsid w:val="00253F66"/>
    <w:rsid w:val="002634C4"/>
    <w:rsid w:val="002928D3"/>
    <w:rsid w:val="002A06AD"/>
    <w:rsid w:val="002D4D10"/>
    <w:rsid w:val="002F1FE6"/>
    <w:rsid w:val="002F4E68"/>
    <w:rsid w:val="00307B1E"/>
    <w:rsid w:val="00312F7F"/>
    <w:rsid w:val="003229FF"/>
    <w:rsid w:val="00324EFC"/>
    <w:rsid w:val="0035081D"/>
    <w:rsid w:val="00357F99"/>
    <w:rsid w:val="00361450"/>
    <w:rsid w:val="003673CF"/>
    <w:rsid w:val="003845C1"/>
    <w:rsid w:val="003A6F89"/>
    <w:rsid w:val="003B355C"/>
    <w:rsid w:val="003B38C1"/>
    <w:rsid w:val="003C34E9"/>
    <w:rsid w:val="0040273E"/>
    <w:rsid w:val="00416B55"/>
    <w:rsid w:val="00423E3E"/>
    <w:rsid w:val="00427AF4"/>
    <w:rsid w:val="00461F79"/>
    <w:rsid w:val="004647DA"/>
    <w:rsid w:val="00474062"/>
    <w:rsid w:val="00477D6B"/>
    <w:rsid w:val="00487DDB"/>
    <w:rsid w:val="004C5FEC"/>
    <w:rsid w:val="005019FF"/>
    <w:rsid w:val="0053057A"/>
    <w:rsid w:val="00555756"/>
    <w:rsid w:val="00556076"/>
    <w:rsid w:val="00560A29"/>
    <w:rsid w:val="00570B8C"/>
    <w:rsid w:val="00592A6B"/>
    <w:rsid w:val="005C6649"/>
    <w:rsid w:val="005E7B89"/>
    <w:rsid w:val="005F7F43"/>
    <w:rsid w:val="00605827"/>
    <w:rsid w:val="006319F3"/>
    <w:rsid w:val="00646050"/>
    <w:rsid w:val="00661543"/>
    <w:rsid w:val="006713CA"/>
    <w:rsid w:val="00672BE5"/>
    <w:rsid w:val="00676C5C"/>
    <w:rsid w:val="006B5C12"/>
    <w:rsid w:val="00720EFD"/>
    <w:rsid w:val="007854AF"/>
    <w:rsid w:val="00793A7C"/>
    <w:rsid w:val="007A398A"/>
    <w:rsid w:val="007C4902"/>
    <w:rsid w:val="007D1613"/>
    <w:rsid w:val="007E4C0E"/>
    <w:rsid w:val="007F2029"/>
    <w:rsid w:val="0089221B"/>
    <w:rsid w:val="008A134B"/>
    <w:rsid w:val="008B2CC1"/>
    <w:rsid w:val="008B60B2"/>
    <w:rsid w:val="0090731E"/>
    <w:rsid w:val="00916EE2"/>
    <w:rsid w:val="0095657F"/>
    <w:rsid w:val="00966A22"/>
    <w:rsid w:val="0096722F"/>
    <w:rsid w:val="00980843"/>
    <w:rsid w:val="0099799E"/>
    <w:rsid w:val="009B0855"/>
    <w:rsid w:val="009C0C01"/>
    <w:rsid w:val="009C41D0"/>
    <w:rsid w:val="009E2791"/>
    <w:rsid w:val="009E3F6F"/>
    <w:rsid w:val="009F499F"/>
    <w:rsid w:val="00A37342"/>
    <w:rsid w:val="00A42DAF"/>
    <w:rsid w:val="00A45BD8"/>
    <w:rsid w:val="00A515CF"/>
    <w:rsid w:val="00A869B7"/>
    <w:rsid w:val="00A90F0A"/>
    <w:rsid w:val="00AC1DF4"/>
    <w:rsid w:val="00AC205C"/>
    <w:rsid w:val="00AE4885"/>
    <w:rsid w:val="00AF0A6B"/>
    <w:rsid w:val="00B05A69"/>
    <w:rsid w:val="00B42CA9"/>
    <w:rsid w:val="00B51FF7"/>
    <w:rsid w:val="00B710E8"/>
    <w:rsid w:val="00B75281"/>
    <w:rsid w:val="00B92F1F"/>
    <w:rsid w:val="00B9734B"/>
    <w:rsid w:val="00BA30E2"/>
    <w:rsid w:val="00BA6F83"/>
    <w:rsid w:val="00C11BFE"/>
    <w:rsid w:val="00C164B0"/>
    <w:rsid w:val="00C5068F"/>
    <w:rsid w:val="00C86D74"/>
    <w:rsid w:val="00CB3DBA"/>
    <w:rsid w:val="00CC3E2D"/>
    <w:rsid w:val="00CC5F37"/>
    <w:rsid w:val="00CD04F1"/>
    <w:rsid w:val="00CD1D00"/>
    <w:rsid w:val="00CE19F8"/>
    <w:rsid w:val="00CF681A"/>
    <w:rsid w:val="00D07C78"/>
    <w:rsid w:val="00D44612"/>
    <w:rsid w:val="00D45252"/>
    <w:rsid w:val="00D51B9D"/>
    <w:rsid w:val="00D60B2C"/>
    <w:rsid w:val="00D624F7"/>
    <w:rsid w:val="00D67EAE"/>
    <w:rsid w:val="00D71B4D"/>
    <w:rsid w:val="00D90B96"/>
    <w:rsid w:val="00D93D55"/>
    <w:rsid w:val="00DA0D9C"/>
    <w:rsid w:val="00DD7B7F"/>
    <w:rsid w:val="00E112CF"/>
    <w:rsid w:val="00E15015"/>
    <w:rsid w:val="00E319DF"/>
    <w:rsid w:val="00E335FE"/>
    <w:rsid w:val="00E34396"/>
    <w:rsid w:val="00E66CC5"/>
    <w:rsid w:val="00E7374D"/>
    <w:rsid w:val="00E741EB"/>
    <w:rsid w:val="00EA7D6E"/>
    <w:rsid w:val="00EB2F76"/>
    <w:rsid w:val="00EC260E"/>
    <w:rsid w:val="00EC4E49"/>
    <w:rsid w:val="00ED77FB"/>
    <w:rsid w:val="00EE066C"/>
    <w:rsid w:val="00EE45FA"/>
    <w:rsid w:val="00F0061B"/>
    <w:rsid w:val="00F043DE"/>
    <w:rsid w:val="00F442BC"/>
    <w:rsid w:val="00F66152"/>
    <w:rsid w:val="00F842F5"/>
    <w:rsid w:val="00F9165B"/>
    <w:rsid w:val="00FB24BA"/>
    <w:rsid w:val="00FC482F"/>
    <w:rsid w:val="00FF02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DAF5225-FAF3-48F1-BBBD-1B95F95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6319F3"/>
    <w:rPr>
      <w:vertAlign w:val="superscript"/>
    </w:rPr>
  </w:style>
  <w:style w:type="character" w:customStyle="1" w:styleId="HeaderChar">
    <w:name w:val="Header Char"/>
    <w:basedOn w:val="DefaultParagraphFont"/>
    <w:link w:val="Header"/>
    <w:uiPriority w:val="99"/>
    <w:rsid w:val="00DA0D9C"/>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CB97-3B50-42D1-AD7C-D42DB977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5</Pages>
  <Words>1525</Words>
  <Characters>8183</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BP/A/39/1 (Arabic)</vt:lpstr>
    </vt:vector>
  </TitlesOfParts>
  <Company>WIPO</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BP/A/39/1 (Arabic)</dc:title>
  <dc:creator>WIPO</dc:creator>
  <cp:keywords>PUBLIC</cp:keywords>
  <cp:lastModifiedBy>HÄFLIGER Patience</cp:lastModifiedBy>
  <cp:revision>35</cp:revision>
  <cp:lastPrinted>2022-05-06T08:07:00Z</cp:lastPrinted>
  <dcterms:created xsi:type="dcterms:W3CDTF">2022-05-04T08:17:00Z</dcterms:created>
  <dcterms:modified xsi:type="dcterms:W3CDTF">2022-05-06T08:36:00Z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