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3D39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8634432" wp14:editId="333BEFF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B742A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499D24D" w14:textId="0E83D0CA" w:rsidR="008B2CC1" w:rsidRPr="006C7282" w:rsidRDefault="0040273E" w:rsidP="0040273E">
      <w:pPr>
        <w:bidi w:val="0"/>
        <w:rPr>
          <w:rFonts w:ascii="Arial Black" w:hAnsi="Arial Black"/>
          <w:caps/>
          <w:sz w:val="15"/>
          <w:szCs w:val="15"/>
          <w:lang w:bidi="ar-SY"/>
        </w:rPr>
      </w:pPr>
      <w:r>
        <w:rPr>
          <w:rFonts w:ascii="Arial Black" w:hAnsi="Arial Black"/>
          <w:caps/>
          <w:sz w:val="15"/>
          <w:szCs w:val="15"/>
        </w:rPr>
        <w:t>BP/A/</w:t>
      </w:r>
      <w:r w:rsidR="006C7282">
        <w:rPr>
          <w:rFonts w:ascii="Arial Black" w:hAnsi="Arial Black"/>
          <w:caps/>
          <w:sz w:val="15"/>
          <w:szCs w:val="15"/>
        </w:rPr>
        <w:t>41</w:t>
      </w:r>
      <w:r>
        <w:rPr>
          <w:rFonts w:ascii="Arial Black" w:hAnsi="Arial Black"/>
          <w:caps/>
          <w:sz w:val="15"/>
          <w:szCs w:val="15"/>
        </w:rPr>
        <w:t>/</w:t>
      </w:r>
      <w:r w:rsidR="001715E8">
        <w:rPr>
          <w:rFonts w:ascii="Arial Black" w:hAnsi="Arial Black"/>
          <w:caps/>
          <w:sz w:val="15"/>
          <w:szCs w:val="15"/>
        </w:rPr>
        <w:t>2</w:t>
      </w:r>
    </w:p>
    <w:p w14:paraId="2C25AA84" w14:textId="77777777" w:rsidR="008B2CC1" w:rsidRPr="001715E8" w:rsidRDefault="00CC3E2D" w:rsidP="00CC3E2D">
      <w:pPr>
        <w:jc w:val="right"/>
        <w:rPr>
          <w:rFonts w:asciiTheme="minorHAnsi" w:hAnsiTheme="minorHAnsi" w:cstheme="minorHAnsi"/>
          <w:b/>
          <w:bCs/>
          <w:caps/>
          <w:sz w:val="15"/>
          <w:szCs w:val="15"/>
        </w:rPr>
      </w:pPr>
      <w:bookmarkStart w:id="0" w:name="Original"/>
      <w:r w:rsidRPr="001715E8">
        <w:rPr>
          <w:rFonts w:asciiTheme="minorHAnsi" w:hAnsiTheme="minorHAnsi" w:cstheme="minorHAnsi" w:hint="cs"/>
          <w:b/>
          <w:bCs/>
          <w:caps/>
          <w:sz w:val="15"/>
          <w:szCs w:val="15"/>
          <w:rtl/>
        </w:rPr>
        <w:t xml:space="preserve">الأصل: </w:t>
      </w:r>
      <w:r w:rsidR="000A1C96" w:rsidRPr="001715E8">
        <w:rPr>
          <w:rFonts w:asciiTheme="minorHAnsi" w:hAnsiTheme="minorHAnsi" w:cstheme="minorHAnsi" w:hint="cs"/>
          <w:b/>
          <w:bCs/>
          <w:caps/>
          <w:sz w:val="15"/>
          <w:szCs w:val="15"/>
          <w:rtl/>
        </w:rPr>
        <w:t>بالإنكليزية</w:t>
      </w:r>
    </w:p>
    <w:p w14:paraId="3C0B5BED" w14:textId="23FB9070" w:rsidR="008B2CC1" w:rsidRPr="00CC3E2D" w:rsidRDefault="00CC3E2D" w:rsidP="001715E8">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6C7282">
        <w:rPr>
          <w:rFonts w:asciiTheme="minorHAnsi" w:hAnsiTheme="minorHAnsi" w:cstheme="minorHAnsi" w:hint="cs"/>
          <w:b/>
          <w:bCs/>
          <w:caps/>
          <w:sz w:val="15"/>
          <w:szCs w:val="15"/>
          <w:rtl/>
        </w:rPr>
        <w:t xml:space="preserve"> </w:t>
      </w:r>
      <w:r w:rsidR="00DE2EFC">
        <w:rPr>
          <w:rFonts w:asciiTheme="minorHAnsi" w:hAnsiTheme="minorHAnsi" w:cstheme="minorHAnsi"/>
          <w:b/>
          <w:bCs/>
          <w:caps/>
          <w:sz w:val="15"/>
          <w:szCs w:val="15"/>
        </w:rPr>
        <w:t>25</w:t>
      </w:r>
      <w:r w:rsidR="006C7282">
        <w:rPr>
          <w:rFonts w:asciiTheme="minorHAnsi" w:hAnsiTheme="minorHAnsi" w:cstheme="minorHAnsi" w:hint="cs"/>
          <w:b/>
          <w:bCs/>
          <w:caps/>
          <w:sz w:val="15"/>
          <w:szCs w:val="15"/>
          <w:rtl/>
        </w:rPr>
        <w:t xml:space="preserve"> </w:t>
      </w:r>
      <w:r w:rsidR="00DE2EFC">
        <w:rPr>
          <w:rFonts w:asciiTheme="minorHAnsi" w:hAnsiTheme="minorHAnsi" w:cstheme="minorHAnsi" w:hint="cs"/>
          <w:b/>
          <w:bCs/>
          <w:caps/>
          <w:sz w:val="15"/>
          <w:szCs w:val="15"/>
          <w:rtl/>
        </w:rPr>
        <w:t>سبتمب</w:t>
      </w:r>
      <w:r w:rsidR="00DE2EFC">
        <w:rPr>
          <w:rFonts w:asciiTheme="minorHAnsi" w:hAnsiTheme="minorHAnsi" w:cstheme="minorHAnsi"/>
          <w:b/>
          <w:bCs/>
          <w:caps/>
          <w:sz w:val="15"/>
          <w:szCs w:val="15"/>
          <w:rtl/>
        </w:rPr>
        <w:t>ر</w:t>
      </w:r>
      <w:r w:rsidR="00DE2EFC">
        <w:rPr>
          <w:rFonts w:asciiTheme="minorHAnsi" w:hAnsiTheme="minorHAnsi" w:cstheme="minorHAnsi" w:hint="cs"/>
          <w:b/>
          <w:bCs/>
          <w:caps/>
          <w:sz w:val="15"/>
          <w:szCs w:val="15"/>
          <w:rtl/>
        </w:rPr>
        <w:t xml:space="preserve"> </w:t>
      </w:r>
      <w:r w:rsidR="006C7282">
        <w:rPr>
          <w:rFonts w:asciiTheme="minorHAnsi" w:hAnsiTheme="minorHAnsi" w:cstheme="minorHAnsi" w:hint="cs"/>
          <w:b/>
          <w:bCs/>
          <w:caps/>
          <w:sz w:val="15"/>
          <w:szCs w:val="15"/>
          <w:rtl/>
        </w:rPr>
        <w:t>2024</w:t>
      </w:r>
    </w:p>
    <w:bookmarkEnd w:id="1"/>
    <w:p w14:paraId="1AD26200" w14:textId="77777777" w:rsidR="008B2CC1" w:rsidRDefault="00F0061B" w:rsidP="0040273E">
      <w:pPr>
        <w:pStyle w:val="Heading1"/>
        <w:rPr>
          <w:rtl/>
        </w:rPr>
      </w:pPr>
      <w:r w:rsidRPr="00F0061B">
        <w:rPr>
          <w:rtl/>
        </w:rPr>
        <w:t xml:space="preserve">اتحاد </w:t>
      </w:r>
      <w:r w:rsidR="0040273E">
        <w:rPr>
          <w:rFonts w:hint="cs"/>
          <w:rtl/>
        </w:rPr>
        <w:t>الاعتراف الدولي بإيداع الكائنات الدقيقة لأغراض الإجراءات الخاصة بالبراءات</w:t>
      </w:r>
      <w:r w:rsidRPr="00F0061B">
        <w:rPr>
          <w:rtl/>
        </w:rPr>
        <w:t xml:space="preserve"> (اتحاد </w:t>
      </w:r>
      <w:r w:rsidR="0040273E">
        <w:rPr>
          <w:rFonts w:hint="cs"/>
          <w:rtl/>
        </w:rPr>
        <w:t>بودابست</w:t>
      </w:r>
      <w:r w:rsidRPr="00F0061B">
        <w:rPr>
          <w:rtl/>
        </w:rPr>
        <w:t>)</w:t>
      </w:r>
    </w:p>
    <w:p w14:paraId="140657BE" w14:textId="77777777" w:rsidR="00F0061B" w:rsidRDefault="00F0061B" w:rsidP="00F0061B">
      <w:pPr>
        <w:pStyle w:val="Heading1"/>
        <w:rPr>
          <w:rtl/>
        </w:rPr>
      </w:pPr>
      <w:r>
        <w:rPr>
          <w:rFonts w:hint="cs"/>
          <w:rtl/>
        </w:rPr>
        <w:t>الجمعية</w:t>
      </w:r>
    </w:p>
    <w:p w14:paraId="5260E146" w14:textId="7CCC8EF5" w:rsidR="00A90F0A" w:rsidRPr="00D67EAE" w:rsidRDefault="00D67EAE" w:rsidP="0040273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0273E">
        <w:rPr>
          <w:rFonts w:asciiTheme="minorHAnsi" w:hAnsiTheme="minorHAnsi" w:cstheme="minorHAnsi" w:hint="cs"/>
          <w:bCs/>
          <w:sz w:val="24"/>
          <w:szCs w:val="24"/>
          <w:rtl/>
        </w:rPr>
        <w:t>ال</w:t>
      </w:r>
      <w:r w:rsidR="006C7282">
        <w:rPr>
          <w:rFonts w:asciiTheme="minorHAnsi" w:hAnsiTheme="minorHAnsi" w:cstheme="minorHAnsi" w:hint="cs"/>
          <w:bCs/>
          <w:sz w:val="24"/>
          <w:szCs w:val="24"/>
          <w:rtl/>
        </w:rPr>
        <w:t>حادي</w:t>
      </w:r>
      <w:r w:rsidR="0040273E">
        <w:rPr>
          <w:rFonts w:asciiTheme="minorHAnsi" w:hAnsiTheme="minorHAnsi" w:cstheme="minorHAnsi" w:hint="cs"/>
          <w:bCs/>
          <w:sz w:val="24"/>
          <w:szCs w:val="24"/>
          <w:rtl/>
        </w:rPr>
        <w:t>ة</w:t>
      </w:r>
      <w:r w:rsidR="00F0061B">
        <w:rPr>
          <w:rFonts w:asciiTheme="minorHAnsi" w:hAnsiTheme="minorHAnsi" w:cstheme="minorHAnsi" w:hint="cs"/>
          <w:bCs/>
          <w:sz w:val="24"/>
          <w:szCs w:val="24"/>
          <w:rtl/>
        </w:rPr>
        <w:t xml:space="preserve"> وال</w:t>
      </w:r>
      <w:r w:rsidR="006C7282">
        <w:rPr>
          <w:rFonts w:asciiTheme="minorHAnsi" w:hAnsiTheme="minorHAnsi" w:cstheme="minorHAnsi" w:hint="cs"/>
          <w:bCs/>
          <w:sz w:val="24"/>
          <w:szCs w:val="24"/>
          <w:rtl/>
        </w:rPr>
        <w:t>أربع</w:t>
      </w:r>
      <w:r w:rsidR="00F0061B">
        <w:rPr>
          <w:rFonts w:asciiTheme="minorHAnsi" w:hAnsiTheme="minorHAnsi" w:cstheme="minorHAnsi" w:hint="cs"/>
          <w:bCs/>
          <w:sz w:val="24"/>
          <w:szCs w:val="24"/>
          <w:rtl/>
        </w:rPr>
        <w:t>ون</w:t>
      </w:r>
      <w:r w:rsidR="00B710E8">
        <w:rPr>
          <w:rFonts w:asciiTheme="minorHAnsi" w:hAnsiTheme="minorHAnsi" w:cstheme="minorHAnsi" w:hint="cs"/>
          <w:bCs/>
          <w:sz w:val="24"/>
          <w:szCs w:val="24"/>
          <w:rtl/>
        </w:rPr>
        <w:t xml:space="preserve"> (الدورة </w:t>
      </w:r>
      <w:r w:rsidR="0040273E">
        <w:rPr>
          <w:rFonts w:asciiTheme="minorHAnsi" w:hAnsiTheme="minorHAnsi" w:cstheme="minorHAnsi" w:hint="cs"/>
          <w:bCs/>
          <w:sz w:val="24"/>
          <w:szCs w:val="24"/>
          <w:rtl/>
        </w:rPr>
        <w:t>الاستثنائية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ال</w:t>
      </w:r>
      <w:r w:rsidR="006C7282">
        <w:rPr>
          <w:rFonts w:asciiTheme="minorHAnsi" w:hAnsiTheme="minorHAnsi" w:cstheme="minorHAnsi" w:hint="cs"/>
          <w:bCs/>
          <w:sz w:val="24"/>
          <w:szCs w:val="24"/>
          <w:rtl/>
        </w:rPr>
        <w:t>ت</w:t>
      </w:r>
      <w:r w:rsidR="0040273E">
        <w:rPr>
          <w:rFonts w:asciiTheme="minorHAnsi" w:hAnsiTheme="minorHAnsi" w:cstheme="minorHAnsi" w:hint="cs"/>
          <w:bCs/>
          <w:sz w:val="24"/>
          <w:szCs w:val="24"/>
          <w:rtl/>
        </w:rPr>
        <w:t>ا</w:t>
      </w:r>
      <w:r w:rsidR="006C7282">
        <w:rPr>
          <w:rFonts w:asciiTheme="minorHAnsi" w:hAnsiTheme="minorHAnsi" w:cstheme="minorHAnsi" w:hint="cs"/>
          <w:bCs/>
          <w:sz w:val="24"/>
          <w:szCs w:val="24"/>
          <w:rtl/>
        </w:rPr>
        <w:t>سع</w:t>
      </w:r>
      <w:r w:rsidR="0040273E">
        <w:rPr>
          <w:rFonts w:asciiTheme="minorHAnsi" w:hAnsiTheme="minorHAnsi" w:cstheme="minorHAnsi" w:hint="cs"/>
          <w:bCs/>
          <w:sz w:val="24"/>
          <w:szCs w:val="24"/>
          <w:rtl/>
        </w:rPr>
        <w:t>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عشرة</w:t>
      </w:r>
      <w:r w:rsidR="00B710E8">
        <w:rPr>
          <w:rFonts w:asciiTheme="minorHAnsi" w:hAnsiTheme="minorHAnsi" w:cstheme="minorHAnsi" w:hint="cs"/>
          <w:bCs/>
          <w:sz w:val="24"/>
          <w:szCs w:val="24"/>
          <w:rtl/>
        </w:rPr>
        <w:t>)</w:t>
      </w:r>
    </w:p>
    <w:p w14:paraId="69AF1EAE" w14:textId="217644E9" w:rsidR="008B2CC1" w:rsidRPr="00D67EAE" w:rsidRDefault="00D67EAE" w:rsidP="0040273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7282">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إلى </w:t>
      </w:r>
      <w:r w:rsidR="006C7282">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6C7282">
        <w:rPr>
          <w:rFonts w:asciiTheme="minorHAnsi" w:hAnsiTheme="minorHAnsi" w:cstheme="minorHAnsi" w:hint="cs"/>
          <w:bCs/>
          <w:sz w:val="24"/>
          <w:szCs w:val="24"/>
          <w:rtl/>
        </w:rPr>
        <w:t>2024</w:t>
      </w:r>
    </w:p>
    <w:p w14:paraId="7E38FAC2" w14:textId="04E0D875" w:rsidR="008B2CC1" w:rsidRPr="00D67EAE" w:rsidRDefault="001715E8" w:rsidP="001715E8">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w:t>
      </w:r>
      <w:r w:rsidRPr="001715E8">
        <w:rPr>
          <w:rFonts w:asciiTheme="minorHAnsi" w:hAnsiTheme="minorHAnsi"/>
          <w:caps/>
          <w:sz w:val="28"/>
          <w:szCs w:val="24"/>
          <w:rtl/>
        </w:rPr>
        <w:t>تقرير</w:t>
      </w:r>
    </w:p>
    <w:p w14:paraId="6AF8E6D9" w14:textId="2288F1DC" w:rsidR="002928D3" w:rsidRDefault="00DE2EFC" w:rsidP="001D4107">
      <w:pPr>
        <w:spacing w:after="1040"/>
        <w:rPr>
          <w:rFonts w:asciiTheme="minorHAnsi" w:hAnsiTheme="minorHAnsi" w:cstheme="minorHAnsi"/>
          <w:iCs/>
          <w:rtl/>
        </w:rPr>
      </w:pPr>
      <w:bookmarkStart w:id="3" w:name="Prepared"/>
      <w:bookmarkEnd w:id="2"/>
      <w:bookmarkEnd w:id="3"/>
      <w:r>
        <w:rPr>
          <w:rFonts w:asciiTheme="minorHAnsi" w:hAnsiTheme="minorHAnsi" w:cstheme="minorHAnsi" w:hint="cs"/>
          <w:iCs/>
          <w:rtl/>
        </w:rPr>
        <w:t>الذي اعتمدته الجمعية</w:t>
      </w:r>
    </w:p>
    <w:p w14:paraId="69BD1521" w14:textId="24F88CD4" w:rsidR="001715E8" w:rsidRDefault="001715E8" w:rsidP="001715E8">
      <w:pPr>
        <w:pStyle w:val="ONUMA"/>
      </w:pPr>
      <w:r w:rsidRPr="001715E8">
        <w:rPr>
          <w:rtl/>
        </w:rPr>
        <w:t xml:space="preserve">تناولت الجمعية البنود التالية التي تعنيها من جدول الأعمال الموحّد (الوثيقة </w:t>
      </w:r>
      <w:hyperlink r:id="rId12" w:history="1">
        <w:r w:rsidRPr="007E7141">
          <w:rPr>
            <w:rStyle w:val="Hyperlink"/>
          </w:rPr>
          <w:t>A/</w:t>
        </w:r>
        <w:r w:rsidR="006C7282" w:rsidRPr="007E7141">
          <w:rPr>
            <w:rStyle w:val="Hyperlink"/>
          </w:rPr>
          <w:t>65</w:t>
        </w:r>
        <w:r w:rsidRPr="007E7141">
          <w:rPr>
            <w:rStyle w:val="Hyperlink"/>
          </w:rPr>
          <w:t>/1</w:t>
        </w:r>
      </w:hyperlink>
      <w:r w:rsidRPr="001715E8">
        <w:rPr>
          <w:rtl/>
        </w:rPr>
        <w:t xml:space="preserve">): 1 و2 </w:t>
      </w:r>
      <w:r>
        <w:rPr>
          <w:rFonts w:hint="cs"/>
          <w:rtl/>
        </w:rPr>
        <w:t xml:space="preserve">و3 </w:t>
      </w:r>
      <w:r w:rsidRPr="001715E8">
        <w:rPr>
          <w:rtl/>
        </w:rPr>
        <w:t>و4 و6 و8</w:t>
      </w:r>
      <w:r w:rsidR="006C7282">
        <w:rPr>
          <w:rFonts w:hint="cs"/>
          <w:rtl/>
        </w:rPr>
        <w:t>"2"</w:t>
      </w:r>
      <w:r w:rsidRPr="001715E8">
        <w:rPr>
          <w:rtl/>
        </w:rPr>
        <w:t xml:space="preserve"> و</w:t>
      </w:r>
      <w:r w:rsidR="006C7282">
        <w:rPr>
          <w:rFonts w:hint="cs"/>
          <w:rtl/>
        </w:rPr>
        <w:t>9</w:t>
      </w:r>
      <w:r w:rsidRPr="001715E8">
        <w:rPr>
          <w:rtl/>
        </w:rPr>
        <w:t xml:space="preserve"> و</w:t>
      </w:r>
      <w:r w:rsidR="006C7282">
        <w:rPr>
          <w:rFonts w:hint="cs"/>
          <w:rtl/>
        </w:rPr>
        <w:t>15</w:t>
      </w:r>
      <w:r w:rsidRPr="001715E8">
        <w:rPr>
          <w:rtl/>
        </w:rPr>
        <w:t xml:space="preserve"> و</w:t>
      </w:r>
      <w:r>
        <w:rPr>
          <w:rFonts w:hint="cs"/>
          <w:rtl/>
        </w:rPr>
        <w:t>18</w:t>
      </w:r>
      <w:r w:rsidRPr="001715E8">
        <w:rPr>
          <w:rtl/>
        </w:rPr>
        <w:t xml:space="preserve"> و21</w:t>
      </w:r>
      <w:r w:rsidR="006C7282">
        <w:rPr>
          <w:rFonts w:hint="cs"/>
          <w:rtl/>
        </w:rPr>
        <w:t xml:space="preserve"> و22</w:t>
      </w:r>
      <w:r>
        <w:rPr>
          <w:rFonts w:hint="cs"/>
          <w:rtl/>
        </w:rPr>
        <w:t>.</w:t>
      </w:r>
    </w:p>
    <w:p w14:paraId="15E08E66" w14:textId="103A04B2" w:rsidR="001715E8" w:rsidRDefault="001715E8" w:rsidP="001715E8">
      <w:pPr>
        <w:pStyle w:val="ONUMA"/>
      </w:pPr>
      <w:r w:rsidRPr="001715E8">
        <w:rPr>
          <w:rtl/>
        </w:rPr>
        <w:t xml:space="preserve">وترد التقارير الخاصة بالبنود المذكورة، فيما عدا البند </w:t>
      </w:r>
      <w:r w:rsidR="006C7282">
        <w:rPr>
          <w:rFonts w:hint="cs"/>
          <w:rtl/>
        </w:rPr>
        <w:t>15</w:t>
      </w:r>
      <w:r w:rsidRPr="001715E8">
        <w:rPr>
          <w:rtl/>
        </w:rPr>
        <w:t>، في التقرير العام (الوثيقة</w:t>
      </w:r>
      <w:r>
        <w:rPr>
          <w:rFonts w:hint="cs"/>
          <w:rtl/>
        </w:rPr>
        <w:t> </w:t>
      </w:r>
      <w:hyperlink r:id="rId13" w:history="1">
        <w:r w:rsidRPr="00DE2EFC">
          <w:rPr>
            <w:rStyle w:val="Hyperlink"/>
          </w:rPr>
          <w:t>A/</w:t>
        </w:r>
        <w:r w:rsidR="006C7282" w:rsidRPr="00DE2EFC">
          <w:rPr>
            <w:rStyle w:val="Hyperlink"/>
          </w:rPr>
          <w:t>65</w:t>
        </w:r>
        <w:r w:rsidRPr="00DE2EFC">
          <w:rPr>
            <w:rStyle w:val="Hyperlink"/>
          </w:rPr>
          <w:t>/</w:t>
        </w:r>
        <w:r w:rsidR="007E7141" w:rsidRPr="00DE2EFC">
          <w:rPr>
            <w:rStyle w:val="Hyperlink"/>
          </w:rPr>
          <w:t>11</w:t>
        </w:r>
      </w:hyperlink>
      <w:r w:rsidRPr="001715E8">
        <w:rPr>
          <w:rtl/>
        </w:rPr>
        <w:t>).</w:t>
      </w:r>
    </w:p>
    <w:p w14:paraId="62C398BF" w14:textId="7C0F549A" w:rsidR="001715E8" w:rsidRDefault="001715E8" w:rsidP="001715E8">
      <w:pPr>
        <w:pStyle w:val="ONUMA"/>
      </w:pPr>
      <w:r w:rsidRPr="001715E8">
        <w:rPr>
          <w:rtl/>
        </w:rPr>
        <w:t xml:space="preserve">ويرد التقرير الخاص بالبند </w:t>
      </w:r>
      <w:r w:rsidR="006C7282">
        <w:rPr>
          <w:rFonts w:hint="cs"/>
          <w:rtl/>
        </w:rPr>
        <w:t>15</w:t>
      </w:r>
      <w:r w:rsidRPr="001715E8">
        <w:rPr>
          <w:rtl/>
        </w:rPr>
        <w:t xml:space="preserve"> في هذه الوثيقة.</w:t>
      </w:r>
    </w:p>
    <w:p w14:paraId="04C7D259" w14:textId="492C1687" w:rsidR="001715E8" w:rsidRDefault="001715E8" w:rsidP="001715E8">
      <w:pPr>
        <w:pStyle w:val="ONUMA"/>
      </w:pPr>
      <w:r>
        <w:rPr>
          <w:rFonts w:hint="cs"/>
          <w:rtl/>
        </w:rPr>
        <w:t>و</w:t>
      </w:r>
      <w:r w:rsidRPr="001715E8">
        <w:rPr>
          <w:rtl/>
        </w:rPr>
        <w:t xml:space="preserve">ترأس الاجتماع </w:t>
      </w:r>
      <w:r w:rsidR="006C7282" w:rsidRPr="006C7282">
        <w:rPr>
          <w:rtl/>
        </w:rPr>
        <w:t xml:space="preserve">السيد </w:t>
      </w:r>
      <w:proofErr w:type="spellStart"/>
      <w:r w:rsidR="006C7282" w:rsidRPr="006C7282">
        <w:rPr>
          <w:rtl/>
        </w:rPr>
        <w:t>زابولكس</w:t>
      </w:r>
      <w:proofErr w:type="spellEnd"/>
      <w:r w:rsidR="006C7282" w:rsidRPr="006C7282">
        <w:rPr>
          <w:rtl/>
        </w:rPr>
        <w:t xml:space="preserve"> </w:t>
      </w:r>
      <w:proofErr w:type="spellStart"/>
      <w:r w:rsidR="006C7282" w:rsidRPr="006C7282">
        <w:rPr>
          <w:rtl/>
        </w:rPr>
        <w:t>فاركاس</w:t>
      </w:r>
      <w:proofErr w:type="spellEnd"/>
      <w:r w:rsidR="006C7282" w:rsidRPr="006C7282">
        <w:rPr>
          <w:rtl/>
        </w:rPr>
        <w:t xml:space="preserve"> (هنغاريا)</w:t>
      </w:r>
      <w:r w:rsidRPr="001715E8">
        <w:rPr>
          <w:rtl/>
        </w:rPr>
        <w:t>، نائب رئيس جمعية</w:t>
      </w:r>
      <w:r w:rsidR="006C7282">
        <w:rPr>
          <w:rFonts w:hint="cs"/>
          <w:rtl/>
        </w:rPr>
        <w:t xml:space="preserve"> </w:t>
      </w:r>
      <w:r w:rsidR="006C7282" w:rsidRPr="006C7282">
        <w:rPr>
          <w:rtl/>
        </w:rPr>
        <w:t>اتحاد بودابست</w:t>
      </w:r>
      <w:r w:rsidRPr="001715E8">
        <w:rPr>
          <w:rtl/>
        </w:rPr>
        <w:t>.</w:t>
      </w:r>
    </w:p>
    <w:p w14:paraId="00DD5696" w14:textId="77777777" w:rsidR="001715E8" w:rsidRDefault="001715E8">
      <w:pPr>
        <w:bidi w:val="0"/>
        <w:rPr>
          <w:rFonts w:eastAsia="Times New Roman"/>
          <w:rtl/>
          <w:lang w:eastAsia="en-US"/>
        </w:rPr>
      </w:pPr>
      <w:r>
        <w:rPr>
          <w:rtl/>
        </w:rPr>
        <w:br w:type="page"/>
      </w:r>
    </w:p>
    <w:p w14:paraId="464F5916" w14:textId="50CC7E42" w:rsidR="001715E8" w:rsidRPr="006C7282" w:rsidRDefault="001715E8" w:rsidP="001715E8">
      <w:pPr>
        <w:pStyle w:val="Heading2"/>
        <w:rPr>
          <w:i/>
          <w:iCs w:val="0"/>
          <w:rtl/>
          <w:lang w:val="fr-CH" w:bidi="ar-SY"/>
        </w:rPr>
      </w:pPr>
      <w:r w:rsidRPr="001715E8">
        <w:rPr>
          <w:i/>
          <w:iCs w:val="0"/>
          <w:rtl/>
        </w:rPr>
        <w:lastRenderedPageBreak/>
        <w:t>البند</w:t>
      </w:r>
      <w:r w:rsidR="006C7282">
        <w:rPr>
          <w:rFonts w:hint="cs"/>
          <w:i/>
          <w:iCs w:val="0"/>
          <w:rtl/>
        </w:rPr>
        <w:t xml:space="preserve"> 15 </w:t>
      </w:r>
      <w:r w:rsidRPr="001715E8">
        <w:rPr>
          <w:i/>
          <w:iCs w:val="0"/>
          <w:rtl/>
        </w:rPr>
        <w:t>من جدول الأعمال الموحّد</w:t>
      </w:r>
    </w:p>
    <w:p w14:paraId="6D197B5B" w14:textId="77777777" w:rsidR="001715E8" w:rsidRDefault="001715E8" w:rsidP="001715E8">
      <w:pPr>
        <w:pStyle w:val="Heading2"/>
        <w:spacing w:after="240"/>
        <w:rPr>
          <w:i/>
          <w:iCs w:val="0"/>
          <w:rtl/>
        </w:rPr>
      </w:pPr>
      <w:r w:rsidRPr="001715E8">
        <w:rPr>
          <w:i/>
          <w:iCs w:val="0"/>
          <w:rtl/>
        </w:rPr>
        <w:t>جمعية اتحاد بودابست</w:t>
      </w:r>
    </w:p>
    <w:p w14:paraId="693B9D2C" w14:textId="77777777" w:rsidR="001F03D8" w:rsidRDefault="007E7141" w:rsidP="001F03D8">
      <w:pPr>
        <w:pStyle w:val="ONUMA"/>
      </w:pPr>
      <w:r>
        <w:rPr>
          <w:rtl/>
        </w:rPr>
        <w:t xml:space="preserve">أشار نائب الرئيس إلى عدد من التطورات المتعلقة بنظام بودابست منذ الاجتماع السابق لجمعية اتحاد بودابست.  أولا، أشار نائب الرئيس إلى أن رواندا انضمت إلى معاهدة بودابست بشأن الاعتراف الدولي بإيداع الكائنات الدقيقة لأغراض الإجراءات الخاصة بالبراءات (المشار إليها فيما يلي باسم "معاهدة بودابست") في 4 سبتمبر 2023، وأشار إلى أنه بهذا الانضمام، بلغ عدد الدول الأطراف في معاهدة بودابست 89 دولة.  ثانيا، ذكر نائب الرئيس أن مجموعة استزراع البكتيريا بجامعة </w:t>
      </w:r>
      <w:proofErr w:type="spellStart"/>
      <w:r>
        <w:rPr>
          <w:rtl/>
        </w:rPr>
        <w:t>كويمبرا</w:t>
      </w:r>
      <w:proofErr w:type="spellEnd"/>
      <w:r>
        <w:rPr>
          <w:rtl/>
        </w:rPr>
        <w:t xml:space="preserve"> (UCCCB)، البرتغال، قد حصلت على وضع هيئة الإيداع الدولية (IDA) في 25 أبريل 2024.</w:t>
      </w:r>
    </w:p>
    <w:p w14:paraId="6A6119CF" w14:textId="61829F55" w:rsidR="001F03D8" w:rsidRDefault="007E7141" w:rsidP="001F03D8">
      <w:pPr>
        <w:pStyle w:val="ONUMA"/>
      </w:pPr>
      <w:r>
        <w:rPr>
          <w:rFonts w:hint="cs"/>
          <w:rtl/>
        </w:rPr>
        <w:t>و</w:t>
      </w:r>
      <w:r w:rsidRPr="00A75E1D">
        <w:rPr>
          <w:rtl/>
        </w:rPr>
        <w:t xml:space="preserve">استندت المناقشات إلى الوثيقة </w:t>
      </w:r>
      <w:hyperlink r:id="rId14" w:history="1">
        <w:r w:rsidRPr="000F6B25">
          <w:rPr>
            <w:rStyle w:val="Hyperlink"/>
            <w:rtl/>
          </w:rPr>
          <w:t>BP/A/41/1</w:t>
        </w:r>
      </w:hyperlink>
      <w:r w:rsidRPr="00A75E1D">
        <w:rPr>
          <w:rtl/>
        </w:rPr>
        <w:t>.</w:t>
      </w:r>
    </w:p>
    <w:p w14:paraId="2F3D9747" w14:textId="4218EE53" w:rsidR="001F03D8" w:rsidRDefault="007E7141" w:rsidP="001F03D8">
      <w:pPr>
        <w:pStyle w:val="ONUMA"/>
      </w:pPr>
      <w:r>
        <w:rPr>
          <w:rtl/>
        </w:rPr>
        <w:t>وسلطت الأمانة الضوء على بعض المعلومات الواردة في الوثيقة BP/A/41/1، التي تقدم لمحة عامة عن التطورات الأخيرة لنظام بودابست فضلا عن أنشطة المكتب الدولي المتعلقة بتشغيل نظام بودابست.  وعلى وجه التحديد، أبلغت الأمانة جمعية اتحاد بودابست بالإخطارات والتبليغات التي وردت من الدول المتعاقدة، فضلا عن المنظمات الحكومية الدولية للملكية الصناعية، وأبلغت أيضا عن أحدث الإحصاءات.  وبالإشارة إلى اجتماع الدول الأعضاء وسلطات الإيداع الدولية في إطار معاهدة بودابست، الذي نظمه المكتب الدولي يومي 13 و14 نوفمبر 2023 في جنيف، ذكرت الأمانة أنها غطت مواضيع مختلفة وأتاحت فرصة للمشاركين لتبادل المعلومات والخبرات بشأن التنفيذ العملي لمعاهدة بودابست.  وأشارت الأمانة إلى ردود الفعل الإيجابية من المشاركين، وذكرت أنه على الرغم من أنه كان اجتماعا مخصصا دون أي قرار أو توصية، فإن أحد الموضوعات التي نوقشت كان مجالات محتملة للتحسين في نظام بودابست.  وعلاوة على ذلك، أبلغت الأمانة جمعية اتحاد بودابست بأن المكتب الدولي تلقى تبليغين من الاتحاد الروسي وإندونيسيا في 28 يونيو 2024 و7 يوليو 2024 على التوالي يتعلقان بترشيح مؤسستين جديدتين للمؤسسة الدولية للتنمية في إطار نظام بودابست.  وستبلغ قريبا حكومات الدول والمنظمات الحكومية الدولية المعنية بالملكية الصناعية وتنشر على موقع الويبو الإلكتروني.  وأكدت الأمانة من جديد التزامها المستمر بدعم الدول المتعاقدة الحالية والمقبلة في تنفيذ معاهدة بودابست، وتقديم المساعدة المستمرة بشأن المسائل المتعلقة بنظام بودابست.  وأخيرا، دعت الأمانة جمعية اتحاد بودابست إلى الإحاطة علما بالوثيقة.</w:t>
      </w:r>
    </w:p>
    <w:p w14:paraId="2423FCDA" w14:textId="7686DF9E" w:rsidR="007E7141" w:rsidRDefault="007E7141" w:rsidP="001F03D8">
      <w:pPr>
        <w:pStyle w:val="ONUMA"/>
      </w:pPr>
      <w:r>
        <w:rPr>
          <w:rtl/>
        </w:rPr>
        <w:t>وأشار وفد الصين إلى التطورات الأخيرة في نظام بودابست المشار إليها في الوثيقة BP/A/41/1 وشدد على الزيادة في عدد رواسب الكائنات الدقيقة لأغراض إجراءات البراءات، وعدد عينات الكائنات الدقيقة المودعة المقدمة في السنوات الأخيرة، فضلا عن نمو عدد الدول المتعاقدة في معاهدة بودابست والمؤسسة الدولية للتنمية.  وأعرب الوفد عن تقديره لتنظيم اجتماع الدول الأعضاء والمؤسسة الدولية للتنمية بموجب معاهدة بودابست الذي عقد في نوفمبر 2023.</w:t>
      </w:r>
    </w:p>
    <w:p w14:paraId="13A80799" w14:textId="77777777" w:rsidR="007E7141" w:rsidRDefault="007E7141" w:rsidP="001F03D8">
      <w:pPr>
        <w:pStyle w:val="ONUMA"/>
      </w:pPr>
      <w:r>
        <w:rPr>
          <w:rtl/>
        </w:rPr>
        <w:t xml:space="preserve">ورحب وفد الجمهورية التشيكية بالتطوير المستمر لنظام بودابست على النحو المبين في الوثيقة BP/A/41/1.  وفيما يتعلق بتطوير نظام بودابست، أعرب الوفد عن تأييده لإنشاء فريق خبراء خاص بمهام محددة في إطار جمعية اتحاد بودابست لمعالجة مسألة مناولة الكائنات الدقيقة المودعة بعد فترة التخزين الإلزامية.  وبعد المشاورات التي أجريت على المستوى الوطني مع المجموعة الثقافية التي تعمل كمؤسسة دولية للتنمية، ذكر الوفد أنه سيكون ممتنا للحصول على مزيد من التوضيح للقاعدة 9.1 من اللائحة التنفيذية لمعاهدة بودابست.  ورأى الوفد أن التوجيه بشأن تنفيذ تلك القاعدة سيكون مفيدا لكل من المؤسسة الدولية للتنمية ومودعي الكائنات الدقيقة.  وقال الوفد إنه لا يزال يشارك بنشاط في العمل الجاري لمعالجة هذه المسألة. </w:t>
      </w:r>
    </w:p>
    <w:p w14:paraId="3038283D" w14:textId="77777777" w:rsidR="007E7141" w:rsidRDefault="007E7141" w:rsidP="001F03D8">
      <w:pPr>
        <w:pStyle w:val="ONUMA"/>
      </w:pPr>
      <w:r>
        <w:rPr>
          <w:rtl/>
        </w:rPr>
        <w:t>وأعرب وفد هنغاريا عن ارتياحه لتقرير الأنشطة الذي قدمته الأمانة، ولا سيما زيادة عدد أعضاء معاهدة بودابست إلى 89 عضوا.  وذكر الوفد أن تبادل المعلومات والخبرات يمثل أولوية للحفاظ على الأنظمة الدولية ومواصلة تطويرها.  وفي هذا الصدد، أشار الوفد إلى التنظيم الناجح لاجتماع الدول الأعضاء والمؤسسة الدولية للتنمية بموجب معاهدة بودابست، الذي عقد في نوفمبر 2023.  وأكد الوفد من جديد استعداده للمساهمة في مواصلة تطوير نظام بودابست وأعرب عن تأييده لأي مقترحات مستقبلية، لا سيما إذا كانت هناك حاجة إلى قيام الدول الأعضاء بإنشاء فريق خبراء لمعالجة قضايا محددة، مثل التعامل مع الكائنات الدقيقة المودعة لدى المؤسسة الدولية للتنمية بعد انتهاء فترة التخزين الإلزامية.</w:t>
      </w:r>
    </w:p>
    <w:p w14:paraId="756C73B7" w14:textId="77777777" w:rsidR="007E7141" w:rsidRDefault="007E7141" w:rsidP="001F03D8">
      <w:pPr>
        <w:pStyle w:val="ONUMA"/>
      </w:pPr>
      <w:r>
        <w:rPr>
          <w:rtl/>
        </w:rPr>
        <w:t>وشكر وفد البرازيل الأمانة على تقرير النشاط وسلط الضوء على جهود البرازيل المستمرة للمضي قدما في العملية التشريعية للتصديق على معاهدة بودابست.  وأشار الوفد إلى أن المعهد الوطني للملكية الصناعية (INPI) قد قبل بالفعل إيداع المواد البيولوجية المصنوعة باستخدام IDA، وذلك لأغراض كفاية الكشف عن طلبات البراءات.  ومع ذلك، أشار الوفد إلى أن المخترعين الذين يحتاجون إلى إيداع لأغراض إجراءات البراءات يجب أن يرسلوا موادهم البيولوجية إلى إحدى المؤسسات الإنمائية الدولية المعترف بها بموجب معاهدة بودابست الموجودة في الخارج، مما ينطوي على زيادة التكاليف وإضافة صعوبات لوجستية وبيروقراطية.  وأعرب الوفد عن أمله في أن يتم حل هذا الوضع عند انضمامه إلى المعاهدة.  وتحسبا للانضمام، تلقى المعهد الوطني للملكية الصناعية ولاية من الفريق العامل المنشأ في إطار الفريق البرازيلي المشترك بين الوزارات للملكية الفكرية لقيادة الدراسات لتسريع العملية التنظيمية اللازمة لتنفيذ معاهدة بودابست.  وقال الوفد إنه يتوقع تقديم تقرير مرحلي في الدورة المقبلة للجمعيات.</w:t>
      </w:r>
    </w:p>
    <w:p w14:paraId="5CA01F3A" w14:textId="77777777" w:rsidR="007E7141" w:rsidRDefault="007E7141" w:rsidP="001F03D8">
      <w:pPr>
        <w:pStyle w:val="ONUMA"/>
      </w:pPr>
      <w:r>
        <w:rPr>
          <w:rtl/>
        </w:rPr>
        <w:lastRenderedPageBreak/>
        <w:t xml:space="preserve">وشكر وفد جمهورية كوريا الأمانة على إعداد الوثيقة BP/A/41/1.  وأشار الوفد إلى أن معاهدة بودابست وبروتوكول </w:t>
      </w:r>
      <w:proofErr w:type="spellStart"/>
      <w:r>
        <w:rPr>
          <w:rtl/>
        </w:rPr>
        <w:t>ناغويا</w:t>
      </w:r>
      <w:proofErr w:type="spellEnd"/>
      <w:r>
        <w:rPr>
          <w:rtl/>
        </w:rPr>
        <w:t xml:space="preserve"> لهما أهداف مختلفة ودول أعضاء مختلفة، وشدد على أنه لا يوجد سبب لمناقشة هذا الأخير في جمعية اتحاد بودابست أو أي أفرقة عاملة.  وبالإضافة إلى ذلك، أشار الوفد إلى وجود </w:t>
      </w:r>
      <w:proofErr w:type="gramStart"/>
      <w:r>
        <w:rPr>
          <w:rtl/>
        </w:rPr>
        <w:t>أربعة</w:t>
      </w:r>
      <w:proofErr w:type="gramEnd"/>
      <w:r>
        <w:rPr>
          <w:rtl/>
        </w:rPr>
        <w:t xml:space="preserve"> كيانات دولية للتنمية في جمهورية كوريا، وأعرب عن اهتمامه الشديد بإيداع الكائنات الدقيقة والمؤسسة الدولية للتنمية.  ولذلك أعرب عن استعداده للمشاركة بنشاط في المناقشات حول هذه الموضوعات.  وبناء على ذلك، طلب الوفد من الأمانة إطلاع الدول الأعضاء على مواعيد الاجتماعات وجداول أعمالها على الفور لتسهيل المشاركة.</w:t>
      </w:r>
    </w:p>
    <w:p w14:paraId="05DAD5B5" w14:textId="77777777" w:rsidR="007E7141" w:rsidRDefault="007E7141" w:rsidP="001F03D8">
      <w:pPr>
        <w:pStyle w:val="ONUMA"/>
      </w:pPr>
      <w:r>
        <w:rPr>
          <w:rtl/>
        </w:rPr>
        <w:t>وأعرب وفد إندونيسيا عن التزامه بالمشاركة البناءة في المناقشات المتعلقة بمعاهدة بودابست.  وأشار الوفد، الذي كان طرفا متعاقدا منذ 13 أكتوبر 2022، إلى أنه مكرس لدعم مبادئ معاهدة بودابست وتعزيز التعاون الدولي في مجال الملكية الفكرية.  وبالإشارة إلى البلاغ الأخير الذي قدمته إندونيسيا بشأن حصول مجموعة الثقافة الإندونيسية على وضع المؤسسة الدولية للتنمية، أشار الوفد إلى أن المركز الوطني للثقافة والآداب تأسس في عام 2014 ولعب دورا حاسما في إدارة الموارد البيولوجية الوطنية، وتحديدا الميكروبات، وأن اللجنة امتثلت لمتطلبات المادة 6(2) من معاهدة بودابست.  وشدد على أن حصول المعهد الوطني للتنمية على وضع المؤسسة الدولية للتنمية لن يفيد إندونيسيا فحسب، بل سيسهم أيضا في الجهد العالمي لتعزيز الابتكار والبحث العلمي.  وأعرب الوفد عن تطلعه إلى إجراء مناقشات مثمرة والتعاون في إطار معاهدة بودابست.</w:t>
      </w:r>
    </w:p>
    <w:p w14:paraId="374527DE" w14:textId="77777777" w:rsidR="007E7141" w:rsidRDefault="007E7141" w:rsidP="001F03D8">
      <w:pPr>
        <w:pStyle w:val="ONUMA"/>
      </w:pPr>
      <w:r>
        <w:rPr>
          <w:rtl/>
        </w:rPr>
        <w:t xml:space="preserve">ورحب وفد البرتغال بالطرف المتعاقد الجديد في معاهدة بودابست، وأشار إلى البيان الأخير الذي أدلت به المنظمة الأفريقية للملكية الفكرية (OAPI)، وأشار إلى العدد المتزايد من المؤسسات الإنمائية الدولية التي أظهرت النمو المستمر لنظام بودابست.  وشدد الوفد على أن المجلس قد حصل مؤخرا على وضع المؤسسة الدولية للتنمية في 25 أبريل 2024، وهي أول مجموعة ثقافية في البرتغال تحصل على هذا الوضع والخمسين للمؤسسة الدولية للتنمية بشكل عام.  وأعرب الوفد عن استعداده للتعاون مع المؤسسة الدولية للتنمية على الصعيدين الوطني والدولي وشدد على أهمية تبادل المعلومات والخبرات في تنفيذ معاهدة بودابست على المستوى العالمي. </w:t>
      </w:r>
      <w:bookmarkStart w:id="4" w:name="_Hlk172708701"/>
      <w:bookmarkEnd w:id="4"/>
    </w:p>
    <w:p w14:paraId="73174271" w14:textId="77777777" w:rsidR="007E7141" w:rsidRDefault="007E7141" w:rsidP="001F03D8">
      <w:pPr>
        <w:pStyle w:val="ONUMA"/>
      </w:pPr>
      <w:r>
        <w:rPr>
          <w:rtl/>
        </w:rPr>
        <w:t xml:space="preserve">وأشار وفد الاتحاد الروسي إلى الوثيقة BP/A/41/1 وأعرب عن تقديره لتنظيم واجتماع الدول الأعضاء والمؤسسة الدولية للتنمية الذي عقد في نوفمبر 2023.  ومكن الاجتماع الدول الأعضاء من إجراء تبادل ثري جدا للخبرات ومناقشة النهج المتبعة في الجوانب العملية لإيداع المواد البيولوجية وتخزينها ونقلها.  وعلى وجه الخصوص، أشار الوفد إلى المناقشة حول ممارسات المؤسسة الدولية للتنمية فيما يتعلق بالمواد البيولوجية المودعة بعد انتهاء فترة التخزين، وتبادل المعلومات حول أحدث التكنولوجيات في هذا المجال.  وأشار الوفد أيضا إلى تبادل المعلومات بين المشاركين بشأن الممارسات المتعلقة بالتعاون بين مكاتب الملكية الفكرية والمؤسسة الدولية للتنمية.  وذكر أن هذا التبادل الثري والمفيد للمعلومات بين أعضاء نظام بودابست قد جاء في الوقت المناسب ومكن الاتحاد الروسي من تقديم طلب إلى المكتب الدولي بشأن اكتساب وضع المؤسسة الدولية للتنمية من قبل مجموعة الكائنات الحية الدقيقة </w:t>
      </w:r>
      <w:proofErr w:type="spellStart"/>
      <w:r>
        <w:rPr>
          <w:rtl/>
        </w:rPr>
        <w:t>يوبيوتيك</w:t>
      </w:r>
      <w:proofErr w:type="spellEnd"/>
      <w:r>
        <w:rPr>
          <w:rtl/>
        </w:rPr>
        <w:t xml:space="preserve"> ونباتية (CEEM</w:t>
      </w:r>
      <w:proofErr w:type="gramStart"/>
      <w:r>
        <w:rPr>
          <w:rtl/>
        </w:rPr>
        <w:t>)،  جامعة</w:t>
      </w:r>
      <w:proofErr w:type="gramEnd"/>
      <w:r>
        <w:rPr>
          <w:rtl/>
        </w:rPr>
        <w:t xml:space="preserve"> كوبان الحكومية الزراعية سميت باسم I. T. </w:t>
      </w:r>
      <w:proofErr w:type="spellStart"/>
      <w:r>
        <w:rPr>
          <w:rtl/>
        </w:rPr>
        <w:t>Trubilin</w:t>
      </w:r>
      <w:proofErr w:type="spellEnd"/>
      <w:r>
        <w:rPr>
          <w:rtl/>
        </w:rPr>
        <w:t>.  وأشار الوفد إلى أن المكتب الدولي قد استقبل الطلب بشكل جيد وسيتم إخطار الدول الأعضاء به.</w:t>
      </w:r>
    </w:p>
    <w:p w14:paraId="127727BA" w14:textId="6C4F97F0" w:rsidR="006C7282" w:rsidRDefault="007E7141" w:rsidP="001F03D8">
      <w:pPr>
        <w:pStyle w:val="ONUMA"/>
      </w:pPr>
      <w:r>
        <w:rPr>
          <w:rtl/>
        </w:rPr>
        <w:t>وشكر وفد إسبانيا الأمانة على التحديثات المتعلقة بالانضمام الجديد إلى معاهدة بودابست والمؤسسة الدولية للتنمية الجديدة.  وأعرب الوفد عن تأييده لإنشاء فريق خبراء لمهام محددة في إطار جمعية اتحاد بودابست، مع التركيز على مسألة معالجة الكائنات الدقيقة المودعة من قبل المؤسسة الدولية للتنمية بعد انقضاء فترة التخزين الإلزامية المنصوص عليها في القاعدة 9(1) من معاهدة بودابست.</w:t>
      </w:r>
    </w:p>
    <w:p w14:paraId="700B1702" w14:textId="65F8E74D" w:rsidR="006C7282" w:rsidRDefault="007E7141" w:rsidP="001F03D8">
      <w:pPr>
        <w:pStyle w:val="ONUMA"/>
        <w:ind w:left="566"/>
      </w:pPr>
      <w:r>
        <w:rPr>
          <w:rFonts w:hint="cs"/>
          <w:rtl/>
        </w:rPr>
        <w:t>و</w:t>
      </w:r>
      <w:r w:rsidRPr="007E7141">
        <w:rPr>
          <w:rtl/>
        </w:rPr>
        <w:t>أحاطت جمعية اتحاد بودابست علماً بمضمون "تقرير الأنشطة عن تشغيل نظام بودابست" (الوثيقة</w:t>
      </w:r>
      <w:r>
        <w:rPr>
          <w:rFonts w:hint="cs"/>
          <w:rtl/>
        </w:rPr>
        <w:t> </w:t>
      </w:r>
      <w:r w:rsidRPr="007E7141">
        <w:t>BP/A/41/1</w:t>
      </w:r>
      <w:r w:rsidRPr="007E7141">
        <w:rPr>
          <w:rtl/>
        </w:rPr>
        <w:t>).</w:t>
      </w:r>
    </w:p>
    <w:p w14:paraId="2214F0B6" w14:textId="77777777" w:rsidR="001715E8" w:rsidRPr="001715E8" w:rsidRDefault="001715E8" w:rsidP="001715E8">
      <w:pPr>
        <w:pStyle w:val="Endofdocument-Annex"/>
      </w:pPr>
      <w:r>
        <w:rPr>
          <w:rFonts w:hint="cs"/>
          <w:rtl/>
        </w:rPr>
        <w:t>[نهاية الوثيقة]</w:t>
      </w:r>
    </w:p>
    <w:sectPr w:rsidR="001715E8" w:rsidRPr="001715E8"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ACFD4" w14:textId="77777777" w:rsidR="0063243C" w:rsidRDefault="0063243C">
      <w:r>
        <w:separator/>
      </w:r>
    </w:p>
  </w:endnote>
  <w:endnote w:type="continuationSeparator" w:id="0">
    <w:p w14:paraId="63DC9670" w14:textId="77777777" w:rsidR="0063243C" w:rsidRDefault="0063243C" w:rsidP="003B38C1">
      <w:r>
        <w:separator/>
      </w:r>
    </w:p>
    <w:p w14:paraId="20842613" w14:textId="77777777" w:rsidR="0063243C" w:rsidRPr="003B38C1" w:rsidRDefault="0063243C" w:rsidP="003B38C1">
      <w:pPr>
        <w:spacing w:after="60"/>
        <w:rPr>
          <w:sz w:val="17"/>
        </w:rPr>
      </w:pPr>
      <w:r>
        <w:rPr>
          <w:sz w:val="17"/>
        </w:rPr>
        <w:t>[Endnote continued from previous page]</w:t>
      </w:r>
    </w:p>
  </w:endnote>
  <w:endnote w:type="continuationNotice" w:id="1">
    <w:p w14:paraId="31A95DC8" w14:textId="77777777" w:rsidR="0063243C" w:rsidRPr="003B38C1" w:rsidRDefault="0063243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1348B" w14:textId="77777777" w:rsidR="0063243C" w:rsidRDefault="0063243C">
      <w:r>
        <w:separator/>
      </w:r>
    </w:p>
  </w:footnote>
  <w:footnote w:type="continuationSeparator" w:id="0">
    <w:p w14:paraId="575D4ADE" w14:textId="77777777" w:rsidR="0063243C" w:rsidRDefault="0063243C" w:rsidP="008B60B2">
      <w:r>
        <w:separator/>
      </w:r>
    </w:p>
    <w:p w14:paraId="310E0D74" w14:textId="77777777" w:rsidR="0063243C" w:rsidRPr="00ED77FB" w:rsidRDefault="0063243C" w:rsidP="008B60B2">
      <w:pPr>
        <w:spacing w:after="60"/>
        <w:rPr>
          <w:sz w:val="17"/>
          <w:szCs w:val="17"/>
        </w:rPr>
      </w:pPr>
      <w:r w:rsidRPr="00ED77FB">
        <w:rPr>
          <w:sz w:val="17"/>
          <w:szCs w:val="17"/>
        </w:rPr>
        <w:t>[Footnote continued from previous page]</w:t>
      </w:r>
    </w:p>
  </w:footnote>
  <w:footnote w:type="continuationNotice" w:id="1">
    <w:p w14:paraId="077A3F67" w14:textId="77777777" w:rsidR="0063243C" w:rsidRPr="00ED77FB" w:rsidRDefault="0063243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2AD8" w14:textId="14BC0DA9" w:rsidR="001715E8" w:rsidRDefault="001715E8" w:rsidP="001715E8">
    <w:pPr>
      <w:bidi w:val="0"/>
      <w:rPr>
        <w:rFonts w:cs="Arial"/>
        <w:szCs w:val="20"/>
        <w:rtl/>
      </w:rPr>
    </w:pPr>
    <w:bookmarkStart w:id="5" w:name="Code2"/>
    <w:bookmarkEnd w:id="5"/>
    <w:r w:rsidRPr="001715E8">
      <w:rPr>
        <w:rFonts w:cs="Arial"/>
        <w:szCs w:val="20"/>
      </w:rPr>
      <w:t>BP/A/</w:t>
    </w:r>
    <w:r w:rsidR="006C7282">
      <w:rPr>
        <w:rFonts w:cs="Arial"/>
        <w:szCs w:val="20"/>
      </w:rPr>
      <w:t>41</w:t>
    </w:r>
    <w:r w:rsidRPr="001715E8">
      <w:rPr>
        <w:rFonts w:cs="Arial"/>
        <w:szCs w:val="20"/>
      </w:rPr>
      <w:t>/2</w:t>
    </w:r>
  </w:p>
  <w:p w14:paraId="78966B9E" w14:textId="77777777" w:rsidR="001715E8" w:rsidRDefault="001715E8" w:rsidP="001715E8">
    <w:pPr>
      <w:bidi w:val="0"/>
      <w:rPr>
        <w:rFonts w:cs="Arial"/>
        <w:szCs w:val="20"/>
        <w:rtl/>
      </w:rPr>
    </w:pPr>
    <w:r w:rsidRPr="001715E8">
      <w:rPr>
        <w:rFonts w:cs="Arial"/>
        <w:szCs w:val="20"/>
      </w:rPr>
      <w:fldChar w:fldCharType="begin"/>
    </w:r>
    <w:r w:rsidRPr="001715E8">
      <w:rPr>
        <w:rFonts w:cs="Arial"/>
        <w:szCs w:val="20"/>
      </w:rPr>
      <w:instrText xml:space="preserve"> PAGE   \* MERGEFORMAT </w:instrText>
    </w:r>
    <w:r w:rsidRPr="001715E8">
      <w:rPr>
        <w:rFonts w:cs="Arial"/>
        <w:szCs w:val="20"/>
      </w:rPr>
      <w:fldChar w:fldCharType="separate"/>
    </w:r>
    <w:r w:rsidR="00B274EA">
      <w:rPr>
        <w:rFonts w:cs="Arial"/>
        <w:noProof/>
        <w:szCs w:val="20"/>
      </w:rPr>
      <w:t>2</w:t>
    </w:r>
    <w:r w:rsidRPr="001715E8">
      <w:rPr>
        <w:rFonts w:cs="Arial"/>
        <w:noProof/>
        <w:szCs w:val="20"/>
      </w:rPr>
      <w:fldChar w:fldCharType="end"/>
    </w:r>
  </w:p>
  <w:p w14:paraId="3DAB93B8" w14:textId="77777777" w:rsidR="001715E8" w:rsidRPr="001715E8" w:rsidRDefault="001715E8" w:rsidP="001715E8">
    <w:pPr>
      <w:bidi w:val="0"/>
      <w:rPr>
        <w:rFonts w:cs="Arial"/>
        <w:szCs w:val="20"/>
      </w:rPr>
    </w:pPr>
  </w:p>
  <w:p w14:paraId="7A4ED57A" w14:textId="77777777" w:rsidR="001715E8" w:rsidRDefault="001715E8" w:rsidP="001715E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052540726">
    <w:abstractNumId w:val="2"/>
  </w:num>
  <w:num w:numId="2" w16cid:durableId="615017345">
    <w:abstractNumId w:val="5"/>
  </w:num>
  <w:num w:numId="3" w16cid:durableId="1774856694">
    <w:abstractNumId w:val="0"/>
  </w:num>
  <w:num w:numId="4" w16cid:durableId="330791597">
    <w:abstractNumId w:val="6"/>
  </w:num>
  <w:num w:numId="5" w16cid:durableId="128516189">
    <w:abstractNumId w:val="1"/>
  </w:num>
  <w:num w:numId="6" w16cid:durableId="179319703">
    <w:abstractNumId w:val="3"/>
  </w:num>
  <w:num w:numId="7" w16cid:durableId="1825118616">
    <w:abstractNumId w:val="7"/>
  </w:num>
  <w:num w:numId="8" w16cid:durableId="680855327">
    <w:abstractNumId w:val="4"/>
  </w:num>
  <w:num w:numId="9" w16cid:durableId="558522021">
    <w:abstractNumId w:val="7"/>
  </w:num>
  <w:num w:numId="10" w16cid:durableId="988167667">
    <w:abstractNumId w:val="1"/>
  </w:num>
  <w:num w:numId="11" w16cid:durableId="381295215">
    <w:abstractNumId w:val="7"/>
  </w:num>
  <w:num w:numId="12" w16cid:durableId="1625690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43"/>
    <w:rsid w:val="0002184E"/>
    <w:rsid w:val="0002380A"/>
    <w:rsid w:val="00043CAA"/>
    <w:rsid w:val="00050DD1"/>
    <w:rsid w:val="00056816"/>
    <w:rsid w:val="00075432"/>
    <w:rsid w:val="000814DD"/>
    <w:rsid w:val="000968ED"/>
    <w:rsid w:val="000A1C96"/>
    <w:rsid w:val="000A3D97"/>
    <w:rsid w:val="000E1310"/>
    <w:rsid w:val="000F246F"/>
    <w:rsid w:val="000F5E56"/>
    <w:rsid w:val="00121613"/>
    <w:rsid w:val="00126E9C"/>
    <w:rsid w:val="001362EE"/>
    <w:rsid w:val="001406E1"/>
    <w:rsid w:val="00155D8A"/>
    <w:rsid w:val="00156404"/>
    <w:rsid w:val="001615E2"/>
    <w:rsid w:val="00161E5F"/>
    <w:rsid w:val="001647D5"/>
    <w:rsid w:val="001715E8"/>
    <w:rsid w:val="00181AA9"/>
    <w:rsid w:val="001832A6"/>
    <w:rsid w:val="0019592A"/>
    <w:rsid w:val="001D4107"/>
    <w:rsid w:val="001F03D8"/>
    <w:rsid w:val="001F53F8"/>
    <w:rsid w:val="00203D24"/>
    <w:rsid w:val="00210D5F"/>
    <w:rsid w:val="0021217E"/>
    <w:rsid w:val="002168F4"/>
    <w:rsid w:val="002326AB"/>
    <w:rsid w:val="00243430"/>
    <w:rsid w:val="00250FB0"/>
    <w:rsid w:val="00253F66"/>
    <w:rsid w:val="002634C4"/>
    <w:rsid w:val="002928D3"/>
    <w:rsid w:val="002A06AD"/>
    <w:rsid w:val="002D4D10"/>
    <w:rsid w:val="002F1FE6"/>
    <w:rsid w:val="002F4E68"/>
    <w:rsid w:val="00307B1E"/>
    <w:rsid w:val="00312F7F"/>
    <w:rsid w:val="003229FF"/>
    <w:rsid w:val="00324EFC"/>
    <w:rsid w:val="0035081D"/>
    <w:rsid w:val="00361450"/>
    <w:rsid w:val="003673CF"/>
    <w:rsid w:val="003845C1"/>
    <w:rsid w:val="003A6F89"/>
    <w:rsid w:val="003B355C"/>
    <w:rsid w:val="003B38C1"/>
    <w:rsid w:val="003C34E9"/>
    <w:rsid w:val="0040273E"/>
    <w:rsid w:val="00416B55"/>
    <w:rsid w:val="00423E3E"/>
    <w:rsid w:val="00427AF4"/>
    <w:rsid w:val="00461C06"/>
    <w:rsid w:val="00461F79"/>
    <w:rsid w:val="004647DA"/>
    <w:rsid w:val="00465D2B"/>
    <w:rsid w:val="00474062"/>
    <w:rsid w:val="00477D6B"/>
    <w:rsid w:val="00487DDB"/>
    <w:rsid w:val="004C5FEC"/>
    <w:rsid w:val="005019FF"/>
    <w:rsid w:val="0053057A"/>
    <w:rsid w:val="00555756"/>
    <w:rsid w:val="00556076"/>
    <w:rsid w:val="00560A29"/>
    <w:rsid w:val="00570B8C"/>
    <w:rsid w:val="00592A6B"/>
    <w:rsid w:val="0059399B"/>
    <w:rsid w:val="005C6649"/>
    <w:rsid w:val="005E7B89"/>
    <w:rsid w:val="005F7F43"/>
    <w:rsid w:val="00605827"/>
    <w:rsid w:val="006319F3"/>
    <w:rsid w:val="0063243C"/>
    <w:rsid w:val="00646050"/>
    <w:rsid w:val="00661543"/>
    <w:rsid w:val="006713CA"/>
    <w:rsid w:val="00672BE5"/>
    <w:rsid w:val="00676C5C"/>
    <w:rsid w:val="006B5C12"/>
    <w:rsid w:val="006C7282"/>
    <w:rsid w:val="00720EFD"/>
    <w:rsid w:val="00783263"/>
    <w:rsid w:val="007854AF"/>
    <w:rsid w:val="00793A7C"/>
    <w:rsid w:val="007A398A"/>
    <w:rsid w:val="007C4902"/>
    <w:rsid w:val="007D1613"/>
    <w:rsid w:val="007E4C0E"/>
    <w:rsid w:val="007E7141"/>
    <w:rsid w:val="007F2029"/>
    <w:rsid w:val="0089221B"/>
    <w:rsid w:val="008A134B"/>
    <w:rsid w:val="008B2CC1"/>
    <w:rsid w:val="008B60B2"/>
    <w:rsid w:val="0090731E"/>
    <w:rsid w:val="00916EE2"/>
    <w:rsid w:val="0095657F"/>
    <w:rsid w:val="00966A22"/>
    <w:rsid w:val="0096722F"/>
    <w:rsid w:val="00980843"/>
    <w:rsid w:val="0099799E"/>
    <w:rsid w:val="009B0855"/>
    <w:rsid w:val="009C0C01"/>
    <w:rsid w:val="009C41D0"/>
    <w:rsid w:val="009E2791"/>
    <w:rsid w:val="009E3F6F"/>
    <w:rsid w:val="009F499F"/>
    <w:rsid w:val="00A37342"/>
    <w:rsid w:val="00A42DAF"/>
    <w:rsid w:val="00A45BD8"/>
    <w:rsid w:val="00A515CF"/>
    <w:rsid w:val="00A869B7"/>
    <w:rsid w:val="00A90F0A"/>
    <w:rsid w:val="00AC1DF4"/>
    <w:rsid w:val="00AC205C"/>
    <w:rsid w:val="00AE4885"/>
    <w:rsid w:val="00AF0A6B"/>
    <w:rsid w:val="00B05A69"/>
    <w:rsid w:val="00B274EA"/>
    <w:rsid w:val="00B42CA9"/>
    <w:rsid w:val="00B51FF7"/>
    <w:rsid w:val="00B710E8"/>
    <w:rsid w:val="00B75281"/>
    <w:rsid w:val="00B92F1F"/>
    <w:rsid w:val="00B934AB"/>
    <w:rsid w:val="00B9734B"/>
    <w:rsid w:val="00BA30E2"/>
    <w:rsid w:val="00BA6F83"/>
    <w:rsid w:val="00C11BFE"/>
    <w:rsid w:val="00C164B0"/>
    <w:rsid w:val="00C5068F"/>
    <w:rsid w:val="00C86D74"/>
    <w:rsid w:val="00CA095F"/>
    <w:rsid w:val="00CB3DBA"/>
    <w:rsid w:val="00CC3E2D"/>
    <w:rsid w:val="00CC5F37"/>
    <w:rsid w:val="00CD04F1"/>
    <w:rsid w:val="00CD1D00"/>
    <w:rsid w:val="00CE19F8"/>
    <w:rsid w:val="00CE6B93"/>
    <w:rsid w:val="00CF681A"/>
    <w:rsid w:val="00D0283F"/>
    <w:rsid w:val="00D07C78"/>
    <w:rsid w:val="00D44612"/>
    <w:rsid w:val="00D45252"/>
    <w:rsid w:val="00D51B9D"/>
    <w:rsid w:val="00D56D24"/>
    <w:rsid w:val="00D60B2C"/>
    <w:rsid w:val="00D624F7"/>
    <w:rsid w:val="00D67EAE"/>
    <w:rsid w:val="00D71B4D"/>
    <w:rsid w:val="00D90B96"/>
    <w:rsid w:val="00D93D55"/>
    <w:rsid w:val="00DA0D9C"/>
    <w:rsid w:val="00DD7B7F"/>
    <w:rsid w:val="00DE2EFC"/>
    <w:rsid w:val="00E112CF"/>
    <w:rsid w:val="00E12C45"/>
    <w:rsid w:val="00E15015"/>
    <w:rsid w:val="00E319DF"/>
    <w:rsid w:val="00E335FE"/>
    <w:rsid w:val="00E34396"/>
    <w:rsid w:val="00E66CC5"/>
    <w:rsid w:val="00E7374D"/>
    <w:rsid w:val="00E741EB"/>
    <w:rsid w:val="00EA7D6E"/>
    <w:rsid w:val="00EB2F76"/>
    <w:rsid w:val="00EB32FA"/>
    <w:rsid w:val="00EC260E"/>
    <w:rsid w:val="00EC4E49"/>
    <w:rsid w:val="00ED77FB"/>
    <w:rsid w:val="00EE066C"/>
    <w:rsid w:val="00EE45FA"/>
    <w:rsid w:val="00F0061B"/>
    <w:rsid w:val="00F043DE"/>
    <w:rsid w:val="00F442BC"/>
    <w:rsid w:val="00F66152"/>
    <w:rsid w:val="00F842F5"/>
    <w:rsid w:val="00F9165B"/>
    <w:rsid w:val="00FB24BA"/>
    <w:rsid w:val="00FC482F"/>
    <w:rsid w:val="00FF02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8E34"/>
  <w15:docId w15:val="{BDAF5225-FAF3-48F1-BBBD-1B95F95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6319F3"/>
    <w:rPr>
      <w:vertAlign w:val="superscript"/>
    </w:rPr>
  </w:style>
  <w:style w:type="character" w:customStyle="1" w:styleId="HeaderChar">
    <w:name w:val="Header Char"/>
    <w:basedOn w:val="DefaultParagraphFont"/>
    <w:link w:val="Header"/>
    <w:uiPriority w:val="99"/>
    <w:rsid w:val="00DA0D9C"/>
    <w:rPr>
      <w:rFonts w:ascii="Arial" w:eastAsia="SimSun" w:hAnsi="Arial" w:cs="Calibri"/>
      <w:sz w:val="22"/>
      <w:szCs w:val="22"/>
      <w:lang w:val="en-US" w:eastAsia="zh-CN"/>
    </w:rPr>
  </w:style>
  <w:style w:type="character" w:styleId="Hyperlink">
    <w:name w:val="Hyperlink"/>
    <w:basedOn w:val="DefaultParagraphFont"/>
    <w:unhideWhenUsed/>
    <w:rsid w:val="007E7141"/>
    <w:rPr>
      <w:color w:val="0000FF" w:themeColor="hyperlink"/>
      <w:u w:val="single"/>
    </w:rPr>
  </w:style>
  <w:style w:type="character" w:styleId="UnresolvedMention">
    <w:name w:val="Unresolved Mention"/>
    <w:basedOn w:val="DefaultParagraphFont"/>
    <w:uiPriority w:val="99"/>
    <w:semiHidden/>
    <w:unhideWhenUsed/>
    <w:rsid w:val="007E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0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BP_A_3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B5FE-728B-490E-B56E-7724058B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BP_A_39_AR.dotx</Template>
  <TotalTime>5</TotalTime>
  <Pages>3</Pages>
  <Words>1383</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BP/A/39/1 (Arabic)</vt:lpstr>
    </vt:vector>
  </TitlesOfParts>
  <Company>WIPO</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BP/A/41/2 (Arabic)</dc:title>
  <dc:creator>MERZOUK Fawzi</dc:creator>
  <cp:keywords>FOR OFFICIAL USE ONLY</cp:keywords>
  <cp:lastModifiedBy>AHMIDOUCH Noureddine</cp:lastModifiedBy>
  <cp:revision>5</cp:revision>
  <cp:lastPrinted>2024-09-19T13:55:00Z</cp:lastPrinted>
  <dcterms:created xsi:type="dcterms:W3CDTF">2024-09-19T12:32:00Z</dcterms:created>
  <dcterms:modified xsi:type="dcterms:W3CDTF">2024-09-19T13:56:00Z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2024-08-13T13:59:06Z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46fcc815-85e8-4a55-9fc0-132b4ff84184</vt:lpwstr>
  </property>
  <property fmtid="{D5CDD505-2E9C-101B-9397-08002B2CF9AE}" pid="13" name="MSIP_Label_20773ee6-353b-4fb9-a59d-0b94c8c67bea_ContentBits">
    <vt:lpwstr>0</vt:lpwstr>
  </property>
</Properties>
</file>