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15E8" w:rsidP="003132DE">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B</w:t>
      </w:r>
      <w:r w:rsidR="00E15008">
        <w:rPr>
          <w:rFonts w:ascii="Arial Black" w:eastAsia="SimSun" w:hAnsi="Arial Black" w:cs="Arial"/>
          <w:b/>
          <w:caps/>
          <w:noProof/>
          <w:sz w:val="16"/>
          <w:szCs w:val="16"/>
          <w:lang w:eastAsia="zh-CN"/>
        </w:rPr>
        <w:t>TAP/A/1</w:t>
      </w:r>
      <w:r>
        <w:rPr>
          <w:rFonts w:ascii="Arial Black" w:eastAsia="SimSun" w:hAnsi="Arial Black" w:cs="Arial"/>
          <w:b/>
          <w:caps/>
          <w:noProof/>
          <w:sz w:val="16"/>
          <w:szCs w:val="16"/>
          <w:lang w:eastAsia="zh-CN"/>
        </w:rPr>
        <w:t>/</w:t>
      </w:r>
      <w:r w:rsidR="00521055">
        <w:rPr>
          <w:rFonts w:ascii="Arial Black" w:eastAsia="SimSun" w:hAnsi="Arial Black" w:cs="Arial"/>
          <w:b/>
          <w:caps/>
          <w:noProof/>
          <w:sz w:val="16"/>
          <w:szCs w:val="16"/>
          <w:lang w:eastAsia="zh-CN"/>
        </w:rPr>
        <w:t>2</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521055">
        <w:rPr>
          <w:rFonts w:hint="cs"/>
          <w:b/>
          <w:bCs/>
          <w:sz w:val="30"/>
          <w:szCs w:val="30"/>
          <w:rtl/>
        </w:rPr>
        <w:t>بالإنكليزية</w:t>
      </w:r>
    </w:p>
    <w:p w:rsidR="003F7284" w:rsidRPr="00BB6440" w:rsidRDefault="003F7284" w:rsidP="00D00DEE">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D00DEE">
        <w:rPr>
          <w:rFonts w:hint="cs"/>
          <w:b/>
          <w:bCs/>
          <w:sz w:val="30"/>
          <w:szCs w:val="30"/>
          <w:rtl/>
        </w:rPr>
        <w:t>21</w:t>
      </w:r>
      <w:r w:rsidR="00521055">
        <w:rPr>
          <w:rFonts w:hint="cs"/>
          <w:b/>
          <w:bCs/>
          <w:sz w:val="30"/>
          <w:szCs w:val="30"/>
          <w:rtl/>
        </w:rPr>
        <w:t xml:space="preserve"> يوليو 2020</w:t>
      </w:r>
    </w:p>
    <w:p w:rsidR="00FD15E8" w:rsidRDefault="00E15008" w:rsidP="00FD15E8">
      <w:pPr>
        <w:pStyle w:val="Heading1"/>
        <w:spacing w:after="600"/>
        <w:rPr>
          <w:rtl/>
        </w:rPr>
      </w:pPr>
      <w:bookmarkStart w:id="7" w:name="Body"/>
      <w:bookmarkEnd w:id="7"/>
      <w:r>
        <w:rPr>
          <w:rFonts w:hint="cs"/>
          <w:rtl/>
        </w:rPr>
        <w:t>معاهدة بيجين بشأن الأداء السمعي البصري</w:t>
      </w:r>
    </w:p>
    <w:p w:rsidR="002E7810" w:rsidRPr="00FD6D15" w:rsidRDefault="00FD15E8" w:rsidP="009B7572">
      <w:pPr>
        <w:pStyle w:val="Heading1"/>
        <w:spacing w:after="600" w:line="240" w:lineRule="auto"/>
      </w:pPr>
      <w:r>
        <w:rPr>
          <w:rFonts w:hint="eastAsia"/>
          <w:rtl/>
        </w:rPr>
        <w:t>الجمعية</w:t>
      </w:r>
    </w:p>
    <w:p w:rsidR="002E7810" w:rsidRPr="002E7810" w:rsidRDefault="00FD15E8" w:rsidP="00E15008">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E15008">
        <w:rPr>
          <w:rFonts w:ascii="Arial Black" w:hAnsi="Arial Black" w:cs="PT Bold Heading" w:hint="cs"/>
          <w:sz w:val="30"/>
          <w:szCs w:val="30"/>
          <w:rtl/>
        </w:rPr>
        <w:t>الأولى</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E15008">
        <w:rPr>
          <w:rFonts w:ascii="Arial Black" w:hAnsi="Arial Black" w:cs="PT Bold Heading" w:hint="cs"/>
          <w:sz w:val="30"/>
          <w:szCs w:val="30"/>
          <w:rtl/>
        </w:rPr>
        <w:t>العادية الأولى</w:t>
      </w:r>
      <w:r>
        <w:rPr>
          <w:rFonts w:ascii="Arial Black" w:hAnsi="Arial Black" w:cs="PT Bold Heading"/>
          <w:sz w:val="30"/>
          <w:szCs w:val="30"/>
          <w:rtl/>
        </w:rPr>
        <w:t>)</w:t>
      </w:r>
    </w:p>
    <w:p w:rsidR="002E7810" w:rsidRPr="002E7810" w:rsidRDefault="00FD15E8" w:rsidP="00E15008">
      <w:pPr>
        <w:spacing w:line="600" w:lineRule="auto"/>
        <w:rPr>
          <w:b/>
          <w:bCs/>
          <w:rtl/>
        </w:rPr>
      </w:pPr>
      <w:bookmarkStart w:id="9" w:name="Place"/>
      <w:bookmarkEnd w:id="9"/>
      <w:r>
        <w:rPr>
          <w:b/>
          <w:bCs/>
          <w:rtl/>
        </w:rPr>
        <w:t xml:space="preserve">جنيف، من </w:t>
      </w:r>
      <w:r w:rsidR="00E15008">
        <w:rPr>
          <w:rFonts w:hint="cs"/>
          <w:b/>
          <w:bCs/>
          <w:rtl/>
        </w:rPr>
        <w:t>21</w:t>
      </w:r>
      <w:r>
        <w:rPr>
          <w:b/>
          <w:bCs/>
          <w:rtl/>
        </w:rPr>
        <w:t xml:space="preserve"> إلى </w:t>
      </w:r>
      <w:r w:rsidR="00E15008">
        <w:rPr>
          <w:rFonts w:hint="cs"/>
          <w:b/>
          <w:bCs/>
          <w:rtl/>
        </w:rPr>
        <w:t>29</w:t>
      </w:r>
      <w:r>
        <w:rPr>
          <w:b/>
          <w:bCs/>
          <w:rtl/>
        </w:rPr>
        <w:t xml:space="preserve"> </w:t>
      </w:r>
      <w:r w:rsidR="00E15008">
        <w:rPr>
          <w:rFonts w:hint="cs"/>
          <w:b/>
          <w:bCs/>
          <w:rtl/>
        </w:rPr>
        <w:t>سبتمبر</w:t>
      </w:r>
      <w:r>
        <w:rPr>
          <w:b/>
          <w:bCs/>
          <w:rtl/>
        </w:rPr>
        <w:t xml:space="preserve"> </w:t>
      </w:r>
      <w:r w:rsidR="00E15008">
        <w:rPr>
          <w:rFonts w:hint="cs"/>
          <w:b/>
          <w:bCs/>
          <w:rtl/>
        </w:rPr>
        <w:t>2020</w:t>
      </w:r>
    </w:p>
    <w:p w:rsidR="002E7810" w:rsidRPr="002E7810" w:rsidRDefault="00800E38"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وضع معاهدة بيجين</w:t>
      </w:r>
    </w:p>
    <w:p w:rsidR="003F7284" w:rsidRPr="00BB6440" w:rsidRDefault="00800E38" w:rsidP="00874721">
      <w:pPr>
        <w:spacing w:before="200" w:after="96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الأمانة</w:t>
      </w:r>
    </w:p>
    <w:p w:rsidR="00E3612C" w:rsidRPr="00FD6D15" w:rsidRDefault="00800E38" w:rsidP="000D7E81">
      <w:pPr>
        <w:pStyle w:val="BodyText"/>
        <w:rPr>
          <w:rtl/>
        </w:rPr>
      </w:pPr>
      <w:r>
        <w:rPr>
          <w:rFonts w:hint="cs"/>
          <w:rtl/>
        </w:rPr>
        <w:t>توفر هذه الوثيقة معلومات عن التوقيع على معاهدة بيجين بشأن الأداء السمعي البصري ("معاهدة بيجين")، وعن التصديق عليها والانضمام إليها، بما في ذلك دخولها حيز النفاذ مؤخرا. كما توفر معلومات محدثة عن وضع أنشطة الترويج لمعاهدة بيجين وتنفيذها.</w:t>
      </w:r>
    </w:p>
    <w:p w:rsidR="00C41AE0" w:rsidRPr="00800E38" w:rsidRDefault="00800E38" w:rsidP="00800E38">
      <w:pPr>
        <w:pStyle w:val="Heading2"/>
        <w:rPr>
          <w:b w:val="0"/>
          <w:bCs w:val="0"/>
          <w:rtl/>
        </w:rPr>
      </w:pPr>
      <w:r w:rsidRPr="00800E38">
        <w:rPr>
          <w:rFonts w:hint="cs"/>
          <w:b w:val="0"/>
          <w:bCs w:val="0"/>
          <w:rtl/>
        </w:rPr>
        <w:t>ألف.</w:t>
      </w:r>
      <w:r w:rsidRPr="00800E38">
        <w:rPr>
          <w:b w:val="0"/>
          <w:bCs w:val="0"/>
          <w:rtl/>
        </w:rPr>
        <w:tab/>
      </w:r>
      <w:r w:rsidRPr="00800E38">
        <w:rPr>
          <w:rFonts w:hint="cs"/>
          <w:b w:val="0"/>
          <w:bCs w:val="0"/>
          <w:rtl/>
        </w:rPr>
        <w:t>التوقيع على معاهدة بيجين</w:t>
      </w:r>
    </w:p>
    <w:p w:rsidR="00800E38" w:rsidRDefault="00D4638D" w:rsidP="00800E38">
      <w:pPr>
        <w:pStyle w:val="ONUMA"/>
      </w:pPr>
      <w:r>
        <w:rPr>
          <w:rFonts w:hint="cs"/>
          <w:rtl/>
        </w:rPr>
        <w:t xml:space="preserve">في 24 يونيو 2012، اعتمد المؤتمر الدبلوماسي المعني بحماية </w:t>
      </w:r>
      <w:r w:rsidR="00A52FA7">
        <w:rPr>
          <w:rFonts w:hint="cs"/>
          <w:rtl/>
        </w:rPr>
        <w:t xml:space="preserve">الأداء السمعي </w:t>
      </w:r>
      <w:r w:rsidR="00A52FA7">
        <w:rPr>
          <w:rFonts w:hint="cs"/>
          <w:rtl/>
        </w:rPr>
        <w:lastRenderedPageBreak/>
        <w:t>البصري، بتوافق الآراء، معاهدة بيجين، التي فُتح باب الت</w:t>
      </w:r>
      <w:r w:rsidR="000049C4">
        <w:rPr>
          <w:rFonts w:hint="cs"/>
          <w:rtl/>
        </w:rPr>
        <w:t>وقيع عليها في 26 يونيو 2012. وطب</w:t>
      </w:r>
      <w:r w:rsidR="00A52FA7">
        <w:rPr>
          <w:rFonts w:hint="cs"/>
          <w:rtl/>
        </w:rPr>
        <w:t>قا للمادة 25 من معاهدة بيجين، ظلّ باب التوقيع على المعاهدة مفتوحا في المقرّ الرئيس للويبو لمدة سنة بعد اعتمادها، أي حتى 24 يونيو 2013.</w:t>
      </w:r>
    </w:p>
    <w:p w:rsidR="00A52FA7" w:rsidRDefault="00A52FA7" w:rsidP="00A52FA7">
      <w:pPr>
        <w:pStyle w:val="ONUMA"/>
      </w:pPr>
      <w:r>
        <w:rPr>
          <w:rFonts w:hint="cs"/>
          <w:rtl/>
        </w:rPr>
        <w:t>وحتى 24 يونيو 2013، كانت الأطراف المؤهلة البالغ عددها 74 طرفا والواردة قائمتها في المرفق الأول قد وقّعت على</w:t>
      </w:r>
      <w:r>
        <w:rPr>
          <w:rFonts w:hint="eastAsia"/>
          <w:rtl/>
        </w:rPr>
        <w:t> </w:t>
      </w:r>
      <w:r>
        <w:rPr>
          <w:rFonts w:hint="cs"/>
          <w:rtl/>
        </w:rPr>
        <w:t>المعاهدة.</w:t>
      </w:r>
    </w:p>
    <w:p w:rsidR="00A52FA7" w:rsidRPr="00A52FA7" w:rsidRDefault="000A2962" w:rsidP="00A52FA7">
      <w:pPr>
        <w:pStyle w:val="Heading2"/>
        <w:rPr>
          <w:b w:val="0"/>
          <w:bCs w:val="0"/>
        </w:rPr>
      </w:pPr>
      <w:r>
        <w:rPr>
          <w:rFonts w:hint="cs"/>
          <w:b w:val="0"/>
          <w:bCs w:val="0"/>
          <w:rtl/>
        </w:rPr>
        <w:t>باء.</w:t>
      </w:r>
      <w:r w:rsidR="000049C4">
        <w:rPr>
          <w:b w:val="0"/>
          <w:bCs w:val="0"/>
          <w:rtl/>
        </w:rPr>
        <w:tab/>
      </w:r>
      <w:r w:rsidR="00A52FA7" w:rsidRPr="00A52FA7">
        <w:rPr>
          <w:rFonts w:hint="cs"/>
          <w:b w:val="0"/>
          <w:bCs w:val="0"/>
          <w:rtl/>
        </w:rPr>
        <w:t>دخول معاهدة بيجين حيز النفاذ</w:t>
      </w:r>
    </w:p>
    <w:p w:rsidR="00A52FA7" w:rsidRDefault="00A52FA7" w:rsidP="000049C4">
      <w:pPr>
        <w:pStyle w:val="ONUMA"/>
      </w:pPr>
      <w:r>
        <w:rPr>
          <w:rFonts w:hint="cs"/>
          <w:rtl/>
        </w:rPr>
        <w:t xml:space="preserve">تنص المادة 26 على أن المعاهدة تدخل حيز النفاذ بعد ثلاثة أشهر </w:t>
      </w:r>
      <w:r w:rsidR="00991FCB">
        <w:rPr>
          <w:rFonts w:hint="cs"/>
          <w:rtl/>
        </w:rPr>
        <w:t>من</w:t>
      </w:r>
      <w:r>
        <w:rPr>
          <w:rFonts w:hint="cs"/>
          <w:rtl/>
        </w:rPr>
        <w:t xml:space="preserve"> قيام 30 </w:t>
      </w:r>
      <w:r w:rsidR="00991FCB">
        <w:rPr>
          <w:rFonts w:hint="cs"/>
          <w:rtl/>
        </w:rPr>
        <w:t>من الأطراف المؤهلة</w:t>
      </w:r>
      <w:r>
        <w:rPr>
          <w:rFonts w:hint="cs"/>
          <w:rtl/>
        </w:rPr>
        <w:t xml:space="preserve">، </w:t>
      </w:r>
      <w:r w:rsidR="000049C4">
        <w:rPr>
          <w:rFonts w:hint="cs"/>
          <w:rtl/>
        </w:rPr>
        <w:t>كما هي معرّفة</w:t>
      </w:r>
      <w:r>
        <w:rPr>
          <w:rFonts w:hint="cs"/>
          <w:rtl/>
        </w:rPr>
        <w:t xml:space="preserve"> في المادة 23 من المعاهدة، بإي</w:t>
      </w:r>
      <w:r w:rsidR="00991FCB">
        <w:rPr>
          <w:rFonts w:hint="cs"/>
          <w:rtl/>
        </w:rPr>
        <w:t>داع وثائق تصديقها</w:t>
      </w:r>
      <w:r>
        <w:rPr>
          <w:rFonts w:hint="cs"/>
          <w:rtl/>
        </w:rPr>
        <w:t xml:space="preserve"> </w:t>
      </w:r>
      <w:r w:rsidR="000049C4">
        <w:rPr>
          <w:rFonts w:hint="cs"/>
          <w:rtl/>
        </w:rPr>
        <w:t xml:space="preserve">أو </w:t>
      </w:r>
      <w:r w:rsidR="00991FCB">
        <w:rPr>
          <w:rFonts w:hint="cs"/>
          <w:rtl/>
        </w:rPr>
        <w:t>انضمامها.</w:t>
      </w:r>
    </w:p>
    <w:p w:rsidR="00991FCB" w:rsidRDefault="00991FCB" w:rsidP="00991FCB">
      <w:pPr>
        <w:pStyle w:val="ONUMA"/>
      </w:pPr>
      <w:r>
        <w:rPr>
          <w:rFonts w:hint="cs"/>
          <w:rtl/>
        </w:rPr>
        <w:t>وفي 28 أبريل 2020، دخلت معاهدة بيجين حيز النفاذ.</w:t>
      </w:r>
    </w:p>
    <w:p w:rsidR="00991FCB" w:rsidRPr="00ED7555" w:rsidRDefault="00991FCB" w:rsidP="00991FCB">
      <w:pPr>
        <w:pStyle w:val="ONUMA"/>
        <w:rPr>
          <w:rtl/>
        </w:rPr>
      </w:pPr>
      <w:r>
        <w:rPr>
          <w:rFonts w:hint="cs"/>
          <w:rtl/>
        </w:rPr>
        <w:t>وكانت إندونيسيا الطرف المتعاقد رقم 30 الذ</w:t>
      </w:r>
      <w:r w:rsidR="00D00DEE">
        <w:rPr>
          <w:rFonts w:hint="cs"/>
          <w:rtl/>
        </w:rPr>
        <w:t>ي أودع وثيقة تصديقه على معاهد بيجين</w:t>
      </w:r>
      <w:r>
        <w:rPr>
          <w:rFonts w:hint="cs"/>
          <w:rtl/>
        </w:rPr>
        <w:t xml:space="preserve"> في 8 يناير 2020.</w:t>
      </w:r>
    </w:p>
    <w:p w:rsidR="000D7E81" w:rsidRPr="000A2962" w:rsidRDefault="000A2962" w:rsidP="000A2962">
      <w:pPr>
        <w:pStyle w:val="Heading2"/>
        <w:rPr>
          <w:b w:val="0"/>
          <w:bCs w:val="0"/>
          <w:rtl/>
        </w:rPr>
      </w:pPr>
      <w:r w:rsidRPr="000A2962">
        <w:rPr>
          <w:rFonts w:hint="cs"/>
          <w:b w:val="0"/>
          <w:bCs w:val="0"/>
          <w:rtl/>
        </w:rPr>
        <w:t>جيم.</w:t>
      </w:r>
      <w:r w:rsidRPr="000A2962">
        <w:rPr>
          <w:b w:val="0"/>
          <w:bCs w:val="0"/>
          <w:rtl/>
        </w:rPr>
        <w:tab/>
      </w:r>
      <w:r w:rsidRPr="000A2962">
        <w:rPr>
          <w:rFonts w:hint="cs"/>
          <w:b w:val="0"/>
          <w:bCs w:val="0"/>
          <w:rtl/>
        </w:rPr>
        <w:t>التصديق على معاهدة بيجين والانضمام إليها</w:t>
      </w:r>
    </w:p>
    <w:p w:rsidR="000A2962" w:rsidRDefault="000A2962" w:rsidP="000A2962">
      <w:pPr>
        <w:pStyle w:val="ONUMA"/>
      </w:pPr>
      <w:r>
        <w:rPr>
          <w:rFonts w:hint="cs"/>
          <w:rtl/>
        </w:rPr>
        <w:t>حتى التاريخ المبيّن في المرفق الثاني، كانت الدول الأعضاء البالغ عددها 33 دولة عضوا والواردة قائمتها في المرفق الثاني قد صادقت على معاهدة بيجين أو انضمت إليها.</w:t>
      </w:r>
    </w:p>
    <w:p w:rsidR="000A2962" w:rsidRPr="000A2962" w:rsidRDefault="000A2962" w:rsidP="000A2962">
      <w:pPr>
        <w:pStyle w:val="Heading2"/>
        <w:rPr>
          <w:b w:val="0"/>
          <w:bCs w:val="0"/>
        </w:rPr>
      </w:pPr>
      <w:r>
        <w:rPr>
          <w:rFonts w:hint="cs"/>
          <w:b w:val="0"/>
          <w:bCs w:val="0"/>
          <w:rtl/>
        </w:rPr>
        <w:t>دال.</w:t>
      </w:r>
      <w:r>
        <w:rPr>
          <w:b w:val="0"/>
          <w:bCs w:val="0"/>
          <w:rtl/>
        </w:rPr>
        <w:tab/>
      </w:r>
      <w:r w:rsidRPr="000A2962">
        <w:rPr>
          <w:rFonts w:hint="cs"/>
          <w:b w:val="0"/>
          <w:bCs w:val="0"/>
          <w:rtl/>
        </w:rPr>
        <w:t>معلومات عن معاهدة بيجين</w:t>
      </w:r>
    </w:p>
    <w:p w:rsidR="000A2962" w:rsidRDefault="000A2962" w:rsidP="000A2962">
      <w:pPr>
        <w:pStyle w:val="ONUMA"/>
      </w:pPr>
      <w:r>
        <w:rPr>
          <w:rFonts w:hint="cs"/>
          <w:rtl/>
        </w:rPr>
        <w:t xml:space="preserve">يرد المزيد من المعلومات عن معاهدة بيجين على موقع الويبو الإلكتروني على الرابط </w:t>
      </w:r>
      <w:r>
        <w:rPr>
          <w:rFonts w:hint="cs"/>
          <w:rtl/>
        </w:rPr>
        <w:lastRenderedPageBreak/>
        <w:t>التالي:</w:t>
      </w:r>
      <w:r>
        <w:rPr>
          <w:rtl/>
        </w:rPr>
        <w:br/>
      </w:r>
      <w:hyperlink r:id="rId9" w:history="1">
        <w:r w:rsidRPr="00A9595D">
          <w:rPr>
            <w:rStyle w:val="Hyperlink"/>
          </w:rPr>
          <w:t>https://www.wipo.int/beijing_treaty/ar</w:t>
        </w:r>
      </w:hyperlink>
      <w:r>
        <w:rPr>
          <w:rFonts w:hint="cs"/>
          <w:rtl/>
        </w:rPr>
        <w:t>.</w:t>
      </w:r>
    </w:p>
    <w:p w:rsidR="000A2962" w:rsidRPr="000A2962" w:rsidRDefault="000A2962" w:rsidP="000A2962">
      <w:pPr>
        <w:pStyle w:val="Heading2"/>
        <w:rPr>
          <w:b w:val="0"/>
          <w:bCs w:val="0"/>
        </w:rPr>
      </w:pPr>
      <w:r w:rsidRPr="000A2962">
        <w:rPr>
          <w:rFonts w:hint="cs"/>
          <w:b w:val="0"/>
          <w:bCs w:val="0"/>
          <w:rtl/>
        </w:rPr>
        <w:t>هاء.</w:t>
      </w:r>
      <w:r w:rsidRPr="000A2962">
        <w:rPr>
          <w:b w:val="0"/>
          <w:bCs w:val="0"/>
          <w:rtl/>
        </w:rPr>
        <w:tab/>
      </w:r>
      <w:r w:rsidRPr="000A2962">
        <w:rPr>
          <w:rFonts w:hint="cs"/>
          <w:b w:val="0"/>
          <w:bCs w:val="0"/>
          <w:rtl/>
        </w:rPr>
        <w:t>الترويج لمعاهدة بيجين</w:t>
      </w:r>
    </w:p>
    <w:p w:rsidR="000A2962" w:rsidRDefault="00382847" w:rsidP="00D00DEE">
      <w:pPr>
        <w:pStyle w:val="ONUMA"/>
      </w:pPr>
      <w:r>
        <w:rPr>
          <w:rFonts w:hint="cs"/>
          <w:rtl/>
        </w:rPr>
        <w:t xml:space="preserve">في الفترة من يوليو 2019 إلى فبراير 2020، نظّمت الأمانة </w:t>
      </w:r>
      <w:r w:rsidR="00D00DEE">
        <w:rPr>
          <w:rFonts w:hint="cs"/>
          <w:rtl/>
        </w:rPr>
        <w:t>18</w:t>
      </w:r>
      <w:r>
        <w:rPr>
          <w:rFonts w:hint="cs"/>
          <w:rtl/>
        </w:rPr>
        <w:t xml:space="preserve"> حدثا </w:t>
      </w:r>
      <w:r w:rsidR="00D00DEE">
        <w:rPr>
          <w:rFonts w:hint="cs"/>
          <w:rtl/>
        </w:rPr>
        <w:t>على الصعيد الدولي والصعيدين الإقليمي ودون</w:t>
      </w:r>
      <w:r w:rsidR="00D00DEE">
        <w:rPr>
          <w:rFonts w:hint="eastAsia"/>
          <w:rtl/>
        </w:rPr>
        <w:t> </w:t>
      </w:r>
      <w:r w:rsidR="00D00DEE">
        <w:rPr>
          <w:rFonts w:hint="cs"/>
          <w:rtl/>
        </w:rPr>
        <w:t>الإقليمي</w:t>
      </w:r>
      <w:r>
        <w:rPr>
          <w:rFonts w:hint="cs"/>
          <w:rtl/>
        </w:rPr>
        <w:t xml:space="preserve"> لأغراض الترويج لمعاهدة بيجين، وذلك في لواندا (أنغولا)، وبارو (بوتان)، وتينفو (بوتان)، وبنوم بنه (كمبوديا)، وشينغدو (الصين)، ونانجينغ (الصين)، وسانتو دومينغو (الجمهورية الدومينيكية)، والقاهرة (مصر)، وطوكيو (اليابان)، ونواكشوط (موريتانيا)، ومكسيكو</w:t>
      </w:r>
      <w:r w:rsidR="000049C4">
        <w:rPr>
          <w:rFonts w:hint="eastAsia"/>
          <w:rtl/>
        </w:rPr>
        <w:t> </w:t>
      </w:r>
      <w:r>
        <w:rPr>
          <w:rFonts w:hint="cs"/>
          <w:rtl/>
        </w:rPr>
        <w:t>سيتي (المكسيك)، ووبورت موريسبي (بابوا غينيا الجديدة)، وأسونسيون (باراغواي)، وسيول (جمهورية</w:t>
      </w:r>
      <w:r w:rsidR="000049C4">
        <w:rPr>
          <w:rFonts w:hint="eastAsia"/>
          <w:rtl/>
        </w:rPr>
        <w:t> </w:t>
      </w:r>
      <w:r>
        <w:rPr>
          <w:rFonts w:hint="cs"/>
          <w:rtl/>
        </w:rPr>
        <w:t xml:space="preserve">كوريا)، وكيغالي (رواندا)، </w:t>
      </w:r>
      <w:r w:rsidR="00521055">
        <w:rPr>
          <w:rFonts w:hint="cs"/>
          <w:rtl/>
        </w:rPr>
        <w:t xml:space="preserve">ومدريد (إسبانيا)، </w:t>
      </w:r>
      <w:r>
        <w:rPr>
          <w:rFonts w:hint="cs"/>
          <w:rtl/>
        </w:rPr>
        <w:t xml:space="preserve">وبورت أوف سبين (ترينيداد وتوباغو)، وبورت فيلا (فانواتو). </w:t>
      </w:r>
      <w:r w:rsidR="00521055">
        <w:rPr>
          <w:rFonts w:hint="cs"/>
          <w:rtl/>
        </w:rPr>
        <w:t>ومنذ مارس 2020، نظّمت الأمانة ثلاثة اجتماعات افتراضية بغرض الترويج لمعاهدة بيجين، وذلك مع كمبوديا ونيجيريا وأوكرانيا.</w:t>
      </w:r>
    </w:p>
    <w:p w:rsidR="00521055" w:rsidRDefault="00521055" w:rsidP="00382847">
      <w:pPr>
        <w:pStyle w:val="ONUMA"/>
      </w:pPr>
      <w:r>
        <w:rPr>
          <w:rFonts w:hint="cs"/>
          <w:rtl/>
        </w:rPr>
        <w:t>وشاركت الأمانة أيضا في عدد من الأنشطة، بما في ذلك المساعدة التقنية، على الصعيد الوطني.</w:t>
      </w:r>
    </w:p>
    <w:p w:rsidR="007E3684" w:rsidRDefault="007E3684" w:rsidP="007E3684">
      <w:pPr>
        <w:pStyle w:val="Decision"/>
      </w:pPr>
      <w:r>
        <w:rPr>
          <w:rFonts w:hint="cs"/>
          <w:rtl/>
        </w:rPr>
        <w:t xml:space="preserve">إن جمعية معاهدة بيجين مدعوة إلى الإحاطة علما بمضمون "وضع معاهدة بيجين" (الوثيقة </w:t>
      </w:r>
      <w:r w:rsidRPr="007E3684">
        <w:t>BTAP/A/1/2</w:t>
      </w:r>
      <w:r>
        <w:rPr>
          <w:rFonts w:hint="cs"/>
          <w:rtl/>
        </w:rPr>
        <w:t>).</w:t>
      </w:r>
    </w:p>
    <w:p w:rsidR="00521055" w:rsidRDefault="00521055" w:rsidP="00521055">
      <w:pPr>
        <w:pStyle w:val="Endofdocument-Annex"/>
        <w:rPr>
          <w:rtl/>
        </w:rPr>
        <w:sectPr w:rsidR="00521055" w:rsidSect="00546AEA">
          <w:headerReference w:type="even" r:id="rId10"/>
          <w:headerReference w:type="default" r:id="rId11"/>
          <w:footerReference w:type="even" r:id="rId12"/>
          <w:footerReference w:type="default" r:id="rId13"/>
          <w:headerReference w:type="first" r:id="rId14"/>
          <w:footerReference w:type="first" r:id="rId15"/>
          <w:pgSz w:w="11907" w:h="16840" w:code="9"/>
          <w:pgMar w:top="567" w:right="1418" w:bottom="1418" w:left="1134" w:header="510" w:footer="1021" w:gutter="0"/>
          <w:cols w:space="720"/>
          <w:titlePg/>
          <w:docGrid w:linePitch="490"/>
        </w:sectPr>
      </w:pPr>
      <w:r>
        <w:rPr>
          <w:rFonts w:hint="cs"/>
          <w:rtl/>
        </w:rPr>
        <w:t>[يلي ذلك المرفقان]</w:t>
      </w:r>
    </w:p>
    <w:p w:rsidR="00521055" w:rsidRPr="00521055" w:rsidRDefault="00521055" w:rsidP="00521055">
      <w:pPr>
        <w:pStyle w:val="Heading2"/>
        <w:rPr>
          <w:b w:val="0"/>
          <w:bCs w:val="0"/>
          <w:rtl/>
        </w:rPr>
      </w:pPr>
      <w:r w:rsidRPr="00521055">
        <w:rPr>
          <w:rFonts w:hint="cs"/>
          <w:b w:val="0"/>
          <w:bCs w:val="0"/>
          <w:rtl/>
        </w:rPr>
        <w:lastRenderedPageBreak/>
        <w:t>الأطراف الموقّعة على معاهدة بيجين بشأن الأداء السمعي البصري (حتى 24 يونيو 2013)</w:t>
      </w:r>
    </w:p>
    <w:p w:rsidR="00735F63" w:rsidRDefault="00735F63" w:rsidP="00521055">
      <w:pPr>
        <w:pStyle w:val="BodyText"/>
        <w:rPr>
          <w:rtl/>
        </w:rPr>
      </w:pPr>
      <w:r w:rsidRPr="00735F63">
        <w:rPr>
          <w:rtl/>
        </w:rPr>
        <w:t xml:space="preserve">وقّعت </w:t>
      </w:r>
      <w:r w:rsidR="000049C4">
        <w:rPr>
          <w:rFonts w:hint="cs"/>
          <w:rtl/>
        </w:rPr>
        <w:t xml:space="preserve">على </w:t>
      </w:r>
      <w:r w:rsidRPr="00735F63">
        <w:rPr>
          <w:rtl/>
        </w:rPr>
        <w:t>معاهدة بيجين بشأن الأداء السمعي البصري الأطراف المؤهلة التالية: النمسا، وبلجيكا، وبوتسوانا، وبلغاريا، وبوركينا فاسو، وبوروندي، والكاميرون، وجمهورية أفريقيا الوسطى، وتشاد، وشيلي، والصين، وكولومبيا، والكونغو، وكوستاريكا، وكوت ديفوار، وقبرص، والجمهورية التشيكية، وجمهورية كوريا الشعبية الديمقراطية، والدانمرك، وجيبوتي، والسلفادور، وإستونيا، والاتحاد الأوروبي، وفنلندا، وفرنسا، وألمانيا، وغانا، واليونان، وغرينادا، وغواتيمالا، وغينيا، وهايتي، وهندوراس، وهنغاريا، وإندونيسيا، وإيرلندا، وإيطاليا، وجامايكا، والأردن، وكينيا، ولكسمبرغ، ومدغشقر، ومالي، وموريتانيا، وموريشيوس، والمكسيك، ومنغوليا، والجبل الأسود، والمغرب، وناميبيا، وهولندا، ونيكاراغوا، وبيرو، وبولندا، وقطر، وجمهورية مولدوفا، ورومانيا، وسان تومي وبرينسيبي، والسنغال، وسيشيل، وسيراليون، وسلوفينيا، وإسبانيا، والسودان، والسويد، وسويسرا، والجمهورية العربية السورية، وتوغو، وتونس، وأوغندا، والمملكة المتحدة، والولايات المتحدة الأمريكية، وزامبيا، وزمبابوي (74)</w:t>
      </w:r>
    </w:p>
    <w:p w:rsidR="00735F63" w:rsidRDefault="00735F63" w:rsidP="00735F63">
      <w:pPr>
        <w:pStyle w:val="Endofdocument-Annex"/>
        <w:rPr>
          <w:rtl/>
        </w:rPr>
      </w:pPr>
      <w:r>
        <w:rPr>
          <w:rFonts w:hint="cs"/>
          <w:rtl/>
        </w:rPr>
        <w:t>[يلي ذلك المرفق الثاني]</w:t>
      </w:r>
    </w:p>
    <w:p w:rsidR="00735F63" w:rsidRDefault="00735F63" w:rsidP="00521055">
      <w:pPr>
        <w:pStyle w:val="BodyText"/>
        <w:rPr>
          <w:rtl/>
        </w:rPr>
      </w:pPr>
    </w:p>
    <w:p w:rsidR="00735F63" w:rsidRDefault="00735F63" w:rsidP="00521055">
      <w:pPr>
        <w:pStyle w:val="BodyText"/>
        <w:rPr>
          <w:rtl/>
        </w:rPr>
        <w:sectPr w:rsidR="00735F63" w:rsidSect="00EB7752">
          <w:headerReference w:type="even" r:id="rId16"/>
          <w:headerReference w:type="default" r:id="rId17"/>
          <w:footerReference w:type="even" r:id="rId18"/>
          <w:footerReference w:type="default" r:id="rId19"/>
          <w:headerReference w:type="first" r:id="rId20"/>
          <w:footerReference w:type="first" r:id="rId21"/>
          <w:pgSz w:w="11907" w:h="16840" w:code="9"/>
          <w:pgMar w:top="567" w:right="1418" w:bottom="1418" w:left="1134" w:header="510" w:footer="1021" w:gutter="0"/>
          <w:cols w:space="720"/>
          <w:titlePg/>
          <w:docGrid w:linePitch="299"/>
        </w:sectPr>
      </w:pPr>
    </w:p>
    <w:p w:rsidR="00521055" w:rsidRPr="00735F63" w:rsidRDefault="00735F63" w:rsidP="00735F63">
      <w:pPr>
        <w:pStyle w:val="Heading2"/>
        <w:rPr>
          <w:b w:val="0"/>
          <w:bCs w:val="0"/>
          <w:rtl/>
        </w:rPr>
      </w:pPr>
      <w:r w:rsidRPr="00735F63">
        <w:rPr>
          <w:b w:val="0"/>
          <w:bCs w:val="0"/>
          <w:rtl/>
        </w:rPr>
        <w:lastRenderedPageBreak/>
        <w:t xml:space="preserve">حالات </w:t>
      </w:r>
      <w:r>
        <w:rPr>
          <w:rFonts w:hint="cs"/>
          <w:b w:val="0"/>
          <w:bCs w:val="0"/>
          <w:rtl/>
        </w:rPr>
        <w:t>التصديق</w:t>
      </w:r>
      <w:r w:rsidRPr="00735F63">
        <w:rPr>
          <w:b w:val="0"/>
          <w:bCs w:val="0"/>
          <w:rtl/>
        </w:rPr>
        <w:t xml:space="preserve"> </w:t>
      </w:r>
      <w:r>
        <w:rPr>
          <w:rFonts w:hint="cs"/>
          <w:b w:val="0"/>
          <w:bCs w:val="0"/>
          <w:rtl/>
        </w:rPr>
        <w:t>على</w:t>
      </w:r>
      <w:r w:rsidRPr="00735F63">
        <w:rPr>
          <w:b w:val="0"/>
          <w:bCs w:val="0"/>
          <w:rtl/>
        </w:rPr>
        <w:t xml:space="preserve"> معاهدة بيجين بشأن الأداء السمعي البصري أو </w:t>
      </w:r>
      <w:r>
        <w:rPr>
          <w:rFonts w:hint="cs"/>
          <w:b w:val="0"/>
          <w:bCs w:val="0"/>
          <w:rtl/>
        </w:rPr>
        <w:t>الانضمام</w:t>
      </w:r>
      <w:r>
        <w:rPr>
          <w:b w:val="0"/>
          <w:bCs w:val="0"/>
          <w:rtl/>
        </w:rPr>
        <w:t xml:space="preserve"> </w:t>
      </w:r>
      <w:r>
        <w:rPr>
          <w:rFonts w:hint="cs"/>
          <w:b w:val="0"/>
          <w:bCs w:val="0"/>
          <w:rtl/>
        </w:rPr>
        <w:t>إل</w:t>
      </w:r>
      <w:r w:rsidRPr="00735F63">
        <w:rPr>
          <w:b w:val="0"/>
          <w:bCs w:val="0"/>
          <w:rtl/>
        </w:rPr>
        <w:t xml:space="preserve">يها (حتى </w:t>
      </w:r>
      <w:r w:rsidRPr="00735F63">
        <w:rPr>
          <w:rFonts w:hint="cs"/>
          <w:b w:val="0"/>
          <w:bCs w:val="0"/>
          <w:rtl/>
        </w:rPr>
        <w:t>10</w:t>
      </w:r>
      <w:r w:rsidRPr="00735F63">
        <w:rPr>
          <w:b w:val="0"/>
          <w:bCs w:val="0"/>
          <w:rtl/>
        </w:rPr>
        <w:t xml:space="preserve"> يوليو </w:t>
      </w:r>
      <w:r w:rsidRPr="00735F63">
        <w:rPr>
          <w:rFonts w:hint="cs"/>
          <w:b w:val="0"/>
          <w:bCs w:val="0"/>
          <w:rtl/>
        </w:rPr>
        <w:t>2020</w:t>
      </w:r>
      <w:r w:rsidRPr="00735F63">
        <w:rPr>
          <w:b w:val="0"/>
          <w:bCs w:val="0"/>
          <w:rtl/>
        </w:rPr>
        <w:t>)</w:t>
      </w:r>
    </w:p>
    <w:p w:rsidR="00735F63" w:rsidRDefault="00735F63" w:rsidP="000049C4">
      <w:pPr>
        <w:pStyle w:val="BodyText"/>
        <w:rPr>
          <w:rtl/>
        </w:rPr>
      </w:pPr>
      <w:r w:rsidRPr="00735F63">
        <w:rPr>
          <w:rtl/>
        </w:rPr>
        <w:t xml:space="preserve">صدّقت على معاهدة بيجين بشأن الأداء السمعي البصري أو انضمت إليها الدول الأعضاء التالية: الجزائر، وبليز، وبوتسوانا، وبوركينا فاسو، وكمبوديا، وشيلي، والصين، وجزر كوك، وجمهورية كوريا الشعبية الديمقراطية، والجمهورية الدومينيكية، والسلفادور، وغابون، </w:t>
      </w:r>
      <w:r>
        <w:rPr>
          <w:rFonts w:hint="cs"/>
          <w:rtl/>
        </w:rPr>
        <w:t xml:space="preserve">وإندونيسيا، </w:t>
      </w:r>
      <w:r w:rsidRPr="00735F63">
        <w:rPr>
          <w:rtl/>
        </w:rPr>
        <w:t>واليابان،</w:t>
      </w:r>
      <w:r>
        <w:rPr>
          <w:rFonts w:hint="cs"/>
          <w:rtl/>
        </w:rPr>
        <w:t xml:space="preserve"> وكينيا،</w:t>
      </w:r>
      <w:r w:rsidRPr="00735F63">
        <w:rPr>
          <w:rtl/>
        </w:rPr>
        <w:t xml:space="preserve"> ومالي، وجزر مارشال، ونيجيريا، وبيرو، وقطر، </w:t>
      </w:r>
      <w:r>
        <w:rPr>
          <w:rFonts w:hint="cs"/>
          <w:rtl/>
        </w:rPr>
        <w:t xml:space="preserve">وجمهورية كوريا، </w:t>
      </w:r>
      <w:r w:rsidRPr="00735F63">
        <w:rPr>
          <w:rtl/>
        </w:rPr>
        <w:t xml:space="preserve">وجمهورية مولدوفا، والاتحاد الروسي، وسانت فنسنت وجزر غرينادين، وساموا، وسلوفاكيا، </w:t>
      </w:r>
      <w:r>
        <w:rPr>
          <w:rFonts w:hint="cs"/>
          <w:rtl/>
        </w:rPr>
        <w:t xml:space="preserve">وسويسرا، </w:t>
      </w:r>
      <w:r w:rsidRPr="00735F63">
        <w:rPr>
          <w:rtl/>
        </w:rPr>
        <w:t xml:space="preserve">والجمهورية العربية السورية، </w:t>
      </w:r>
      <w:r>
        <w:rPr>
          <w:rFonts w:hint="cs"/>
          <w:rtl/>
        </w:rPr>
        <w:t xml:space="preserve">وترينيداد وتوباغو، </w:t>
      </w:r>
      <w:r w:rsidRPr="00735F63">
        <w:rPr>
          <w:rtl/>
        </w:rPr>
        <w:t>وتونس، والإمارات العربية المتحدة</w:t>
      </w:r>
      <w:r w:rsidR="000049C4">
        <w:rPr>
          <w:rFonts w:hint="cs"/>
          <w:rtl/>
        </w:rPr>
        <w:t>، وفانواتو، وزمبابوي</w:t>
      </w:r>
      <w:r w:rsidRPr="00735F63">
        <w:rPr>
          <w:rtl/>
        </w:rPr>
        <w:t xml:space="preserve"> (</w:t>
      </w:r>
      <w:r w:rsidR="000049C4">
        <w:rPr>
          <w:rFonts w:hint="cs"/>
          <w:rtl/>
        </w:rPr>
        <w:t>33</w:t>
      </w:r>
      <w:r w:rsidRPr="00735F63">
        <w:rPr>
          <w:rtl/>
        </w:rPr>
        <w:t>).</w:t>
      </w:r>
    </w:p>
    <w:p w:rsidR="000049C4" w:rsidRPr="000049C4" w:rsidRDefault="000049C4" w:rsidP="000049C4">
      <w:pPr>
        <w:pStyle w:val="Endofdocument-Annex"/>
        <w:rPr>
          <w:rtl/>
        </w:rPr>
      </w:pPr>
      <w:r>
        <w:rPr>
          <w:rFonts w:hint="cs"/>
          <w:rtl/>
        </w:rPr>
        <w:t>[نهاية المرفق الثاني والوثيقة]</w:t>
      </w:r>
    </w:p>
    <w:sectPr w:rsidR="000049C4" w:rsidRPr="000049C4" w:rsidSect="00EB7752">
      <w:headerReference w:type="even" r:id="rId22"/>
      <w:headerReference w:type="default" r:id="rId23"/>
      <w:footerReference w:type="even" r:id="rId24"/>
      <w:footerReference w:type="default" r:id="rId25"/>
      <w:headerReference w:type="first" r:id="rId26"/>
      <w:footerReference w:type="first" r:id="rId27"/>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330" w:rsidRDefault="00810330">
      <w:r>
        <w:separator/>
      </w:r>
    </w:p>
  </w:endnote>
  <w:endnote w:type="continuationSeparator" w:id="0">
    <w:p w:rsidR="00810330" w:rsidRDefault="0081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AEA" w:rsidRDefault="00546AEA" w:rsidP="00546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AEA" w:rsidRDefault="00546A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AEA" w:rsidRDefault="00546A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AEA" w:rsidRDefault="00546AEA" w:rsidP="00546A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AEA" w:rsidRDefault="00546AE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AEA" w:rsidRDefault="00546AE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AEA" w:rsidRDefault="00546AEA" w:rsidP="00546AE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AEA" w:rsidRDefault="00546AE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AEA" w:rsidRDefault="00546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330" w:rsidRDefault="00810330" w:rsidP="009622BF">
      <w:bookmarkStart w:id="0" w:name="OLE_LINK1"/>
      <w:bookmarkStart w:id="1" w:name="OLE_LINK2"/>
      <w:r>
        <w:separator/>
      </w:r>
      <w:bookmarkEnd w:id="0"/>
      <w:bookmarkEnd w:id="1"/>
    </w:p>
  </w:footnote>
  <w:footnote w:type="continuationSeparator" w:id="0">
    <w:p w:rsidR="00810330" w:rsidRDefault="00810330"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AEA" w:rsidRPr="00521055" w:rsidRDefault="00546AEA" w:rsidP="00546AEA">
    <w:pPr>
      <w:bidi w:val="0"/>
      <w:rPr>
        <w:rFonts w:ascii="Arial" w:eastAsia="SimSun" w:hAnsi="Arial" w:cs="Arial"/>
        <w:caps/>
        <w:sz w:val="22"/>
        <w:szCs w:val="20"/>
        <w:lang w:eastAsia="zh-CN"/>
      </w:rPr>
    </w:pPr>
    <w:r w:rsidRPr="00521055">
      <w:rPr>
        <w:rFonts w:ascii="Arial" w:eastAsia="SimSun" w:hAnsi="Arial" w:cs="Arial"/>
        <w:caps/>
        <w:sz w:val="22"/>
        <w:szCs w:val="20"/>
        <w:lang w:eastAsia="zh-CN"/>
      </w:rPr>
      <w:t>BTAP/A/1/2</w:t>
    </w:r>
  </w:p>
  <w:p w:rsidR="00546AEA" w:rsidRPr="00C50A61" w:rsidRDefault="00546AEA" w:rsidP="00546AEA">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w:t>
    </w:r>
    <w:r w:rsidRPr="00C50A61">
      <w:rPr>
        <w:rFonts w:ascii="Arial" w:hAnsi="Arial" w:cs="Arial"/>
        <w:sz w:val="22"/>
        <w:szCs w:val="22"/>
      </w:rPr>
      <w:fldChar w:fldCharType="end"/>
    </w:r>
  </w:p>
  <w:p w:rsidR="00546AEA" w:rsidRPr="00C50A61" w:rsidRDefault="00546AEA" w:rsidP="00546AEA">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055" w:rsidRPr="00521055" w:rsidRDefault="00521055" w:rsidP="00521055">
    <w:pPr>
      <w:bidi w:val="0"/>
      <w:rPr>
        <w:rFonts w:ascii="Arial" w:eastAsia="SimSun" w:hAnsi="Arial" w:cs="Arial"/>
        <w:caps/>
        <w:sz w:val="22"/>
        <w:szCs w:val="20"/>
        <w:lang w:eastAsia="zh-CN"/>
      </w:rPr>
    </w:pPr>
    <w:r w:rsidRPr="00521055">
      <w:rPr>
        <w:rFonts w:ascii="Arial" w:eastAsia="SimSun" w:hAnsi="Arial" w:cs="Arial"/>
        <w:caps/>
        <w:sz w:val="22"/>
        <w:szCs w:val="20"/>
        <w:lang w:eastAsia="zh-CN"/>
      </w:rPr>
      <w:t>BTAP/A/1/2</w:t>
    </w:r>
  </w:p>
  <w:p w:rsidR="004C495B" w:rsidRPr="00C50A61" w:rsidRDefault="004C495B" w:rsidP="0052105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46AEA">
      <w:rPr>
        <w:rFonts w:ascii="Arial" w:hAnsi="Arial" w:cs="Arial"/>
        <w:noProof/>
        <w:sz w:val="22"/>
        <w:szCs w:val="22"/>
        <w:lang w:bidi="ar-EG"/>
      </w:rPr>
      <w:t>3</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AEA" w:rsidRDefault="00546A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AEA" w:rsidRPr="00521055" w:rsidRDefault="00546AEA" w:rsidP="00546AEA">
    <w:pPr>
      <w:bidi w:val="0"/>
      <w:rPr>
        <w:rFonts w:ascii="Arial" w:eastAsia="SimSun" w:hAnsi="Arial" w:cs="Arial"/>
        <w:caps/>
        <w:sz w:val="22"/>
        <w:szCs w:val="20"/>
        <w:lang w:eastAsia="zh-CN"/>
      </w:rPr>
    </w:pPr>
    <w:r w:rsidRPr="00521055">
      <w:rPr>
        <w:rFonts w:ascii="Arial" w:eastAsia="SimSun" w:hAnsi="Arial" w:cs="Arial"/>
        <w:caps/>
        <w:sz w:val="22"/>
        <w:szCs w:val="20"/>
        <w:lang w:eastAsia="zh-CN"/>
      </w:rPr>
      <w:t>BTAP/A/1/2</w:t>
    </w:r>
  </w:p>
  <w:p w:rsidR="00546AEA" w:rsidRPr="00C50A61" w:rsidRDefault="00546AEA" w:rsidP="00546AEA">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w:t>
    </w:r>
    <w:r w:rsidRPr="00C50A61">
      <w:rPr>
        <w:rFonts w:ascii="Arial" w:hAnsi="Arial" w:cs="Arial"/>
        <w:sz w:val="22"/>
        <w:szCs w:val="22"/>
      </w:rPr>
      <w:fldChar w:fldCharType="end"/>
    </w:r>
  </w:p>
  <w:p w:rsidR="00546AEA" w:rsidRPr="00C50A61" w:rsidRDefault="00546AEA" w:rsidP="00546AEA">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AEA" w:rsidRPr="00521055" w:rsidRDefault="00546AEA" w:rsidP="00521055">
    <w:pPr>
      <w:bidi w:val="0"/>
      <w:rPr>
        <w:rFonts w:ascii="Arial" w:eastAsia="SimSun" w:hAnsi="Arial" w:cs="Arial"/>
        <w:caps/>
        <w:sz w:val="22"/>
        <w:szCs w:val="20"/>
        <w:lang w:eastAsia="zh-CN"/>
      </w:rPr>
    </w:pPr>
    <w:r w:rsidRPr="00521055">
      <w:rPr>
        <w:rFonts w:ascii="Arial" w:eastAsia="SimSun" w:hAnsi="Arial" w:cs="Arial"/>
        <w:caps/>
        <w:sz w:val="22"/>
        <w:szCs w:val="20"/>
        <w:lang w:eastAsia="zh-CN"/>
      </w:rPr>
      <w:t>BTAP/A/1/2</w:t>
    </w:r>
  </w:p>
  <w:p w:rsidR="00546AEA" w:rsidRPr="00C50A61" w:rsidRDefault="00546AEA" w:rsidP="0052105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w:t>
    </w:r>
    <w:r w:rsidRPr="00C50A61">
      <w:rPr>
        <w:rFonts w:ascii="Arial" w:hAnsi="Arial" w:cs="Arial"/>
        <w:sz w:val="22"/>
        <w:szCs w:val="22"/>
      </w:rPr>
      <w:fldChar w:fldCharType="end"/>
    </w:r>
  </w:p>
  <w:p w:rsidR="00546AEA" w:rsidRPr="00C50A61" w:rsidRDefault="00546AEA" w:rsidP="0023693F">
    <w:pPr>
      <w:bidi w:val="0"/>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055" w:rsidRPr="00521055" w:rsidRDefault="00521055" w:rsidP="00521055">
    <w:pPr>
      <w:bidi w:val="0"/>
      <w:rPr>
        <w:rFonts w:ascii="Arial" w:eastAsia="SimSun" w:hAnsi="Arial" w:cs="Arial"/>
        <w:caps/>
        <w:sz w:val="22"/>
        <w:szCs w:val="20"/>
        <w:lang w:eastAsia="zh-CN"/>
      </w:rPr>
    </w:pPr>
    <w:r w:rsidRPr="00521055">
      <w:rPr>
        <w:rFonts w:ascii="Arial" w:eastAsia="SimSun" w:hAnsi="Arial" w:cs="Arial"/>
        <w:caps/>
        <w:sz w:val="22"/>
        <w:szCs w:val="20"/>
        <w:lang w:eastAsia="zh-CN"/>
      </w:rPr>
      <w:t>BTAP/A/1/2</w:t>
    </w:r>
  </w:p>
  <w:p w:rsidR="00521055" w:rsidRDefault="00521055" w:rsidP="00521055">
    <w:pPr>
      <w:bidi w:val="0"/>
      <w:rPr>
        <w:rFonts w:ascii="Arial" w:eastAsia="SimSun" w:hAnsi="Arial" w:cs="Arial"/>
        <w:sz w:val="22"/>
        <w:szCs w:val="20"/>
        <w:lang w:eastAsia="zh-CN"/>
      </w:rPr>
    </w:pPr>
    <w:r w:rsidRPr="00521055">
      <w:rPr>
        <w:rFonts w:ascii="Arial" w:eastAsia="SimSun" w:hAnsi="Arial" w:cs="Arial"/>
        <w:sz w:val="22"/>
        <w:szCs w:val="20"/>
        <w:lang w:eastAsia="zh-CN"/>
      </w:rPr>
      <w:t>ANNEX I</w:t>
    </w:r>
  </w:p>
  <w:p w:rsidR="00521055" w:rsidRDefault="00521055" w:rsidP="00521055">
    <w:pPr>
      <w:jc w:val="right"/>
      <w:rPr>
        <w:rFonts w:eastAsia="SimSun"/>
        <w:rtl/>
        <w:lang w:eastAsia="zh-CN"/>
      </w:rPr>
    </w:pPr>
    <w:r w:rsidRPr="00521055">
      <w:rPr>
        <w:rFonts w:eastAsia="SimSun"/>
        <w:rtl/>
        <w:lang w:eastAsia="zh-CN"/>
      </w:rPr>
      <w:t>المرفق الأول</w:t>
    </w:r>
  </w:p>
  <w:p w:rsidR="00521055" w:rsidRDefault="00521055" w:rsidP="00521055">
    <w:pPr>
      <w:bidi w:val="0"/>
      <w:rPr>
        <w:rFonts w:ascii="Arial" w:eastAsia="SimSun" w:hAnsi="Arial" w:cs="Arial"/>
        <w:sz w:val="22"/>
        <w:szCs w:val="20"/>
        <w:lang w:eastAsia="zh-CN"/>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AEA" w:rsidRPr="00521055" w:rsidRDefault="00546AEA" w:rsidP="00546AEA">
    <w:pPr>
      <w:bidi w:val="0"/>
      <w:rPr>
        <w:rFonts w:ascii="Arial" w:eastAsia="SimSun" w:hAnsi="Arial" w:cs="Arial"/>
        <w:caps/>
        <w:sz w:val="22"/>
        <w:szCs w:val="20"/>
        <w:lang w:eastAsia="zh-CN"/>
      </w:rPr>
    </w:pPr>
    <w:r w:rsidRPr="00521055">
      <w:rPr>
        <w:rFonts w:ascii="Arial" w:eastAsia="SimSun" w:hAnsi="Arial" w:cs="Arial"/>
        <w:caps/>
        <w:sz w:val="22"/>
        <w:szCs w:val="20"/>
        <w:lang w:eastAsia="zh-CN"/>
      </w:rPr>
      <w:t>BTAP/A/1/2</w:t>
    </w:r>
  </w:p>
  <w:p w:rsidR="00546AEA" w:rsidRPr="00C50A61" w:rsidRDefault="00546AEA" w:rsidP="00546AEA">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w:t>
    </w:r>
    <w:r w:rsidRPr="00C50A61">
      <w:rPr>
        <w:rFonts w:ascii="Arial" w:hAnsi="Arial" w:cs="Arial"/>
        <w:sz w:val="22"/>
        <w:szCs w:val="22"/>
      </w:rPr>
      <w:fldChar w:fldCharType="end"/>
    </w:r>
  </w:p>
  <w:p w:rsidR="00546AEA" w:rsidRPr="00C50A61" w:rsidRDefault="00546AEA" w:rsidP="00546AEA">
    <w:pPr>
      <w:bidi w:val="0"/>
      <w:rPr>
        <w:rFonts w:ascii="Arial" w:hAnsi="Arial" w:cs="Arial"/>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AEA" w:rsidRPr="00521055" w:rsidRDefault="00546AEA" w:rsidP="00521055">
    <w:pPr>
      <w:bidi w:val="0"/>
      <w:rPr>
        <w:rFonts w:ascii="Arial" w:eastAsia="SimSun" w:hAnsi="Arial" w:cs="Arial"/>
        <w:caps/>
        <w:sz w:val="22"/>
        <w:szCs w:val="20"/>
        <w:lang w:eastAsia="zh-CN"/>
      </w:rPr>
    </w:pPr>
    <w:r w:rsidRPr="00521055">
      <w:rPr>
        <w:rFonts w:ascii="Arial" w:eastAsia="SimSun" w:hAnsi="Arial" w:cs="Arial"/>
        <w:caps/>
        <w:sz w:val="22"/>
        <w:szCs w:val="20"/>
        <w:lang w:eastAsia="zh-CN"/>
      </w:rPr>
      <w:t>BTAP/A/1/2</w:t>
    </w:r>
  </w:p>
  <w:p w:rsidR="00546AEA" w:rsidRPr="00C50A61" w:rsidRDefault="00546AEA" w:rsidP="0052105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w:t>
    </w:r>
    <w:r w:rsidRPr="00C50A61">
      <w:rPr>
        <w:rFonts w:ascii="Arial" w:hAnsi="Arial" w:cs="Arial"/>
        <w:sz w:val="22"/>
        <w:szCs w:val="22"/>
      </w:rPr>
      <w:fldChar w:fldCharType="end"/>
    </w:r>
  </w:p>
  <w:p w:rsidR="00546AEA" w:rsidRPr="00C50A61" w:rsidRDefault="00546AEA" w:rsidP="0023693F">
    <w:pPr>
      <w:bidi w:val="0"/>
      <w:rPr>
        <w:rFonts w:ascii="Arial" w:hAnsi="Arial" w:cs="Arial"/>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F63" w:rsidRPr="00521055" w:rsidRDefault="00735F63" w:rsidP="00521055">
    <w:pPr>
      <w:bidi w:val="0"/>
      <w:rPr>
        <w:rFonts w:ascii="Arial" w:eastAsia="SimSun" w:hAnsi="Arial" w:cs="Arial"/>
        <w:caps/>
        <w:sz w:val="22"/>
        <w:szCs w:val="20"/>
        <w:lang w:eastAsia="zh-CN"/>
      </w:rPr>
    </w:pPr>
    <w:r w:rsidRPr="00521055">
      <w:rPr>
        <w:rFonts w:ascii="Arial" w:eastAsia="SimSun" w:hAnsi="Arial" w:cs="Arial"/>
        <w:caps/>
        <w:sz w:val="22"/>
        <w:szCs w:val="20"/>
        <w:lang w:eastAsia="zh-CN"/>
      </w:rPr>
      <w:t>BTAP/A/1/2</w:t>
    </w:r>
  </w:p>
  <w:p w:rsidR="00735F63" w:rsidRDefault="00735F63" w:rsidP="00521055">
    <w:pPr>
      <w:bidi w:val="0"/>
      <w:rPr>
        <w:rFonts w:ascii="Arial" w:eastAsia="SimSun" w:hAnsi="Arial" w:cs="Arial"/>
        <w:sz w:val="22"/>
        <w:szCs w:val="20"/>
        <w:lang w:eastAsia="zh-CN"/>
      </w:rPr>
    </w:pPr>
    <w:r w:rsidRPr="00521055">
      <w:rPr>
        <w:rFonts w:ascii="Arial" w:eastAsia="SimSun" w:hAnsi="Arial" w:cs="Arial"/>
        <w:sz w:val="22"/>
        <w:szCs w:val="20"/>
        <w:lang w:eastAsia="zh-CN"/>
      </w:rPr>
      <w:t>ANNEX I</w:t>
    </w:r>
    <w:r>
      <w:rPr>
        <w:rFonts w:ascii="Arial" w:eastAsia="SimSun" w:hAnsi="Arial" w:cs="Arial"/>
        <w:sz w:val="22"/>
        <w:szCs w:val="20"/>
        <w:lang w:eastAsia="zh-CN"/>
      </w:rPr>
      <w:t>I</w:t>
    </w:r>
  </w:p>
  <w:p w:rsidR="00735F63" w:rsidRDefault="00735F63" w:rsidP="00735F63">
    <w:pPr>
      <w:jc w:val="right"/>
      <w:rPr>
        <w:rFonts w:eastAsia="SimSun"/>
        <w:rtl/>
        <w:lang w:eastAsia="zh-CN"/>
      </w:rPr>
    </w:pPr>
    <w:r w:rsidRPr="00521055">
      <w:rPr>
        <w:rFonts w:eastAsia="SimSun"/>
        <w:rtl/>
        <w:lang w:eastAsia="zh-CN"/>
      </w:rPr>
      <w:t xml:space="preserve">المرفق </w:t>
    </w:r>
    <w:r>
      <w:rPr>
        <w:rFonts w:eastAsia="SimSun" w:hint="cs"/>
        <w:rtl/>
        <w:lang w:eastAsia="zh-CN"/>
      </w:rPr>
      <w:t>الثاني</w:t>
    </w:r>
  </w:p>
  <w:p w:rsidR="00735F63" w:rsidRDefault="00735F63" w:rsidP="00521055">
    <w:pPr>
      <w:bidi w:val="0"/>
      <w:rPr>
        <w:rFonts w:ascii="Arial" w:eastAsia="SimSun" w:hAnsi="Arial" w:cs="Arial"/>
        <w:sz w:val="22"/>
        <w:szCs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330"/>
    <w:rsid w:val="00002CBE"/>
    <w:rsid w:val="00003232"/>
    <w:rsid w:val="000033DA"/>
    <w:rsid w:val="000049C4"/>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962"/>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4C6F"/>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2847"/>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AAF"/>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055"/>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6AEA"/>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255"/>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2FD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63"/>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684"/>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0E38"/>
    <w:rsid w:val="00801329"/>
    <w:rsid w:val="00801424"/>
    <w:rsid w:val="00801AA4"/>
    <w:rsid w:val="00801B7E"/>
    <w:rsid w:val="008021B9"/>
    <w:rsid w:val="00806E68"/>
    <w:rsid w:val="00807FC3"/>
    <w:rsid w:val="00810034"/>
    <w:rsid w:val="00810330"/>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1FCB"/>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2FA7"/>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0DEE"/>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5FF1"/>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638D"/>
    <w:rsid w:val="00D47077"/>
    <w:rsid w:val="00D47B96"/>
    <w:rsid w:val="00D50332"/>
    <w:rsid w:val="00D52B95"/>
    <w:rsid w:val="00D5362B"/>
    <w:rsid w:val="00D53A09"/>
    <w:rsid w:val="00D54108"/>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4BFC"/>
    <w:rsid w:val="00E15008"/>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2C10"/>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5E8"/>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D83C0D0-7A4A-4509-A61B-B2D201F41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D54108"/>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customStyle="1" w:styleId="HeaderChar">
    <w:name w:val="Header Char"/>
    <w:basedOn w:val="DefaultParagraphFont"/>
    <w:link w:val="Header"/>
    <w:uiPriority w:val="99"/>
    <w:rsid w:val="00521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wipo.int/beijing_treaty/ar"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EBD6F-36B4-4ADD-B1C2-E5CF66491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607</Words>
  <Characters>3591</Characters>
  <Application>Microsoft Office Word</Application>
  <DocSecurity>0</DocSecurity>
  <Lines>128</Lines>
  <Paragraphs>33</Paragraphs>
  <ScaleCrop>false</ScaleCrop>
  <HeadingPairs>
    <vt:vector size="2" baseType="variant">
      <vt:variant>
        <vt:lpstr>Title</vt:lpstr>
      </vt:variant>
      <vt:variant>
        <vt:i4>1</vt:i4>
      </vt:variant>
    </vt:vector>
  </HeadingPairs>
  <TitlesOfParts>
    <vt:vector size="1" baseType="lpstr">
      <vt:lpstr>BTAP/A/1/2 (Arabic)</vt:lpstr>
    </vt:vector>
  </TitlesOfParts>
  <Company>World Intellectual Property Organization</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BTAP/A/1/2 (Arabic)</dc:title>
  <dc:creator>MERZOUK Fawzi</dc:creator>
  <cp:keywords>PUBLIC</cp:keywords>
  <cp:lastModifiedBy>HÄFLIGER Patience</cp:lastModifiedBy>
  <cp:revision>14</cp:revision>
  <cp:lastPrinted>2020-07-16T14:57:00Z</cp:lastPrinted>
  <dcterms:created xsi:type="dcterms:W3CDTF">2020-07-15T08:55:00Z</dcterms:created>
  <dcterms:modified xsi:type="dcterms:W3CDTF">2020-07-17T07:47:00Z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4570d31b-64ef-4015-a5f2-978805878144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