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C1388" w:rsidP="005F1785">
            <w:pPr>
              <w:pStyle w:val="DocumentCodeAR"/>
              <w:bidi/>
              <w:rPr>
                <w:rtl/>
              </w:rPr>
            </w:pPr>
            <w:r>
              <w:t>H</w:t>
            </w:r>
            <w:r w:rsidR="00772E46">
              <w:t>/</w:t>
            </w:r>
            <w:r w:rsidR="0059089F">
              <w:t>A</w:t>
            </w:r>
            <w:r w:rsidR="00100F97">
              <w:t>/</w:t>
            </w:r>
            <w:r w:rsidR="005F1785">
              <w:t>34</w:t>
            </w:r>
            <w:r w:rsidR="00CD23EA">
              <w:t>/1</w:t>
            </w:r>
          </w:p>
        </w:tc>
      </w:tr>
      <w:tr w:rsidR="001667B6" w:rsidTr="00BF164F">
        <w:tc>
          <w:tcPr>
            <w:tcW w:w="9571" w:type="dxa"/>
            <w:gridSpan w:val="3"/>
          </w:tcPr>
          <w:p w:rsidR="001667B6" w:rsidRPr="00B6101C" w:rsidRDefault="00B6101C" w:rsidP="00CD23EA">
            <w:pPr>
              <w:pStyle w:val="DocumentLanguageAR"/>
              <w:bidi/>
              <w:rPr>
                <w:rtl/>
              </w:rPr>
            </w:pPr>
            <w:r w:rsidRPr="00B6101C">
              <w:rPr>
                <w:rFonts w:hint="cs"/>
                <w:rtl/>
              </w:rPr>
              <w:t xml:space="preserve">الأصل: </w:t>
            </w:r>
            <w:r w:rsidR="00CD23EA">
              <w:rPr>
                <w:rFonts w:hint="cs"/>
                <w:rtl/>
              </w:rPr>
              <w:t>بالإنكليزية</w:t>
            </w:r>
          </w:p>
        </w:tc>
      </w:tr>
      <w:tr w:rsidR="001667B6" w:rsidTr="00BF164F">
        <w:tc>
          <w:tcPr>
            <w:tcW w:w="9571" w:type="dxa"/>
            <w:gridSpan w:val="3"/>
          </w:tcPr>
          <w:p w:rsidR="001667B6" w:rsidRPr="00B6101C" w:rsidRDefault="00B6101C" w:rsidP="00CD23EA">
            <w:pPr>
              <w:pStyle w:val="DocumentDateAR"/>
              <w:bidi/>
              <w:rPr>
                <w:rtl/>
              </w:rPr>
            </w:pPr>
            <w:r w:rsidRPr="00B6101C">
              <w:rPr>
                <w:rFonts w:hint="cs"/>
                <w:rtl/>
              </w:rPr>
              <w:t xml:space="preserve">التاريخ: </w:t>
            </w:r>
            <w:r w:rsidR="00CD23EA">
              <w:rPr>
                <w:rFonts w:hint="cs"/>
                <w:rtl/>
              </w:rPr>
              <w:t>23</w:t>
            </w:r>
            <w:r w:rsidRPr="00B6101C">
              <w:rPr>
                <w:rFonts w:hint="cs"/>
                <w:rtl/>
              </w:rPr>
              <w:t xml:space="preserve"> </w:t>
            </w:r>
            <w:r w:rsidR="00CD23EA">
              <w:rPr>
                <w:rFonts w:hint="cs"/>
                <w:rtl/>
              </w:rPr>
              <w:t>يونيو</w:t>
            </w:r>
            <w:r w:rsidRPr="00B6101C">
              <w:rPr>
                <w:rFonts w:hint="cs"/>
                <w:rtl/>
              </w:rPr>
              <w:t xml:space="preserve"> </w:t>
            </w:r>
            <w:r w:rsidR="005F1785">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Default="00EC1388" w:rsidP="00EC1388">
      <w:pPr>
        <w:pStyle w:val="MeetingTitleAR"/>
        <w:bidi/>
        <w:rPr>
          <w:rtl/>
        </w:rPr>
      </w:pPr>
      <w:r>
        <w:rPr>
          <w:rFonts w:hint="cs"/>
          <w:rtl/>
        </w:rPr>
        <w:t>الاتحاد الخاص للإيداع</w:t>
      </w:r>
      <w:r w:rsidR="005F1785">
        <w:rPr>
          <w:rFonts w:hint="cs"/>
          <w:rtl/>
        </w:rPr>
        <w:t xml:space="preserve"> الدولي للتصاميم الصناعية</w:t>
      </w:r>
    </w:p>
    <w:p w:rsidR="00EC1388" w:rsidRPr="00840AF7" w:rsidRDefault="00EC1388" w:rsidP="00EC1388">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لاهاي</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hint="cs"/>
          <w:sz w:val="36"/>
          <w:szCs w:val="36"/>
          <w:rtl/>
        </w:rPr>
      </w:pPr>
    </w:p>
    <w:p w:rsidR="001667B6" w:rsidRPr="00783D11" w:rsidRDefault="00E1775E" w:rsidP="005F178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5F1785">
        <w:rPr>
          <w:rFonts w:ascii="Cambria Math" w:hAnsi="Cambria Math" w:hint="cs"/>
          <w:rtl/>
          <w:lang w:val="fr-CH"/>
        </w:rPr>
        <w:t>الرابعة</w:t>
      </w:r>
      <w:r w:rsidR="00EC1388">
        <w:rPr>
          <w:rFonts w:ascii="Cambria Math" w:hAnsi="Cambria Math" w:hint="cs"/>
          <w:rtl/>
          <w:lang w:val="fr-CH"/>
        </w:rPr>
        <w:t xml:space="preserve"> </w:t>
      </w:r>
      <w:r w:rsidR="00EC1388">
        <w:rPr>
          <w:rFonts w:ascii="Cambria Math" w:hAnsi="Cambria Math" w:hint="cs"/>
          <w:rtl/>
        </w:rPr>
        <w:t xml:space="preserve">والثلاثون </w:t>
      </w:r>
      <w:r w:rsidR="0059089F" w:rsidRPr="0059089F">
        <w:rPr>
          <w:rFonts w:ascii="Cambria Math" w:hAnsi="Cambria Math"/>
          <w:rtl/>
        </w:rPr>
        <w:t xml:space="preserve">(الدورة </w:t>
      </w:r>
      <w:r w:rsidR="005F1785">
        <w:rPr>
          <w:rFonts w:ascii="Cambria Math" w:hAnsi="Cambria Math" w:hint="cs"/>
          <w:rtl/>
        </w:rPr>
        <w:t>الاستثنائية</w:t>
      </w:r>
      <w:r w:rsidR="0059089F">
        <w:rPr>
          <w:rFonts w:ascii="Cambria Math" w:hAnsi="Cambria Math" w:hint="cs"/>
          <w:rtl/>
        </w:rPr>
        <w:t xml:space="preserve"> </w:t>
      </w:r>
      <w:r w:rsidR="005F1785">
        <w:rPr>
          <w:rFonts w:ascii="Cambria Math" w:hAnsi="Cambria Math" w:hint="cs"/>
          <w:rtl/>
        </w:rPr>
        <w:t>الخامسة</w:t>
      </w:r>
      <w:r w:rsidR="00EC1388">
        <w:rPr>
          <w:rFonts w:ascii="Cambria Math" w:hAnsi="Cambria Math" w:hint="cs"/>
          <w:rtl/>
        </w:rPr>
        <w:t xml:space="preserve"> عشرة</w:t>
      </w:r>
      <w:r w:rsidR="0059089F" w:rsidRPr="0059089F">
        <w:rPr>
          <w:rFonts w:ascii="Cambria Math" w:hAnsi="Cambria Math"/>
          <w:rtl/>
        </w:rPr>
        <w:t>)</w:t>
      </w:r>
    </w:p>
    <w:p w:rsidR="00D61541" w:rsidRPr="00D61541" w:rsidRDefault="00D61541" w:rsidP="005F1785">
      <w:pPr>
        <w:pStyle w:val="MeetingDatesAR"/>
        <w:bidi/>
        <w:rPr>
          <w:rtl/>
        </w:rPr>
      </w:pPr>
      <w:r w:rsidRPr="00D61541">
        <w:rPr>
          <w:rFonts w:hint="cs"/>
          <w:rtl/>
        </w:rPr>
        <w:t xml:space="preserve">جنيف، من </w:t>
      </w:r>
      <w:r w:rsidR="005F1785">
        <w:rPr>
          <w:rFonts w:hint="cs"/>
          <w:rtl/>
        </w:rPr>
        <w:t>22</w:t>
      </w:r>
      <w:r w:rsidR="00983389">
        <w:rPr>
          <w:rFonts w:hint="cs"/>
          <w:rtl/>
        </w:rPr>
        <w:t xml:space="preserve"> </w:t>
      </w:r>
      <w:r w:rsidR="005F1785">
        <w:rPr>
          <w:rFonts w:hint="cs"/>
          <w:rtl/>
        </w:rPr>
        <w:t xml:space="preserve">إلى 30 </w:t>
      </w:r>
      <w:r w:rsidR="000D7BA7">
        <w:rPr>
          <w:rFonts w:hint="cs"/>
          <w:rtl/>
        </w:rPr>
        <w:t xml:space="preserve">سبتمبر </w:t>
      </w:r>
      <w:r w:rsidR="005F178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9B1EAF" w:rsidRDefault="005F6F10" w:rsidP="00FB7EC9">
      <w:pPr>
        <w:pStyle w:val="DocumentTitleAR"/>
        <w:bidi/>
        <w:rPr>
          <w:rFonts w:hint="cs"/>
          <w:rtl/>
        </w:rPr>
      </w:pPr>
      <w:r w:rsidRPr="005F6F10">
        <w:rPr>
          <w:rtl/>
        </w:rPr>
        <w:t>برنامج تحديث تكنولوجيا المعلومات</w:t>
      </w:r>
      <w:r>
        <w:rPr>
          <w:rFonts w:hint="cs"/>
          <w:rtl/>
        </w:rPr>
        <w:t xml:space="preserve"> </w:t>
      </w:r>
    </w:p>
    <w:p w:rsidR="00D61541" w:rsidRPr="00D61541" w:rsidRDefault="005F6F10" w:rsidP="009B1EAF">
      <w:pPr>
        <w:pStyle w:val="DocumentTitleAR"/>
        <w:bidi/>
        <w:rPr>
          <w:rtl/>
        </w:rPr>
      </w:pPr>
      <w:r w:rsidRPr="005F6F10">
        <w:rPr>
          <w:rtl/>
        </w:rPr>
        <w:t>(نظام لاهاي للتسجيل الدولي): تقرير مرحلي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5F6F10">
        <w:rPr>
          <w:rFonts w:hint="cs"/>
          <w:rtl/>
        </w:rPr>
        <w:t xml:space="preserve"> المكتب الدولي</w:t>
      </w:r>
    </w:p>
    <w:p w:rsidR="005F1785" w:rsidRPr="005F6F10" w:rsidRDefault="005F6F10" w:rsidP="009B1EAF">
      <w:pPr>
        <w:pStyle w:val="NormalParaAR"/>
        <w:keepNext/>
        <w:rPr>
          <w:rFonts w:hint="cs"/>
          <w:b/>
          <w:bCs/>
          <w:sz w:val="40"/>
          <w:szCs w:val="40"/>
          <w:rtl/>
        </w:rPr>
      </w:pPr>
      <w:r w:rsidRPr="005F6F10">
        <w:rPr>
          <w:rFonts w:hint="cs"/>
          <w:b/>
          <w:bCs/>
          <w:sz w:val="40"/>
          <w:szCs w:val="40"/>
          <w:rtl/>
        </w:rPr>
        <w:t>مقدمة</w:t>
      </w:r>
    </w:p>
    <w:p w:rsidR="005F6F10" w:rsidRDefault="009B1EAF" w:rsidP="009B1EAF">
      <w:pPr>
        <w:pStyle w:val="NumberedParaAR"/>
        <w:rPr>
          <w:rFonts w:hint="cs"/>
        </w:rPr>
      </w:pPr>
      <w:r w:rsidRPr="009B1EAF">
        <w:rPr>
          <w:rtl/>
        </w:rPr>
        <w:t>الغرض من هذه الوثيقة هو عرض التقدم المحرز في برنامج تحديث تكنولوجيا المعلومات (</w:t>
      </w:r>
      <w:r w:rsidRPr="009B1EAF">
        <w:rPr>
          <w:rFonts w:hint="cs"/>
          <w:rtl/>
        </w:rPr>
        <w:t>الم</w:t>
      </w:r>
      <w:r w:rsidRPr="009B1EAF">
        <w:rPr>
          <w:rtl/>
        </w:rPr>
        <w:t xml:space="preserve">شار إليه فيما </w:t>
      </w:r>
      <w:r w:rsidRPr="009B1EAF">
        <w:rPr>
          <w:rFonts w:hint="cs"/>
          <w:rtl/>
        </w:rPr>
        <w:t>بعد</w:t>
      </w:r>
      <w:r w:rsidRPr="009B1EAF">
        <w:rPr>
          <w:rtl/>
        </w:rPr>
        <w:t xml:space="preserve"> باسم "البرنامج") منذ آخر </w:t>
      </w:r>
      <w:r w:rsidRPr="009B1EAF">
        <w:rPr>
          <w:rFonts w:hint="cs"/>
          <w:rtl/>
        </w:rPr>
        <w:t>دورة عقدتها</w:t>
      </w:r>
      <w:r w:rsidRPr="009B1EAF">
        <w:rPr>
          <w:rtl/>
        </w:rPr>
        <w:t xml:space="preserve"> </w:t>
      </w:r>
      <w:r w:rsidRPr="009B1EAF">
        <w:rPr>
          <w:rFonts w:hint="cs"/>
          <w:rtl/>
        </w:rPr>
        <w:t>جم</w:t>
      </w:r>
      <w:r w:rsidRPr="009B1EAF">
        <w:rPr>
          <w:rtl/>
        </w:rPr>
        <w:t xml:space="preserve">عية اتحاد </w:t>
      </w:r>
      <w:r w:rsidRPr="009B1EAF">
        <w:rPr>
          <w:rFonts w:hint="cs"/>
          <w:rtl/>
        </w:rPr>
        <w:t>لاهاي</w:t>
      </w:r>
      <w:r w:rsidRPr="009B1EAF">
        <w:rPr>
          <w:rtl/>
        </w:rPr>
        <w:t xml:space="preserve"> (</w:t>
      </w:r>
      <w:r w:rsidRPr="009B1EAF">
        <w:rPr>
          <w:rFonts w:hint="cs"/>
          <w:rtl/>
        </w:rPr>
        <w:t>الم</w:t>
      </w:r>
      <w:r w:rsidRPr="009B1EAF">
        <w:rPr>
          <w:rtl/>
        </w:rPr>
        <w:t>شار إليها فيما</w:t>
      </w:r>
      <w:r w:rsidRPr="009B1EAF">
        <w:rPr>
          <w:rFonts w:hint="cs"/>
          <w:rtl/>
        </w:rPr>
        <w:t xml:space="preserve"> بعد</w:t>
      </w:r>
      <w:r w:rsidRPr="009B1EAF">
        <w:rPr>
          <w:rtl/>
        </w:rPr>
        <w:t xml:space="preserve"> باسم "الجمعية") في </w:t>
      </w:r>
      <w:r w:rsidRPr="009B1EAF">
        <w:rPr>
          <w:rFonts w:hint="cs"/>
          <w:rtl/>
        </w:rPr>
        <w:t>أكتوبر</w:t>
      </w:r>
      <w:r w:rsidRPr="009B1EAF">
        <w:rPr>
          <w:rtl/>
        </w:rPr>
        <w:t xml:space="preserve"> </w:t>
      </w:r>
      <w:r>
        <w:rPr>
          <w:rFonts w:hint="cs"/>
          <w:rtl/>
        </w:rPr>
        <w:t>2013</w:t>
      </w:r>
      <w:r w:rsidRPr="009B1EAF">
        <w:rPr>
          <w:rtl/>
        </w:rPr>
        <w:t>. كما ت</w:t>
      </w:r>
      <w:r w:rsidRPr="009B1EAF">
        <w:rPr>
          <w:rFonts w:hint="cs"/>
          <w:rtl/>
        </w:rPr>
        <w:t xml:space="preserve">رمي </w:t>
      </w:r>
      <w:r w:rsidRPr="009B1EAF">
        <w:rPr>
          <w:rtl/>
        </w:rPr>
        <w:t xml:space="preserve">الوثيقة </w:t>
      </w:r>
      <w:r w:rsidRPr="009B1EAF">
        <w:rPr>
          <w:rFonts w:hint="cs"/>
          <w:rtl/>
        </w:rPr>
        <w:t>إلى</w:t>
      </w:r>
      <w:r w:rsidRPr="009B1EAF">
        <w:rPr>
          <w:rtl/>
        </w:rPr>
        <w:t xml:space="preserve"> إطلاع أعضاء </w:t>
      </w:r>
      <w:r w:rsidRPr="009B1EAF">
        <w:rPr>
          <w:rFonts w:hint="cs"/>
          <w:rtl/>
        </w:rPr>
        <w:t xml:space="preserve">الجمعية </w:t>
      </w:r>
      <w:r w:rsidRPr="009B1EAF">
        <w:rPr>
          <w:rtl/>
        </w:rPr>
        <w:t xml:space="preserve">على أي تغيير في النهج العام نحو استكمال البرنامج، </w:t>
      </w:r>
      <w:r w:rsidRPr="009B1EAF">
        <w:rPr>
          <w:rFonts w:hint="cs"/>
          <w:rtl/>
        </w:rPr>
        <w:t>فضلا</w:t>
      </w:r>
      <w:r w:rsidRPr="009B1EAF">
        <w:rPr>
          <w:rtl/>
        </w:rPr>
        <w:t xml:space="preserve"> </w:t>
      </w:r>
      <w:r w:rsidRPr="009B1EAF">
        <w:rPr>
          <w:rFonts w:hint="cs"/>
          <w:rtl/>
        </w:rPr>
        <w:t xml:space="preserve">عن </w:t>
      </w:r>
      <w:r w:rsidRPr="009B1EAF">
        <w:rPr>
          <w:rtl/>
        </w:rPr>
        <w:t>الإخطار بأي تغيير في الجدول الزمني للبرنامج.</w:t>
      </w:r>
    </w:p>
    <w:p w:rsidR="009B1EAF" w:rsidRDefault="009B1EAF" w:rsidP="009B1EAF">
      <w:pPr>
        <w:pStyle w:val="NumberedParaAR"/>
        <w:rPr>
          <w:rFonts w:hint="cs"/>
        </w:rPr>
      </w:pPr>
      <w:r w:rsidRPr="009B1EAF">
        <w:rPr>
          <w:rtl/>
        </w:rPr>
        <w:t xml:space="preserve">وتحتوي الوثيقة </w:t>
      </w:r>
      <w:r w:rsidRPr="009B1EAF">
        <w:t>H/A/</w:t>
      </w:r>
      <w:r>
        <w:t>32</w:t>
      </w:r>
      <w:r w:rsidRPr="009B1EAF">
        <w:t>/1</w:t>
      </w:r>
      <w:r>
        <w:rPr>
          <w:rtl/>
        </w:rPr>
        <w:t xml:space="preserve"> على التقرير المرحلي السابق</w:t>
      </w:r>
      <w:r>
        <w:rPr>
          <w:rFonts w:hint="cs"/>
          <w:rtl/>
        </w:rPr>
        <w:t xml:space="preserve"> الخاص بال</w:t>
      </w:r>
      <w:r w:rsidRPr="009B1EAF">
        <w:rPr>
          <w:rtl/>
        </w:rPr>
        <w:t>برنامج.</w:t>
      </w:r>
    </w:p>
    <w:p w:rsidR="009B1EAF" w:rsidRDefault="009B1EAF" w:rsidP="009B1EAF">
      <w:pPr>
        <w:pStyle w:val="NumberedParaAR"/>
        <w:rPr>
          <w:rFonts w:hint="cs"/>
        </w:rPr>
      </w:pPr>
      <w:r w:rsidRPr="009B1EAF">
        <w:rPr>
          <w:rFonts w:hint="cs"/>
          <w:rtl/>
        </w:rPr>
        <w:t xml:space="preserve">ويجدر التذكير بأنّه من المقرّر تنفيذ البرنامج على ثلاث مراحل: المرحلة الأولى والمرحلة الثانية والمرحلة الثالثة. وتتألف المرحلة الأولى من مشروعات فرعية تستهدف التوصّل إلى نتائج إيجابية فورية أو إرساء الأسس التقنية للمرحلة الثانية. وتنطوي المرحلة الثانية على التحوّل التقني الفعلي بالتقابل المباشر من نظام تكنولوجيا المعلومات الحالي، الذي يدعم إجراءات التسجيل الدولي لكل من نظامي مدريد ولاهاي، إلى تكنولوجيا حديثة تضمن استفادة أصحاب المصالح في نظامي مدريد ولاهاي، على مدى الأعوام المقبلة، من منصة تقنية موحدة على مستوى كل دوائر القطاع المعنية. أما المرحلة الثالثة فهي </w:t>
      </w:r>
      <w:r w:rsidRPr="009B1EAF">
        <w:rPr>
          <w:rFonts w:hint="cs"/>
          <w:rtl/>
        </w:rPr>
        <w:lastRenderedPageBreak/>
        <w:t>مرحلة اختيارية من المقرّر أن يضطلع بها المكتب الدولي من أجل السعي إلى ضمان استقرار النظام الجديد بعد تاريخ بدء تشغيله رسميا.</w:t>
      </w:r>
    </w:p>
    <w:p w:rsidR="009B1EAF" w:rsidRPr="009B1EAF" w:rsidRDefault="009B1EAF" w:rsidP="009B1EAF">
      <w:pPr>
        <w:pStyle w:val="NormalParaAR"/>
        <w:keepNext/>
        <w:rPr>
          <w:rFonts w:hint="cs"/>
          <w:b/>
          <w:bCs/>
          <w:sz w:val="40"/>
          <w:szCs w:val="40"/>
          <w:rtl/>
        </w:rPr>
      </w:pPr>
      <w:r w:rsidRPr="001853B7">
        <w:rPr>
          <w:rFonts w:hint="cs"/>
          <w:b/>
          <w:bCs/>
          <w:sz w:val="40"/>
          <w:szCs w:val="40"/>
          <w:rtl/>
        </w:rPr>
        <w:t xml:space="preserve">المرحلة الأولى </w:t>
      </w:r>
      <w:r w:rsidRPr="001853B7">
        <w:rPr>
          <w:b/>
          <w:bCs/>
          <w:sz w:val="40"/>
          <w:szCs w:val="40"/>
          <w:rtl/>
        </w:rPr>
        <w:t>–</w:t>
      </w:r>
      <w:r w:rsidRPr="001853B7">
        <w:rPr>
          <w:rFonts w:hint="cs"/>
          <w:b/>
          <w:bCs/>
          <w:sz w:val="40"/>
          <w:szCs w:val="40"/>
          <w:rtl/>
        </w:rPr>
        <w:t xml:space="preserve"> حالة التنفيذ</w:t>
      </w:r>
    </w:p>
    <w:p w:rsidR="009B1EAF" w:rsidRDefault="00FB6665" w:rsidP="00FB6665">
      <w:pPr>
        <w:pStyle w:val="NumberedParaAR"/>
        <w:rPr>
          <w:rFonts w:hint="cs"/>
        </w:rPr>
      </w:pPr>
      <w:r>
        <w:rPr>
          <w:rFonts w:hint="cs"/>
          <w:rtl/>
        </w:rPr>
        <w:t>عقب الإطلاق الناجح للبرنامج الحاسوبي الجديد الخاص بالإيداع الإلكتروني الشبكي في يونيو 2013،</w:t>
      </w:r>
      <w:r>
        <w:rPr>
          <w:rFonts w:hint="cs"/>
          <w:rtl/>
        </w:rPr>
        <w:t xml:space="preserve"> استُكملت المرحلة الأولى من البرنامج بنجاح. ونتيجة لذلك سيُستخدم ما تبقى من أموال المرحلة الأولى في المرحلة الثانية، وسيتوقف الإبلاغ عن المرحلة الأولى من البرنامج في وثائق دورات الجمعية القادمة.</w:t>
      </w:r>
    </w:p>
    <w:p w:rsidR="00FB6665" w:rsidRPr="00FB6665" w:rsidRDefault="00FB6665" w:rsidP="00FB6665">
      <w:pPr>
        <w:pStyle w:val="NormalParaAR"/>
        <w:keepNext/>
        <w:rPr>
          <w:rFonts w:hint="cs"/>
          <w:b/>
          <w:bCs/>
          <w:sz w:val="40"/>
          <w:szCs w:val="40"/>
          <w:rtl/>
        </w:rPr>
      </w:pPr>
      <w:r w:rsidRPr="00FB6665">
        <w:rPr>
          <w:rFonts w:hint="cs"/>
          <w:b/>
          <w:bCs/>
          <w:sz w:val="40"/>
          <w:szCs w:val="40"/>
          <w:rtl/>
        </w:rPr>
        <w:t xml:space="preserve">المرحلة الثانية </w:t>
      </w:r>
      <w:r w:rsidRPr="00FB6665">
        <w:rPr>
          <w:b/>
          <w:bCs/>
          <w:sz w:val="40"/>
          <w:szCs w:val="40"/>
          <w:rtl/>
        </w:rPr>
        <w:t>–</w:t>
      </w:r>
      <w:r w:rsidRPr="00FB6665">
        <w:rPr>
          <w:rFonts w:hint="cs"/>
          <w:b/>
          <w:bCs/>
          <w:sz w:val="40"/>
          <w:szCs w:val="40"/>
          <w:rtl/>
        </w:rPr>
        <w:t xml:space="preserve"> معلومات أساسية</w:t>
      </w:r>
    </w:p>
    <w:p w:rsidR="00FB6665" w:rsidRDefault="007E4445" w:rsidP="007E4445">
      <w:pPr>
        <w:pStyle w:val="NumberedParaAR"/>
        <w:rPr>
          <w:rFonts w:hint="cs"/>
        </w:rPr>
      </w:pPr>
      <w:r w:rsidRPr="007E4445">
        <w:rPr>
          <w:rFonts w:hint="cs"/>
          <w:rtl/>
        </w:rPr>
        <w:t>ي</w:t>
      </w:r>
      <w:r w:rsidRPr="007E4445">
        <w:rPr>
          <w:rtl/>
        </w:rPr>
        <w:t>جدر التذكير بأنّ النهج المعتمد لتنفيذ المرحلة الثانية من البرنامج هو إجراء ترحيل تقني بالتقابل المباشر من نظام تكنولوجيا المعلومات الحالي إلى هيكل حديث موجّه نحو الخدمات عن طريق اختيار شريك خارجي مؤهّل في مجال تكنولوجيا المعلومات.</w:t>
      </w:r>
      <w:r w:rsidRPr="007E4445">
        <w:rPr>
          <w:rFonts w:hint="cs"/>
          <w:rtl/>
        </w:rPr>
        <w:t xml:space="preserve"> (</w:t>
      </w:r>
      <w:r w:rsidRPr="007E4445">
        <w:rPr>
          <w:i/>
        </w:rPr>
        <w:t>ELCA </w:t>
      </w:r>
      <w:proofErr w:type="spellStart"/>
      <w:r w:rsidRPr="007E4445">
        <w:rPr>
          <w:i/>
        </w:rPr>
        <w:t>Informatique</w:t>
      </w:r>
      <w:proofErr w:type="spellEnd"/>
      <w:r w:rsidRPr="007E4445">
        <w:rPr>
          <w:i/>
        </w:rPr>
        <w:t xml:space="preserve"> SA</w:t>
      </w:r>
      <w:r w:rsidRPr="007E4445">
        <w:rPr>
          <w:rFonts w:hint="cs"/>
          <w:rtl/>
        </w:rPr>
        <w:t>).</w:t>
      </w:r>
    </w:p>
    <w:p w:rsidR="007E4445" w:rsidRDefault="007E4445" w:rsidP="007E4445">
      <w:pPr>
        <w:pStyle w:val="NumberedParaAR"/>
        <w:rPr>
          <w:rFonts w:hint="cs"/>
        </w:rPr>
      </w:pPr>
      <w:r w:rsidRPr="007E4445">
        <w:rPr>
          <w:rtl/>
        </w:rPr>
        <w:t xml:space="preserve">والغرض من الترحيل التقني هو الانتقال بالبرنامج الحاسوبي وقاعدة البيانات وتدفق العمل </w:t>
      </w:r>
      <w:r w:rsidRPr="007E4445">
        <w:rPr>
          <w:rFonts w:hint="cs"/>
          <w:rtl/>
        </w:rPr>
        <w:t xml:space="preserve">الخاص </w:t>
      </w:r>
      <w:r w:rsidRPr="007E4445">
        <w:rPr>
          <w:rtl/>
        </w:rPr>
        <w:t xml:space="preserve">من لغة البرمجة الطبيعية ونظام </w:t>
      </w:r>
      <w:proofErr w:type="spellStart"/>
      <w:r w:rsidRPr="007E4445">
        <w:rPr>
          <w:rtl/>
        </w:rPr>
        <w:t>أداباس</w:t>
      </w:r>
      <w:proofErr w:type="spellEnd"/>
      <w:r w:rsidRPr="007E4445">
        <w:rPr>
          <w:rtl/>
        </w:rPr>
        <w:t xml:space="preserve"> (</w:t>
      </w:r>
      <w:proofErr w:type="spellStart"/>
      <w:r w:rsidRPr="007E4445">
        <w:t>Adabas</w:t>
      </w:r>
      <w:proofErr w:type="spellEnd"/>
      <w:r w:rsidRPr="007E4445">
        <w:rPr>
          <w:rtl/>
        </w:rPr>
        <w:t xml:space="preserve">) لإدارة قواعد البيانات إلى لغة البرمجة </w:t>
      </w:r>
      <w:r w:rsidRPr="007E4445">
        <w:t>Java</w:t>
      </w:r>
      <w:r w:rsidRPr="007E4445">
        <w:rPr>
          <w:rtl/>
        </w:rPr>
        <w:t xml:space="preserve"> ونظام </w:t>
      </w:r>
      <w:r w:rsidRPr="007E4445">
        <w:t>Oracle</w:t>
      </w:r>
      <w:r w:rsidRPr="007E4445">
        <w:rPr>
          <w:rtl/>
        </w:rPr>
        <w:t xml:space="preserve"> لإدارة قواعد البيانات، بما في ذلك دمج أحدث أداة لإدارة الإجراءات المؤسسية.</w:t>
      </w:r>
      <w:r w:rsidRPr="007E4445">
        <w:rPr>
          <w:rFonts w:hint="cs"/>
          <w:rtl/>
        </w:rPr>
        <w:t xml:space="preserve"> </w:t>
      </w:r>
      <w:r w:rsidRPr="007E4445">
        <w:rPr>
          <w:rtl/>
        </w:rPr>
        <w:t>وسيزيل إنجاز ذلك الترحيل مخاطر تقادم البنية التحتية القائمة.</w:t>
      </w:r>
    </w:p>
    <w:p w:rsidR="007E4445" w:rsidRPr="007E4445" w:rsidRDefault="007E4445" w:rsidP="007E4445">
      <w:pPr>
        <w:pStyle w:val="NormalParaAR"/>
        <w:keepNext/>
        <w:rPr>
          <w:rFonts w:hint="cs"/>
          <w:b/>
          <w:bCs/>
          <w:sz w:val="40"/>
          <w:szCs w:val="40"/>
          <w:rtl/>
        </w:rPr>
      </w:pPr>
      <w:r w:rsidRPr="007E4445">
        <w:rPr>
          <w:rFonts w:hint="cs"/>
          <w:b/>
          <w:bCs/>
          <w:sz w:val="40"/>
          <w:szCs w:val="40"/>
          <w:rtl/>
        </w:rPr>
        <w:t xml:space="preserve">المرحلة الثانية </w:t>
      </w:r>
      <w:r w:rsidRPr="007E4445">
        <w:rPr>
          <w:b/>
          <w:bCs/>
          <w:sz w:val="40"/>
          <w:szCs w:val="40"/>
          <w:rtl/>
        </w:rPr>
        <w:t>–</w:t>
      </w:r>
      <w:r w:rsidRPr="007E4445">
        <w:rPr>
          <w:rFonts w:hint="cs"/>
          <w:b/>
          <w:bCs/>
          <w:sz w:val="40"/>
          <w:szCs w:val="40"/>
          <w:rtl/>
        </w:rPr>
        <w:t xml:space="preserve"> النتائج المُحققة</w:t>
      </w:r>
    </w:p>
    <w:p w:rsidR="007E4445" w:rsidRDefault="007D1EA5" w:rsidP="00902FC7">
      <w:pPr>
        <w:pStyle w:val="NumberedParaAR"/>
        <w:rPr>
          <w:rFonts w:hint="cs"/>
        </w:rPr>
      </w:pPr>
      <w:r w:rsidRPr="007D1EA5">
        <w:rPr>
          <w:rtl/>
        </w:rPr>
        <w:t xml:space="preserve">عقب استكمال </w:t>
      </w:r>
      <w:r>
        <w:rPr>
          <w:rFonts w:hint="cs"/>
          <w:rtl/>
        </w:rPr>
        <w:t>الطورين</w:t>
      </w:r>
      <w:r w:rsidRPr="007D1EA5">
        <w:rPr>
          <w:rFonts w:hint="cs"/>
          <w:rtl/>
        </w:rPr>
        <w:t xml:space="preserve"> 1 و2 من </w:t>
      </w:r>
      <w:r>
        <w:rPr>
          <w:rFonts w:hint="cs"/>
          <w:rtl/>
        </w:rPr>
        <w:t>المشروع</w:t>
      </w:r>
      <w:r w:rsidRPr="007D1EA5">
        <w:rPr>
          <w:rFonts w:hint="cs"/>
          <w:rtl/>
        </w:rPr>
        <w:t xml:space="preserve"> بنجاح </w:t>
      </w:r>
      <w:r w:rsidRPr="007D1EA5">
        <w:rPr>
          <w:rtl/>
        </w:rPr>
        <w:t xml:space="preserve">(التحليل والتصميم) </w:t>
      </w:r>
      <w:r>
        <w:rPr>
          <w:rFonts w:hint="cs"/>
          <w:rtl/>
        </w:rPr>
        <w:t>شرع</w:t>
      </w:r>
      <w:r w:rsidRPr="007D1EA5">
        <w:rPr>
          <w:rFonts w:hint="cs"/>
          <w:rtl/>
        </w:rPr>
        <w:t xml:space="preserve"> </w:t>
      </w:r>
      <w:r w:rsidRPr="007D1EA5">
        <w:rPr>
          <w:rtl/>
        </w:rPr>
        <w:t>الشريك الخارجي المختار المتخصّص في تكنولوجيا المعلومات</w:t>
      </w:r>
      <w:r w:rsidRPr="007D1EA5">
        <w:rPr>
          <w:rFonts w:hint="cs"/>
          <w:rtl/>
        </w:rPr>
        <w:t xml:space="preserve">، </w:t>
      </w:r>
      <w:r w:rsidR="00902FC7">
        <w:rPr>
          <w:rFonts w:hint="cs"/>
          <w:rtl/>
        </w:rPr>
        <w:t xml:space="preserve">على النحو المزمع </w:t>
      </w:r>
      <w:r>
        <w:rPr>
          <w:rFonts w:hint="cs"/>
          <w:rtl/>
        </w:rPr>
        <w:t>في أواخر</w:t>
      </w:r>
      <w:r w:rsidRPr="007D1EA5">
        <w:rPr>
          <w:rFonts w:hint="cs"/>
          <w:rtl/>
        </w:rPr>
        <w:t xml:space="preserve"> عام 2013</w:t>
      </w:r>
      <w:r w:rsidR="00902FC7">
        <w:rPr>
          <w:rFonts w:hint="cs"/>
          <w:rtl/>
        </w:rPr>
        <w:t xml:space="preserve"> </w:t>
      </w:r>
      <w:r w:rsidRPr="007D1EA5">
        <w:rPr>
          <w:rtl/>
        </w:rPr>
        <w:t xml:space="preserve">، </w:t>
      </w:r>
      <w:r w:rsidR="00902FC7">
        <w:rPr>
          <w:rFonts w:hint="cs"/>
          <w:rtl/>
        </w:rPr>
        <w:t>في عملية ال</w:t>
      </w:r>
      <w:r w:rsidRPr="007D1EA5">
        <w:rPr>
          <w:rFonts w:hint="cs"/>
          <w:rtl/>
        </w:rPr>
        <w:t xml:space="preserve">تحوّل التقني من </w:t>
      </w:r>
      <w:r w:rsidR="00902FC7">
        <w:rPr>
          <w:rFonts w:hint="cs"/>
          <w:rtl/>
        </w:rPr>
        <w:t>النظام</w:t>
      </w:r>
      <w:r w:rsidRPr="007D1EA5">
        <w:rPr>
          <w:rFonts w:hint="cs"/>
          <w:rtl/>
        </w:rPr>
        <w:t xml:space="preserve"> </w:t>
      </w:r>
      <w:r w:rsidR="00902FC7">
        <w:rPr>
          <w:rFonts w:hint="cs"/>
          <w:rtl/>
        </w:rPr>
        <w:t>الحالي المعروف باسم نظام</w:t>
      </w:r>
      <w:r w:rsidR="00902FC7">
        <w:rPr>
          <w:rFonts w:hint="eastAsia"/>
          <w:rtl/>
        </w:rPr>
        <w:t> </w:t>
      </w:r>
      <w:r w:rsidR="00902FC7" w:rsidRPr="00902FC7">
        <w:t>DMAPS</w:t>
      </w:r>
      <w:r w:rsidR="00902FC7">
        <w:rPr>
          <w:rFonts w:hint="cs"/>
          <w:rtl/>
        </w:rPr>
        <w:t>.</w:t>
      </w:r>
    </w:p>
    <w:p w:rsidR="00902FC7" w:rsidRDefault="00902FC7" w:rsidP="00A61B35">
      <w:pPr>
        <w:pStyle w:val="NumberedParaAR"/>
        <w:rPr>
          <w:rFonts w:hint="cs"/>
        </w:rPr>
      </w:pPr>
      <w:r>
        <w:rPr>
          <w:rFonts w:hint="cs"/>
          <w:rtl/>
        </w:rPr>
        <w:t xml:space="preserve">وكان من </w:t>
      </w:r>
      <w:r w:rsidR="00A61B35">
        <w:rPr>
          <w:rFonts w:hint="cs"/>
          <w:rtl/>
        </w:rPr>
        <w:t>المتوقّع منطقيا</w:t>
      </w:r>
      <w:r>
        <w:rPr>
          <w:rFonts w:hint="cs"/>
          <w:rtl/>
        </w:rPr>
        <w:t xml:space="preserve">، قبل أواخر عام 2013، أنّ الانضمام المرتقب لدول أعضاء </w:t>
      </w:r>
      <w:proofErr w:type="spellStart"/>
      <w:r>
        <w:rPr>
          <w:rFonts w:hint="cs"/>
          <w:rtl/>
        </w:rPr>
        <w:t>جديدية</w:t>
      </w:r>
      <w:proofErr w:type="spellEnd"/>
      <w:r>
        <w:rPr>
          <w:rFonts w:hint="cs"/>
          <w:rtl/>
        </w:rPr>
        <w:t xml:space="preserve"> (الصين واليابان وجمهورية كوريا والولايات المتحدة الأمريكية) إلى اتفاق لاهاي المتعلق بالتسجيل الدولي للتصاميم الصناعية، سيقتضي إدخال تغييرات على إجراءات نظام لاهاي وبالتالي على </w:t>
      </w:r>
      <w:r>
        <w:rPr>
          <w:rFonts w:hint="cs"/>
          <w:rtl/>
        </w:rPr>
        <w:t>نظام</w:t>
      </w:r>
      <w:r>
        <w:rPr>
          <w:rFonts w:hint="eastAsia"/>
          <w:rtl/>
        </w:rPr>
        <w:t> </w:t>
      </w:r>
      <w:r w:rsidRPr="00902FC7">
        <w:t>DMAPS</w:t>
      </w:r>
      <w:r>
        <w:rPr>
          <w:rFonts w:hint="cs"/>
          <w:rtl/>
        </w:rPr>
        <w:t xml:space="preserve"> الحالي.</w:t>
      </w:r>
    </w:p>
    <w:p w:rsidR="00902FC7" w:rsidRDefault="00902FC7" w:rsidP="008C7B15">
      <w:pPr>
        <w:pStyle w:val="NumberedParaAR"/>
        <w:rPr>
          <w:rFonts w:hint="cs"/>
        </w:rPr>
      </w:pPr>
      <w:r>
        <w:rPr>
          <w:rFonts w:hint="cs"/>
          <w:rtl/>
        </w:rPr>
        <w:t xml:space="preserve">وبناء عليه </w:t>
      </w:r>
      <w:r w:rsidR="00A61B35">
        <w:rPr>
          <w:rFonts w:hint="cs"/>
          <w:rtl/>
        </w:rPr>
        <w:t xml:space="preserve">وللحدّ إلى أدنى مستوى ممكن من المخاطر التشغيلية المرتبطة بتطوير تلك الوظائف الجديدة خارج المنظمة، تقرّر معالجة هذه المسألة </w:t>
      </w:r>
      <w:r w:rsidR="008C7B15">
        <w:rPr>
          <w:rFonts w:hint="cs"/>
          <w:rtl/>
        </w:rPr>
        <w:t xml:space="preserve">الوظيفية </w:t>
      </w:r>
      <w:r w:rsidR="00A61B35">
        <w:rPr>
          <w:rFonts w:hint="cs"/>
          <w:rtl/>
        </w:rPr>
        <w:t>الهامة</w:t>
      </w:r>
      <w:r w:rsidR="008C7B15">
        <w:rPr>
          <w:rFonts w:hint="cs"/>
          <w:rtl/>
        </w:rPr>
        <w:t xml:space="preserve"> ضمن موارد التطوير الداخلية، ومعالجتها مباشرة ضمن </w:t>
      </w:r>
      <w:r w:rsidR="008C7B15">
        <w:rPr>
          <w:rFonts w:hint="cs"/>
          <w:rtl/>
        </w:rPr>
        <w:t>نظام</w:t>
      </w:r>
      <w:r w:rsidR="008C7B15">
        <w:rPr>
          <w:rFonts w:hint="eastAsia"/>
          <w:rtl/>
        </w:rPr>
        <w:t> </w:t>
      </w:r>
      <w:r w:rsidR="008C7B15" w:rsidRPr="00902FC7">
        <w:t>DMAPS</w:t>
      </w:r>
      <w:r w:rsidR="008C7B15">
        <w:rPr>
          <w:rFonts w:hint="cs"/>
          <w:rtl/>
        </w:rPr>
        <w:t xml:space="preserve"> الحالي، والعودة لاستهلال عملية التحوّل التقني في تاريخ لاحق.</w:t>
      </w:r>
    </w:p>
    <w:p w:rsidR="008C7B15" w:rsidRDefault="008C7B15" w:rsidP="00E56EAC">
      <w:pPr>
        <w:pStyle w:val="NumberedParaAR"/>
        <w:rPr>
          <w:rFonts w:hint="cs"/>
        </w:rPr>
      </w:pPr>
      <w:r>
        <w:rPr>
          <w:rFonts w:hint="cs"/>
          <w:rtl/>
        </w:rPr>
        <w:t xml:space="preserve">وأُبلغ الشريك </w:t>
      </w:r>
      <w:r w:rsidR="00E56EAC">
        <w:rPr>
          <w:rFonts w:hint="cs"/>
          <w:rtl/>
        </w:rPr>
        <w:t xml:space="preserve">التنفيذي </w:t>
      </w:r>
      <w:r>
        <w:rPr>
          <w:rFonts w:hint="cs"/>
          <w:rtl/>
        </w:rPr>
        <w:t xml:space="preserve">الخارجي على جناح السرعة بما يلي: (1) وقف الأنشطة المرتبطة بالتحوّل التقني من </w:t>
      </w:r>
      <w:r>
        <w:rPr>
          <w:rFonts w:hint="cs"/>
          <w:rtl/>
        </w:rPr>
        <w:t>نظام</w:t>
      </w:r>
      <w:r>
        <w:rPr>
          <w:rFonts w:hint="eastAsia"/>
          <w:rtl/>
        </w:rPr>
        <w:t> </w:t>
      </w:r>
      <w:r w:rsidRPr="00902FC7">
        <w:t>DMAPS</w:t>
      </w:r>
      <w:r>
        <w:rPr>
          <w:rFonts w:hint="cs"/>
          <w:rtl/>
        </w:rPr>
        <w:t xml:space="preserve">، ولو أنّه نسخة أولية من </w:t>
      </w:r>
      <w:r>
        <w:rPr>
          <w:rFonts w:hint="cs"/>
          <w:rtl/>
        </w:rPr>
        <w:t xml:space="preserve">عملية التحوّل التقني </w:t>
      </w:r>
      <w:r>
        <w:rPr>
          <w:rFonts w:hint="cs"/>
          <w:rtl/>
        </w:rPr>
        <w:t xml:space="preserve">من </w:t>
      </w:r>
      <w:r>
        <w:rPr>
          <w:rFonts w:hint="cs"/>
          <w:rtl/>
        </w:rPr>
        <w:t>نظام</w:t>
      </w:r>
      <w:r>
        <w:rPr>
          <w:rFonts w:hint="eastAsia"/>
          <w:rtl/>
        </w:rPr>
        <w:t> </w:t>
      </w:r>
      <w:r w:rsidRPr="00902FC7">
        <w:t>DMAPS</w:t>
      </w:r>
      <w:r>
        <w:rPr>
          <w:rFonts w:hint="cs"/>
          <w:rtl/>
        </w:rPr>
        <w:t xml:space="preserve"> إلى ال</w:t>
      </w:r>
      <w:r w:rsidRPr="008C7B15">
        <w:rPr>
          <w:rFonts w:hint="cs"/>
          <w:rtl/>
        </w:rPr>
        <w:t xml:space="preserve">نظام الجديد لمعلومات سجلات </w:t>
      </w:r>
      <w:r>
        <w:rPr>
          <w:rFonts w:hint="cs"/>
          <w:rtl/>
        </w:rPr>
        <w:t>التصاميم</w:t>
      </w:r>
      <w:r w:rsidRPr="008C7B15">
        <w:rPr>
          <w:rFonts w:hint="cs"/>
          <w:rtl/>
        </w:rPr>
        <w:t xml:space="preserve"> الدولية</w:t>
      </w:r>
      <w:r>
        <w:rPr>
          <w:rFonts w:hint="cs"/>
          <w:rtl/>
        </w:rPr>
        <w:t xml:space="preserve"> (</w:t>
      </w:r>
      <w:r w:rsidRPr="008C7B15">
        <w:t>DIRIS</w:t>
      </w:r>
      <w:r>
        <w:rPr>
          <w:rFonts w:hint="cs"/>
          <w:rtl/>
        </w:rPr>
        <w:t xml:space="preserve">) قد سُلّمت إلى المكتب الدولي (2) وتعليق </w:t>
      </w:r>
      <w:r w:rsidR="00E56EAC">
        <w:rPr>
          <w:rFonts w:hint="cs"/>
          <w:rtl/>
        </w:rPr>
        <w:t>العنصر الخاص بنظام</w:t>
      </w:r>
      <w:r w:rsidR="00E56EAC">
        <w:rPr>
          <w:rFonts w:hint="eastAsia"/>
          <w:rtl/>
        </w:rPr>
        <w:t> </w:t>
      </w:r>
      <w:r w:rsidR="00E56EAC" w:rsidRPr="008C7B15">
        <w:t>DIRIS</w:t>
      </w:r>
      <w:r w:rsidR="00E56EAC">
        <w:rPr>
          <w:rFonts w:hint="cs"/>
          <w:rtl/>
        </w:rPr>
        <w:t xml:space="preserve"> من برنامج تحديث تكنولوجيا المعلومات (التحوّل الفعلي من </w:t>
      </w:r>
      <w:r w:rsidR="00E56EAC">
        <w:rPr>
          <w:rFonts w:hint="cs"/>
          <w:rtl/>
        </w:rPr>
        <w:t>نظام</w:t>
      </w:r>
      <w:r w:rsidR="00E56EAC">
        <w:rPr>
          <w:rFonts w:hint="eastAsia"/>
          <w:rtl/>
        </w:rPr>
        <w:t> </w:t>
      </w:r>
      <w:r w:rsidR="00E56EAC" w:rsidRPr="00902FC7">
        <w:t>DMAPS</w:t>
      </w:r>
      <w:r w:rsidR="00E56EAC">
        <w:rPr>
          <w:rFonts w:hint="cs"/>
          <w:rtl/>
        </w:rPr>
        <w:t xml:space="preserve"> إلى </w:t>
      </w:r>
      <w:r w:rsidR="00E56EAC">
        <w:rPr>
          <w:rFonts w:hint="cs"/>
          <w:rtl/>
        </w:rPr>
        <w:t xml:space="preserve">المنصة الحاسوبية الجديدة) حتى الانتهاء من تثبيت التغييرات الضرورية المُدخلة على </w:t>
      </w:r>
      <w:r w:rsidR="00E56EAC">
        <w:rPr>
          <w:rFonts w:hint="cs"/>
          <w:rtl/>
        </w:rPr>
        <w:t>نظام</w:t>
      </w:r>
      <w:r w:rsidR="00E56EAC">
        <w:rPr>
          <w:rFonts w:hint="eastAsia"/>
          <w:rtl/>
        </w:rPr>
        <w:t> </w:t>
      </w:r>
      <w:r w:rsidR="00E56EAC" w:rsidRPr="00902FC7">
        <w:t>DMAPS</w:t>
      </w:r>
      <w:r w:rsidR="00E56EAC">
        <w:rPr>
          <w:rFonts w:hint="cs"/>
          <w:rtl/>
        </w:rPr>
        <w:t xml:space="preserve"> الحالي</w:t>
      </w:r>
      <w:r w:rsidR="00E56EAC">
        <w:rPr>
          <w:rFonts w:hint="cs"/>
          <w:rtl/>
        </w:rPr>
        <w:t xml:space="preserve">. ويمكن، عندها، </w:t>
      </w:r>
      <w:r w:rsidR="00E56EAC">
        <w:rPr>
          <w:rFonts w:hint="cs"/>
          <w:rtl/>
        </w:rPr>
        <w:t xml:space="preserve">العودة </w:t>
      </w:r>
      <w:r w:rsidR="00E56EAC">
        <w:rPr>
          <w:rFonts w:hint="cs"/>
          <w:rtl/>
        </w:rPr>
        <w:t xml:space="preserve">بسرعة </w:t>
      </w:r>
      <w:r w:rsidR="00E56EAC">
        <w:rPr>
          <w:rFonts w:hint="cs"/>
          <w:rtl/>
        </w:rPr>
        <w:t>لاستهلال عملية التحوّل التقني</w:t>
      </w:r>
      <w:r w:rsidR="00E56EAC">
        <w:rPr>
          <w:rFonts w:hint="cs"/>
          <w:rtl/>
        </w:rPr>
        <w:t xml:space="preserve"> من قبل شريك تنفيذي خارجي</w:t>
      </w:r>
      <w:r w:rsidR="001D5782">
        <w:rPr>
          <w:rFonts w:hint="cs"/>
          <w:rtl/>
        </w:rPr>
        <w:t>.</w:t>
      </w:r>
    </w:p>
    <w:p w:rsidR="001D5782" w:rsidRDefault="001D5782" w:rsidP="00C14426">
      <w:pPr>
        <w:pStyle w:val="NumberedParaAR"/>
        <w:rPr>
          <w:rFonts w:hint="cs"/>
        </w:rPr>
      </w:pPr>
      <w:r>
        <w:rPr>
          <w:rFonts w:hint="cs"/>
          <w:rtl/>
        </w:rPr>
        <w:t xml:space="preserve">وفي حين يظلّ </w:t>
      </w:r>
      <w:r>
        <w:rPr>
          <w:rFonts w:hint="cs"/>
          <w:rtl/>
        </w:rPr>
        <w:t>نظام</w:t>
      </w:r>
      <w:r>
        <w:rPr>
          <w:rFonts w:hint="eastAsia"/>
          <w:rtl/>
        </w:rPr>
        <w:t> </w:t>
      </w:r>
      <w:r w:rsidRPr="008C7B15">
        <w:t>DIRIS</w:t>
      </w:r>
      <w:r>
        <w:rPr>
          <w:rFonts w:hint="cs"/>
          <w:rtl/>
        </w:rPr>
        <w:t xml:space="preserve"> معلّقا، يجري تنفيذ البرنامج الحاسوبي المقابل</w:t>
      </w:r>
      <w:r>
        <w:rPr>
          <w:rFonts w:hint="eastAsia"/>
          <w:rtl/>
        </w:rPr>
        <w:t> </w:t>
      </w:r>
      <w:r w:rsidRPr="001D5782">
        <w:t>MIRIS</w:t>
      </w:r>
      <w:r>
        <w:rPr>
          <w:rFonts w:hint="cs"/>
          <w:rtl/>
        </w:rPr>
        <w:t xml:space="preserve"> (</w:t>
      </w:r>
      <w:r w:rsidRPr="001D5782">
        <w:rPr>
          <w:rFonts w:hint="cs"/>
          <w:rtl/>
        </w:rPr>
        <w:t>نظام معلومات سجلات مدريد الدولية</w:t>
      </w:r>
      <w:r>
        <w:rPr>
          <w:rFonts w:hint="cs"/>
          <w:rtl/>
        </w:rPr>
        <w:t xml:space="preserve">). وعليه فإنّ </w:t>
      </w:r>
      <w:r w:rsidR="00C14426">
        <w:rPr>
          <w:rFonts w:hint="cs"/>
          <w:rtl/>
        </w:rPr>
        <w:t xml:space="preserve">استئناف </w:t>
      </w:r>
      <w:r>
        <w:rPr>
          <w:rFonts w:hint="cs"/>
          <w:rtl/>
        </w:rPr>
        <w:t xml:space="preserve">التحوّل من </w:t>
      </w:r>
      <w:r>
        <w:rPr>
          <w:rFonts w:hint="cs"/>
          <w:rtl/>
        </w:rPr>
        <w:t>نظام</w:t>
      </w:r>
      <w:r>
        <w:rPr>
          <w:rFonts w:hint="eastAsia"/>
          <w:rtl/>
        </w:rPr>
        <w:t> </w:t>
      </w:r>
      <w:r w:rsidRPr="00902FC7">
        <w:t>DMAPS</w:t>
      </w:r>
      <w:r>
        <w:rPr>
          <w:rFonts w:hint="cs"/>
          <w:rtl/>
        </w:rPr>
        <w:t xml:space="preserve"> في وقت لاحق</w:t>
      </w:r>
      <w:r w:rsidR="00C14426">
        <w:rPr>
          <w:rFonts w:hint="cs"/>
          <w:rtl/>
        </w:rPr>
        <w:t xml:space="preserve"> سيستفيد من التجربة المكتسبة من التنفيذ الكامل لنظام</w:t>
      </w:r>
      <w:r w:rsidR="00C14426">
        <w:rPr>
          <w:rFonts w:hint="eastAsia"/>
          <w:rtl/>
        </w:rPr>
        <w:t> </w:t>
      </w:r>
      <w:r w:rsidR="00C14426" w:rsidRPr="001D5782">
        <w:t>MIRIS</w:t>
      </w:r>
      <w:r w:rsidR="00C14426">
        <w:rPr>
          <w:rFonts w:hint="cs"/>
          <w:rtl/>
        </w:rPr>
        <w:t>.</w:t>
      </w:r>
    </w:p>
    <w:p w:rsidR="00C14426" w:rsidRPr="00C14426" w:rsidRDefault="00C14426" w:rsidP="00C14426">
      <w:pPr>
        <w:pStyle w:val="NormalParaAR"/>
        <w:keepNext/>
        <w:rPr>
          <w:rFonts w:hint="cs"/>
          <w:b/>
          <w:bCs/>
          <w:sz w:val="40"/>
          <w:szCs w:val="40"/>
          <w:rtl/>
        </w:rPr>
      </w:pPr>
      <w:r w:rsidRPr="00C14426">
        <w:rPr>
          <w:rFonts w:hint="cs"/>
          <w:b/>
          <w:bCs/>
          <w:sz w:val="40"/>
          <w:szCs w:val="40"/>
          <w:rtl/>
        </w:rPr>
        <w:t xml:space="preserve">المرحلة الثانية </w:t>
      </w:r>
      <w:r w:rsidRPr="00C14426">
        <w:rPr>
          <w:b/>
          <w:bCs/>
          <w:sz w:val="40"/>
          <w:szCs w:val="40"/>
          <w:rtl/>
        </w:rPr>
        <w:t>–</w:t>
      </w:r>
      <w:r w:rsidRPr="00C14426">
        <w:rPr>
          <w:rFonts w:hint="cs"/>
          <w:b/>
          <w:bCs/>
          <w:sz w:val="40"/>
          <w:szCs w:val="40"/>
          <w:rtl/>
        </w:rPr>
        <w:t xml:space="preserve"> الخطة المفصّلة لتنفيذ ا</w:t>
      </w:r>
      <w:r>
        <w:rPr>
          <w:rFonts w:hint="cs"/>
          <w:b/>
          <w:bCs/>
          <w:sz w:val="40"/>
          <w:szCs w:val="40"/>
          <w:rtl/>
        </w:rPr>
        <w:t>لمشروع</w:t>
      </w:r>
    </w:p>
    <w:p w:rsidR="00C14426" w:rsidRDefault="00C14426" w:rsidP="00C14426">
      <w:pPr>
        <w:pStyle w:val="NumberedParaAR"/>
        <w:rPr>
          <w:rFonts w:hint="cs"/>
        </w:rPr>
      </w:pPr>
      <w:r>
        <w:rPr>
          <w:rFonts w:hint="cs"/>
          <w:rtl/>
        </w:rPr>
        <w:t xml:space="preserve">إنّ </w:t>
      </w:r>
      <w:r w:rsidRPr="00C14426">
        <w:rPr>
          <w:rFonts w:hint="cs"/>
          <w:rtl/>
        </w:rPr>
        <w:t xml:space="preserve">التحديات التي طُرحت أمام سجل </w:t>
      </w:r>
      <w:r>
        <w:rPr>
          <w:rFonts w:hint="cs"/>
          <w:rtl/>
        </w:rPr>
        <w:t>لاهاي</w:t>
      </w:r>
      <w:r w:rsidRPr="00C14426">
        <w:rPr>
          <w:rFonts w:hint="cs"/>
          <w:rtl/>
        </w:rPr>
        <w:t xml:space="preserve"> عند بدء برنامج تحديث تكنولوجيا المعلومات في عام 2008 مختلفة تماما عن التحديات المطروحة اليوم. وبالنظر إلى الطبيعة النشطة والمتغيّرة التي تتسم بها إجراءات </w:t>
      </w:r>
      <w:r>
        <w:rPr>
          <w:rFonts w:hint="cs"/>
          <w:rtl/>
        </w:rPr>
        <w:t>لاهاي للتسجيل الدولي</w:t>
      </w:r>
      <w:r w:rsidRPr="00C14426">
        <w:rPr>
          <w:rFonts w:hint="cs"/>
          <w:rtl/>
        </w:rPr>
        <w:t>، فإنّ من الأهمية القصوى بمكان أن يكون نظام</w:t>
      </w:r>
      <w:r w:rsidRPr="00C14426">
        <w:rPr>
          <w:rFonts w:hint="eastAsia"/>
          <w:rtl/>
        </w:rPr>
        <w:t> </w:t>
      </w:r>
      <w:r w:rsidRPr="008C7B15">
        <w:t>DIRIS</w:t>
      </w:r>
      <w:r>
        <w:rPr>
          <w:rFonts w:hint="cs"/>
          <w:rtl/>
        </w:rPr>
        <w:t xml:space="preserve"> </w:t>
      </w:r>
      <w:r w:rsidRPr="00C14426">
        <w:rPr>
          <w:rFonts w:hint="cs"/>
          <w:rtl/>
        </w:rPr>
        <w:t>قادرا على مواجهة التحديات الأصلية وتلك التي كُشف عنها حديثا. وللحدّ من أية مخاطر في هذا السياق، استُهل استعراض خارجي لبرنامج تحديث تكنولوجيا المعلومات في أواخر الربع الثاني من عام 2014، علماً بأنّه صدرت، عقب تدقيق داخلي لإجراءات تحصيل إيرادات قطاع العلامات والتصاميم، توصية تدعو إلى إجراء استعراض بعد تنفيذ المرحلة الثانية من برنامج تحديث تكنولوجيا المعلومات. وتشتمل مواصفات الاستعراض على نهج عام، ووظائف النظام، وأداء النظام، وإجراءات اختبار النظام واختبار استخدامه، واستراتيجيات التشغيل.</w:t>
      </w:r>
      <w:r>
        <w:rPr>
          <w:rFonts w:hint="cs"/>
          <w:rtl/>
        </w:rPr>
        <w:t xml:space="preserve"> وسيمكّن ذلك الاستعراض المكتب الدولي من ضمان دقة أكبر في تحديد التاريخ المتوقّع لبدء تشغيل </w:t>
      </w:r>
      <w:r w:rsidRPr="00C14426">
        <w:rPr>
          <w:rFonts w:hint="cs"/>
          <w:rtl/>
        </w:rPr>
        <w:t>نظام</w:t>
      </w:r>
      <w:r w:rsidRPr="00C14426">
        <w:rPr>
          <w:rFonts w:hint="eastAsia"/>
          <w:rtl/>
        </w:rPr>
        <w:t> </w:t>
      </w:r>
      <w:r w:rsidRPr="008C7B15">
        <w:t>DIRIS</w:t>
      </w:r>
      <w:r>
        <w:rPr>
          <w:rFonts w:hint="cs"/>
          <w:rtl/>
        </w:rPr>
        <w:t>.</w:t>
      </w:r>
    </w:p>
    <w:p w:rsidR="00C14426" w:rsidRDefault="00C14426" w:rsidP="001D28B4">
      <w:pPr>
        <w:pStyle w:val="NumberedParaAR"/>
        <w:rPr>
          <w:rFonts w:hint="cs"/>
        </w:rPr>
      </w:pPr>
      <w:r w:rsidRPr="00C14426">
        <w:rPr>
          <w:rFonts w:hint="cs"/>
          <w:rtl/>
        </w:rPr>
        <w:t>و</w:t>
      </w:r>
      <w:r w:rsidRPr="00C14426">
        <w:rPr>
          <w:rtl/>
        </w:rPr>
        <w:t xml:space="preserve">استُهلت المرحلة الثانية من البرنامج في الربع الثالث من عام 2010. واستُكمل فعلا تنفيذ المهام من 1 إلى 10 من الخطة المفصّلة لتنفيذ المشروع ، </w:t>
      </w:r>
      <w:r>
        <w:rPr>
          <w:rtl/>
        </w:rPr>
        <w:t>المبيّنة في الشكل 1 أدناه، و</w:t>
      </w:r>
      <w:r w:rsidR="001D28B4">
        <w:rPr>
          <w:rFonts w:hint="cs"/>
          <w:rtl/>
        </w:rPr>
        <w:t xml:space="preserve">عُلّقت </w:t>
      </w:r>
      <w:r w:rsidRPr="00C14426">
        <w:rPr>
          <w:rtl/>
        </w:rPr>
        <w:t>المهمة 11</w:t>
      </w:r>
      <w:r w:rsidR="001D28B4">
        <w:rPr>
          <w:rFonts w:hint="cs"/>
          <w:rtl/>
        </w:rPr>
        <w:t xml:space="preserve"> ومن المتوقّع استئنافها في 1 يناير 2015.</w:t>
      </w:r>
      <w:r w:rsidRPr="00C14426">
        <w:rPr>
          <w:rtl/>
        </w:rPr>
        <w:t xml:space="preserve"> والبرنامج جار وفق الجدول التالي</w:t>
      </w:r>
      <w:r w:rsidRPr="00C14426">
        <w:rPr>
          <w:rFonts w:hint="cs"/>
          <w:rtl/>
        </w:rPr>
        <w:t>:</w:t>
      </w:r>
    </w:p>
    <w:p w:rsidR="001D28B4" w:rsidRDefault="001D28B4" w:rsidP="001D28B4">
      <w:pPr>
        <w:pStyle w:val="NumberedParaAR"/>
        <w:numPr>
          <w:ilvl w:val="0"/>
          <w:numId w:val="0"/>
        </w:numPr>
        <w:spacing w:after="0" w:line="240" w:lineRule="auto"/>
        <w:rPr>
          <w:rFonts w:hint="cs"/>
          <w:rtl/>
        </w:rPr>
      </w:pPr>
      <w:r w:rsidRPr="001D28B4">
        <w:rPr>
          <w:rtl/>
        </w:rPr>
        <w:drawing>
          <wp:inline distT="0" distB="0" distL="0" distR="0">
            <wp:extent cx="593725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2298700"/>
                    </a:xfrm>
                    <a:prstGeom prst="rect">
                      <a:avLst/>
                    </a:prstGeom>
                    <a:noFill/>
                    <a:ln>
                      <a:noFill/>
                    </a:ln>
                  </pic:spPr>
                </pic:pic>
              </a:graphicData>
            </a:graphic>
          </wp:inline>
        </w:drawing>
      </w:r>
    </w:p>
    <w:p w:rsidR="001D28B4" w:rsidRDefault="001D28B4" w:rsidP="001D28B4">
      <w:pPr>
        <w:pStyle w:val="NumberedParaAR"/>
        <w:numPr>
          <w:ilvl w:val="0"/>
          <w:numId w:val="0"/>
        </w:numPr>
        <w:spacing w:line="240" w:lineRule="auto"/>
        <w:jc w:val="center"/>
        <w:rPr>
          <w:rFonts w:hint="cs"/>
          <w:b/>
          <w:bCs/>
          <w:sz w:val="28"/>
          <w:szCs w:val="28"/>
          <w:rtl/>
        </w:rPr>
      </w:pPr>
      <w:r w:rsidRPr="00F82DEF">
        <w:rPr>
          <w:rFonts w:hint="cs"/>
          <w:b/>
          <w:bCs/>
          <w:sz w:val="28"/>
          <w:szCs w:val="28"/>
          <w:rtl/>
        </w:rPr>
        <w:t>الشكل 1- الخطة المفصّلة لتنفيذ المشروع في المرحلة الثانية</w:t>
      </w:r>
    </w:p>
    <w:p w:rsidR="001D28B4" w:rsidRDefault="001D28B4" w:rsidP="001D28B4">
      <w:pPr>
        <w:pStyle w:val="NumberedParaAR"/>
        <w:rPr>
          <w:rtl/>
        </w:rPr>
      </w:pPr>
      <w:r>
        <w:rPr>
          <w:rFonts w:hint="cs"/>
          <w:rtl/>
        </w:rPr>
        <w:t>و</w:t>
      </w:r>
      <w:r w:rsidRPr="001D28B4">
        <w:rPr>
          <w:rFonts w:hint="cs"/>
          <w:rtl/>
        </w:rPr>
        <w:t>كما أشير إليه في التقارير المرحلية السابقة عن برنامج تحديث تكنولوجيا المعلومات سيقترح المكتب الدولي، عند اللزوم فقط، الدخول في مرحلة الإنجاز الثالثة من البرنامج من أجل تكييف أنشطة ما بعد التشغيل، مثل إصلاح الأخطاء، وتحسين الأداء، فضلا عن تغيير واجهة المستخدم</w:t>
      </w:r>
      <w:r w:rsidRPr="001D28B4">
        <w:rPr>
          <w:rtl/>
        </w:rPr>
        <w:t xml:space="preserve"> وأيّة إعادة محتملة لهندسة الإجراءات</w:t>
      </w:r>
      <w:r w:rsidRPr="001D28B4">
        <w:rPr>
          <w:rFonts w:hint="cs"/>
          <w:rtl/>
        </w:rPr>
        <w:t xml:space="preserve">. وبالنظر إلى عدم التمكّن من تقدير الحاجة إلى مرحلة ثالثة محتملة إلاّ بعد عملية النشر، سيُطنب في شرح تفاصيل المرحلة الثالثة المحتملة في </w:t>
      </w:r>
      <w:r>
        <w:rPr>
          <w:rFonts w:hint="cs"/>
          <w:rtl/>
        </w:rPr>
        <w:t>ال</w:t>
      </w:r>
      <w:r w:rsidRPr="001D28B4">
        <w:rPr>
          <w:rFonts w:hint="cs"/>
          <w:rtl/>
        </w:rPr>
        <w:t xml:space="preserve">تقرير </w:t>
      </w:r>
      <w:r>
        <w:rPr>
          <w:rFonts w:hint="cs"/>
          <w:rtl/>
        </w:rPr>
        <w:t>ال</w:t>
      </w:r>
      <w:r w:rsidRPr="001D28B4">
        <w:rPr>
          <w:rFonts w:hint="cs"/>
          <w:rtl/>
        </w:rPr>
        <w:t xml:space="preserve">مرحلي </w:t>
      </w:r>
      <w:r>
        <w:rPr>
          <w:rFonts w:hint="cs"/>
          <w:rtl/>
        </w:rPr>
        <w:t>القادم.</w:t>
      </w:r>
    </w:p>
    <w:p w:rsidR="001D28B4" w:rsidRDefault="001D28B4">
      <w:pPr>
        <w:rPr>
          <w:rFonts w:ascii="Arabic Typesetting" w:hAnsi="Arabic Typesetting" w:cs="Arabic Typesetting"/>
          <w:sz w:val="36"/>
          <w:szCs w:val="36"/>
          <w:rtl/>
        </w:rPr>
      </w:pPr>
      <w:r>
        <w:rPr>
          <w:rtl/>
        </w:rPr>
        <w:br w:type="page"/>
      </w:r>
    </w:p>
    <w:p w:rsidR="001D28B4" w:rsidRPr="001853B7" w:rsidRDefault="001D28B4" w:rsidP="001D28B4">
      <w:pPr>
        <w:pStyle w:val="NormalParaAR"/>
        <w:keepNext/>
        <w:rPr>
          <w:b/>
          <w:bCs/>
          <w:sz w:val="40"/>
          <w:szCs w:val="40"/>
          <w:rtl/>
        </w:rPr>
      </w:pPr>
      <w:r w:rsidRPr="001853B7">
        <w:rPr>
          <w:rFonts w:hint="cs"/>
          <w:b/>
          <w:bCs/>
          <w:sz w:val="40"/>
          <w:szCs w:val="40"/>
          <w:rtl/>
        </w:rPr>
        <w:t>استخدام الميزانية</w:t>
      </w:r>
    </w:p>
    <w:p w:rsidR="001D28B4" w:rsidRDefault="001D28B4" w:rsidP="001D28B4">
      <w:pPr>
        <w:pStyle w:val="NumberedParaAR"/>
      </w:pPr>
      <w:r>
        <w:rPr>
          <w:rFonts w:hint="cs"/>
          <w:rtl/>
        </w:rPr>
        <w:t xml:space="preserve">اعتُمد لأغراض المشروع غلاف مالي قدره 13,804 مليون فرنك فرنسي (10,804 مليون فرنك سويسري من قبل جمعية اتحاد </w:t>
      </w:r>
      <w:bookmarkStart w:id="2" w:name="_GoBack"/>
      <w:r>
        <w:rPr>
          <w:rFonts w:hint="cs"/>
          <w:rtl/>
        </w:rPr>
        <w:t>مدريد</w:t>
      </w:r>
      <w:bookmarkEnd w:id="2"/>
      <w:r>
        <w:rPr>
          <w:rFonts w:hint="cs"/>
          <w:rtl/>
        </w:rPr>
        <w:t xml:space="preserve"> و 3 ملايين فرنك سويسري من قبل جمعية اتحاد لاهاي). وبلغت المبالغ المُنفقة فعلا على المشروع، حتى الآن، 10,464 مليون فرنك سويسري، أو 76 بالمائة من ميزانية المشروع. ومن المتوقّع أن تكون الموارد المتبقية كافية لاستكمال المرحلة الثانية من البرنامج، علماً بأنّ استنتاجات الاستعراض الخارجي قد تسفر عن تخصيص موارد إضافية لضمان إدارة المخاطر وضبط الجودة على نحو ملائم.</w:t>
      </w:r>
    </w:p>
    <w:p w:rsidR="001D28B4" w:rsidRPr="0074262D" w:rsidRDefault="001D28B4" w:rsidP="001D28B4">
      <w:pPr>
        <w:pStyle w:val="NumberedParaAR"/>
        <w:numPr>
          <w:ilvl w:val="0"/>
          <w:numId w:val="0"/>
        </w:numPr>
        <w:spacing w:after="0"/>
        <w:jc w:val="center"/>
        <w:rPr>
          <w:b/>
          <w:bCs/>
          <w:sz w:val="28"/>
          <w:szCs w:val="28"/>
        </w:rPr>
      </w:pPr>
      <w:r w:rsidRPr="0074262D">
        <w:rPr>
          <w:rFonts w:hint="cs"/>
          <w:b/>
          <w:bCs/>
          <w:sz w:val="28"/>
          <w:szCs w:val="28"/>
          <w:rtl/>
        </w:rPr>
        <w:t xml:space="preserve">الجدول 1. الوضع </w:t>
      </w:r>
      <w:r>
        <w:rPr>
          <w:rFonts w:hint="cs"/>
          <w:b/>
          <w:bCs/>
          <w:sz w:val="28"/>
          <w:szCs w:val="28"/>
          <w:rtl/>
        </w:rPr>
        <w:t>المالي (بآلاف</w:t>
      </w:r>
      <w:r w:rsidRPr="0074262D">
        <w:rPr>
          <w:rFonts w:hint="cs"/>
          <w:b/>
          <w:bCs/>
          <w:sz w:val="28"/>
          <w:szCs w:val="28"/>
          <w:rtl/>
        </w:rPr>
        <w:t xml:space="preserve"> الفرنكات السويسرية)، في أواخر مارس 2014</w:t>
      </w:r>
    </w:p>
    <w:tbl>
      <w:tblPr>
        <w:tblStyle w:val="TableGrid"/>
        <w:bidiVisual/>
        <w:tblW w:w="0" w:type="auto"/>
        <w:tblLook w:val="04A0" w:firstRow="1" w:lastRow="0" w:firstColumn="1" w:lastColumn="0" w:noHBand="0" w:noVBand="1"/>
      </w:tblPr>
      <w:tblGrid>
        <w:gridCol w:w="2392"/>
        <w:gridCol w:w="2393"/>
        <w:gridCol w:w="2393"/>
        <w:gridCol w:w="2393"/>
      </w:tblGrid>
      <w:tr w:rsidR="001D28B4" w:rsidTr="00F2081C">
        <w:trPr>
          <w:trHeight w:val="1104"/>
        </w:trPr>
        <w:tc>
          <w:tcPr>
            <w:tcW w:w="2392"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الموارد المتاحة من الأموال الاحتياطية</w:t>
            </w: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النفقات باستثناء الالتزامات والأعباء المالية السابقة</w:t>
            </w: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الرصيد في أواخر مارس 2014</w:t>
            </w:r>
          </w:p>
        </w:tc>
      </w:tr>
      <w:tr w:rsidR="001D28B4" w:rsidTr="00F2081C">
        <w:tc>
          <w:tcPr>
            <w:tcW w:w="2392" w:type="dxa"/>
          </w:tcPr>
          <w:p w:rsidR="001D28B4" w:rsidRDefault="001D28B4" w:rsidP="00F2081C">
            <w:pPr>
              <w:pStyle w:val="NumberedParaAR"/>
              <w:numPr>
                <w:ilvl w:val="0"/>
                <w:numId w:val="0"/>
              </w:numPr>
              <w:rPr>
                <w:rtl/>
              </w:rPr>
            </w:pPr>
            <w:r>
              <w:rPr>
                <w:rFonts w:hint="cs"/>
                <w:rtl/>
              </w:rPr>
              <w:t>المرحلة الأولى</w:t>
            </w:r>
          </w:p>
        </w:tc>
        <w:tc>
          <w:tcPr>
            <w:tcW w:w="2393" w:type="dxa"/>
          </w:tcPr>
          <w:p w:rsidR="001D28B4" w:rsidRDefault="001D28B4" w:rsidP="00F2081C">
            <w:pPr>
              <w:pStyle w:val="NumberedParaAR"/>
              <w:numPr>
                <w:ilvl w:val="0"/>
                <w:numId w:val="0"/>
              </w:numPr>
              <w:rPr>
                <w:rtl/>
              </w:rPr>
            </w:pPr>
            <w:r>
              <w:rPr>
                <w:rFonts w:hint="cs"/>
                <w:rtl/>
              </w:rPr>
              <w:t>569</w:t>
            </w:r>
            <w:r>
              <w:rPr>
                <w:rFonts w:hint="eastAsia"/>
                <w:rtl/>
              </w:rPr>
              <w:t> </w:t>
            </w:r>
            <w:r>
              <w:rPr>
                <w:rFonts w:hint="cs"/>
                <w:rtl/>
              </w:rPr>
              <w:t>3</w:t>
            </w:r>
          </w:p>
        </w:tc>
        <w:tc>
          <w:tcPr>
            <w:tcW w:w="2393" w:type="dxa"/>
          </w:tcPr>
          <w:p w:rsidR="001D28B4" w:rsidRDefault="001D28B4" w:rsidP="00F2081C">
            <w:pPr>
              <w:pStyle w:val="NumberedParaAR"/>
              <w:numPr>
                <w:ilvl w:val="0"/>
                <w:numId w:val="0"/>
              </w:numPr>
              <w:rPr>
                <w:rtl/>
              </w:rPr>
            </w:pPr>
            <w:r>
              <w:rPr>
                <w:rFonts w:hint="cs"/>
                <w:rtl/>
              </w:rPr>
              <w:t>277</w:t>
            </w:r>
            <w:r>
              <w:rPr>
                <w:rFonts w:hint="eastAsia"/>
                <w:rtl/>
              </w:rPr>
              <w:t> </w:t>
            </w:r>
            <w:r>
              <w:rPr>
                <w:rFonts w:hint="cs"/>
                <w:rtl/>
              </w:rPr>
              <w:t>3</w:t>
            </w:r>
          </w:p>
        </w:tc>
        <w:tc>
          <w:tcPr>
            <w:tcW w:w="2393" w:type="dxa"/>
          </w:tcPr>
          <w:p w:rsidR="001D28B4" w:rsidRDefault="001D28B4" w:rsidP="00F2081C">
            <w:pPr>
              <w:pStyle w:val="NumberedParaAR"/>
              <w:numPr>
                <w:ilvl w:val="0"/>
                <w:numId w:val="0"/>
              </w:numPr>
              <w:rPr>
                <w:rtl/>
              </w:rPr>
            </w:pPr>
            <w:r>
              <w:rPr>
                <w:rFonts w:hint="cs"/>
                <w:rtl/>
              </w:rPr>
              <w:t>292</w:t>
            </w:r>
          </w:p>
        </w:tc>
      </w:tr>
      <w:tr w:rsidR="001D28B4" w:rsidTr="00F2081C">
        <w:tc>
          <w:tcPr>
            <w:tcW w:w="2392" w:type="dxa"/>
            <w:tcBorders>
              <w:bottom w:val="single" w:sz="4" w:space="0" w:color="auto"/>
            </w:tcBorders>
          </w:tcPr>
          <w:p w:rsidR="001D28B4" w:rsidRDefault="001D28B4" w:rsidP="00F2081C">
            <w:pPr>
              <w:pStyle w:val="NumberedParaAR"/>
              <w:numPr>
                <w:ilvl w:val="0"/>
                <w:numId w:val="0"/>
              </w:numPr>
              <w:rPr>
                <w:rtl/>
              </w:rPr>
            </w:pPr>
            <w:r>
              <w:rPr>
                <w:rFonts w:hint="cs"/>
                <w:rtl/>
              </w:rPr>
              <w:t>المرحلة الثانية</w:t>
            </w:r>
          </w:p>
        </w:tc>
        <w:tc>
          <w:tcPr>
            <w:tcW w:w="2393" w:type="dxa"/>
            <w:tcBorders>
              <w:bottom w:val="single" w:sz="4" w:space="0" w:color="auto"/>
            </w:tcBorders>
          </w:tcPr>
          <w:p w:rsidR="001D28B4" w:rsidRDefault="001D28B4" w:rsidP="00F2081C">
            <w:pPr>
              <w:pStyle w:val="NumberedParaAR"/>
              <w:numPr>
                <w:ilvl w:val="0"/>
                <w:numId w:val="0"/>
              </w:numPr>
              <w:rPr>
                <w:rtl/>
              </w:rPr>
            </w:pPr>
            <w:r>
              <w:rPr>
                <w:rFonts w:hint="cs"/>
                <w:rtl/>
              </w:rPr>
              <w:t>235</w:t>
            </w:r>
            <w:r>
              <w:rPr>
                <w:rFonts w:hint="eastAsia"/>
                <w:rtl/>
              </w:rPr>
              <w:t> </w:t>
            </w:r>
            <w:r>
              <w:rPr>
                <w:rFonts w:hint="cs"/>
                <w:rtl/>
              </w:rPr>
              <w:t>10</w:t>
            </w:r>
          </w:p>
        </w:tc>
        <w:tc>
          <w:tcPr>
            <w:tcW w:w="2393" w:type="dxa"/>
            <w:tcBorders>
              <w:bottom w:val="single" w:sz="4" w:space="0" w:color="auto"/>
            </w:tcBorders>
          </w:tcPr>
          <w:p w:rsidR="001D28B4" w:rsidRDefault="001D28B4" w:rsidP="00F2081C">
            <w:pPr>
              <w:pStyle w:val="NumberedParaAR"/>
              <w:numPr>
                <w:ilvl w:val="0"/>
                <w:numId w:val="0"/>
              </w:numPr>
              <w:rPr>
                <w:rtl/>
              </w:rPr>
            </w:pPr>
            <w:r>
              <w:rPr>
                <w:rFonts w:hint="cs"/>
                <w:rtl/>
              </w:rPr>
              <w:t>187</w:t>
            </w:r>
            <w:r>
              <w:rPr>
                <w:rFonts w:hint="eastAsia"/>
                <w:rtl/>
              </w:rPr>
              <w:t> </w:t>
            </w:r>
            <w:r>
              <w:rPr>
                <w:rFonts w:hint="cs"/>
                <w:rtl/>
              </w:rPr>
              <w:t>7</w:t>
            </w:r>
          </w:p>
        </w:tc>
        <w:tc>
          <w:tcPr>
            <w:tcW w:w="2393" w:type="dxa"/>
            <w:tcBorders>
              <w:bottom w:val="single" w:sz="4" w:space="0" w:color="auto"/>
            </w:tcBorders>
          </w:tcPr>
          <w:p w:rsidR="001D28B4" w:rsidRDefault="001D28B4" w:rsidP="00F2081C">
            <w:pPr>
              <w:pStyle w:val="NumberedParaAR"/>
              <w:numPr>
                <w:ilvl w:val="0"/>
                <w:numId w:val="0"/>
              </w:numPr>
              <w:rPr>
                <w:rtl/>
              </w:rPr>
            </w:pPr>
            <w:r>
              <w:rPr>
                <w:rFonts w:hint="cs"/>
                <w:rtl/>
              </w:rPr>
              <w:t>048</w:t>
            </w:r>
            <w:r>
              <w:rPr>
                <w:rFonts w:hint="eastAsia"/>
                <w:rtl/>
              </w:rPr>
              <w:t> </w:t>
            </w:r>
            <w:r>
              <w:rPr>
                <w:rFonts w:hint="cs"/>
                <w:rtl/>
              </w:rPr>
              <w:t>3</w:t>
            </w:r>
          </w:p>
        </w:tc>
      </w:tr>
      <w:tr w:rsidR="001D28B4" w:rsidTr="00F2081C">
        <w:tc>
          <w:tcPr>
            <w:tcW w:w="2392"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المجموع</w:t>
            </w: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804</w:t>
            </w:r>
            <w:r w:rsidRPr="00361FE1">
              <w:rPr>
                <w:rFonts w:hint="eastAsia"/>
                <w:color w:val="FFFFFF" w:themeColor="background1"/>
                <w:rtl/>
              </w:rPr>
              <w:t> </w:t>
            </w:r>
            <w:r w:rsidRPr="00361FE1">
              <w:rPr>
                <w:rFonts w:hint="cs"/>
                <w:color w:val="FFFFFF" w:themeColor="background1"/>
                <w:rtl/>
              </w:rPr>
              <w:t>13</w:t>
            </w: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464</w:t>
            </w:r>
            <w:r w:rsidRPr="00361FE1">
              <w:rPr>
                <w:rFonts w:hint="eastAsia"/>
                <w:color w:val="FFFFFF" w:themeColor="background1"/>
                <w:rtl/>
              </w:rPr>
              <w:t> </w:t>
            </w:r>
            <w:r w:rsidRPr="00361FE1">
              <w:rPr>
                <w:rFonts w:hint="cs"/>
                <w:color w:val="FFFFFF" w:themeColor="background1"/>
                <w:rtl/>
              </w:rPr>
              <w:t>10</w:t>
            </w:r>
          </w:p>
        </w:tc>
        <w:tc>
          <w:tcPr>
            <w:tcW w:w="2393" w:type="dxa"/>
            <w:shd w:val="clear" w:color="auto" w:fill="548DD4" w:themeFill="text2" w:themeFillTint="99"/>
          </w:tcPr>
          <w:p w:rsidR="001D28B4" w:rsidRPr="00361FE1" w:rsidRDefault="001D28B4" w:rsidP="00F2081C">
            <w:pPr>
              <w:pStyle w:val="NumberedParaAR"/>
              <w:numPr>
                <w:ilvl w:val="0"/>
                <w:numId w:val="0"/>
              </w:numPr>
              <w:rPr>
                <w:color w:val="FFFFFF" w:themeColor="background1"/>
                <w:rtl/>
              </w:rPr>
            </w:pPr>
            <w:r w:rsidRPr="00361FE1">
              <w:rPr>
                <w:rFonts w:hint="cs"/>
                <w:color w:val="FFFFFF" w:themeColor="background1"/>
                <w:rtl/>
              </w:rPr>
              <w:t>340</w:t>
            </w:r>
            <w:r w:rsidRPr="00361FE1">
              <w:rPr>
                <w:rFonts w:hint="eastAsia"/>
                <w:color w:val="FFFFFF" w:themeColor="background1"/>
                <w:rtl/>
              </w:rPr>
              <w:t> </w:t>
            </w:r>
            <w:r w:rsidRPr="00361FE1">
              <w:rPr>
                <w:rFonts w:hint="cs"/>
                <w:color w:val="FFFFFF" w:themeColor="background1"/>
                <w:rtl/>
              </w:rPr>
              <w:t>3</w:t>
            </w:r>
          </w:p>
        </w:tc>
      </w:tr>
    </w:tbl>
    <w:p w:rsidR="001D28B4" w:rsidRDefault="001D28B4" w:rsidP="001D28B4">
      <w:pPr>
        <w:pStyle w:val="DecisionParaAR"/>
        <w:spacing w:before="240"/>
      </w:pPr>
      <w:r>
        <w:rPr>
          <w:rFonts w:hint="cs"/>
          <w:rtl/>
        </w:rPr>
        <w:t xml:space="preserve">إن الجمعية مدعوة إلى الإحاطة علما بمضمون التقرير المرحلي بشأن برنامج تحديث تكنولوجيا المعلومات (نظام </w:t>
      </w:r>
      <w:r>
        <w:rPr>
          <w:rFonts w:hint="cs"/>
          <w:rtl/>
        </w:rPr>
        <w:t>لاهاي</w:t>
      </w:r>
      <w:r>
        <w:rPr>
          <w:rFonts w:hint="cs"/>
          <w:rtl/>
        </w:rPr>
        <w:t xml:space="preserve"> للتسجيل </w:t>
      </w:r>
      <w:r w:rsidRPr="0074262D">
        <w:rPr>
          <w:rFonts w:hint="cs"/>
          <w:rtl/>
        </w:rPr>
        <w:t>الدولي) (الوثيقة</w:t>
      </w:r>
      <w:r w:rsidRPr="0074262D">
        <w:rPr>
          <w:rFonts w:hint="eastAsia"/>
          <w:rtl/>
        </w:rPr>
        <w:t> </w:t>
      </w:r>
      <w:r>
        <w:t>H</w:t>
      </w:r>
      <w:r w:rsidRPr="0074262D">
        <w:t>/A/</w:t>
      </w:r>
      <w:r>
        <w:t>34</w:t>
      </w:r>
      <w:r w:rsidRPr="0074262D">
        <w:t>/1</w:t>
      </w:r>
      <w:r w:rsidRPr="0074262D">
        <w:rPr>
          <w:rFonts w:hint="cs"/>
          <w:rtl/>
        </w:rPr>
        <w:t>).</w:t>
      </w:r>
    </w:p>
    <w:p w:rsidR="001D28B4" w:rsidRDefault="001D28B4" w:rsidP="001D28B4">
      <w:pPr>
        <w:pStyle w:val="EndofDocumentAR"/>
      </w:pPr>
      <w:r>
        <w:rPr>
          <w:rFonts w:hint="cs"/>
          <w:rtl/>
        </w:rPr>
        <w:t>[نهاية الوثيقة]</w:t>
      </w:r>
    </w:p>
    <w:sectPr w:rsidR="001D28B4"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EA" w:rsidRDefault="00CD23EA">
      <w:r>
        <w:separator/>
      </w:r>
    </w:p>
  </w:endnote>
  <w:endnote w:type="continuationSeparator" w:id="0">
    <w:p w:rsidR="00CD23EA" w:rsidRDefault="00CD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EA" w:rsidRDefault="00CD23EA" w:rsidP="009622BF">
      <w:pPr>
        <w:bidi/>
      </w:pPr>
      <w:bookmarkStart w:id="0" w:name="OLE_LINK1"/>
      <w:bookmarkStart w:id="1" w:name="OLE_LINK2"/>
      <w:r>
        <w:separator/>
      </w:r>
      <w:bookmarkEnd w:id="0"/>
      <w:bookmarkEnd w:id="1"/>
    </w:p>
  </w:footnote>
  <w:footnote w:type="continuationSeparator" w:id="0">
    <w:p w:rsidR="00CD23EA" w:rsidRDefault="00CD23E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C1388" w:rsidP="005F1785">
    <w:r>
      <w:t>H</w:t>
    </w:r>
    <w:r w:rsidR="00772E46">
      <w:t>/</w:t>
    </w:r>
    <w:r w:rsidR="0059089F">
      <w:t>A</w:t>
    </w:r>
    <w:r w:rsidR="002F77FC">
      <w:t>/</w:t>
    </w:r>
    <w:r w:rsidR="005F1785">
      <w:t>34</w:t>
    </w:r>
    <w:r w:rsidR="00FB6665">
      <w:t>/1</w:t>
    </w:r>
  </w:p>
  <w:p w:rsidR="002F77FC" w:rsidRDefault="002F77FC" w:rsidP="00D61541">
    <w:r>
      <w:fldChar w:fldCharType="begin"/>
    </w:r>
    <w:r>
      <w:instrText xml:space="preserve"> PAGE  \* MERGEFORMAT </w:instrText>
    </w:r>
    <w:r>
      <w:fldChar w:fldCharType="separate"/>
    </w:r>
    <w:r w:rsidR="006F2F9F">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E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BFB"/>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8B4"/>
    <w:rsid w:val="001D2DC4"/>
    <w:rsid w:val="001D578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201"/>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85"/>
    <w:rsid w:val="005F32BE"/>
    <w:rsid w:val="005F34FB"/>
    <w:rsid w:val="005F39A0"/>
    <w:rsid w:val="005F6B68"/>
    <w:rsid w:val="005F6F10"/>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2F9F"/>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1EA5"/>
    <w:rsid w:val="007D458D"/>
    <w:rsid w:val="007D4E8C"/>
    <w:rsid w:val="007D538F"/>
    <w:rsid w:val="007D668A"/>
    <w:rsid w:val="007E09E2"/>
    <w:rsid w:val="007E0FF5"/>
    <w:rsid w:val="007E1012"/>
    <w:rsid w:val="007E17CD"/>
    <w:rsid w:val="007E24ED"/>
    <w:rsid w:val="007E374B"/>
    <w:rsid w:val="007E39DE"/>
    <w:rsid w:val="007E3F53"/>
    <w:rsid w:val="007E4445"/>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B15"/>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2FC7"/>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FF8"/>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EA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9D5"/>
    <w:rsid w:val="00A54C5F"/>
    <w:rsid w:val="00A54D3B"/>
    <w:rsid w:val="00A5578A"/>
    <w:rsid w:val="00A61365"/>
    <w:rsid w:val="00A61759"/>
    <w:rsid w:val="00A61B35"/>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426"/>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451"/>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3EA"/>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EAC"/>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665"/>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A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0252-98A1-4D74-8143-D10F196D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H_A_34_AR.dotx</Template>
  <TotalTime>91</TotalTime>
  <Pages>4</Pages>
  <Words>1044</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H/A/34/1 (Arabic)</vt:lpstr>
    </vt:vector>
  </TitlesOfParts>
  <Company>World Intellectual Property Organization</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H/A/34/1 (Arabic)</dc:title>
  <dc:creator>من إعداد المكتب الدولي</dc:creator>
  <cp:lastModifiedBy>MERZOUK Fawzi</cp:lastModifiedBy>
  <cp:revision>13</cp:revision>
  <cp:lastPrinted>2014-07-01T16:41:00Z</cp:lastPrinted>
  <dcterms:created xsi:type="dcterms:W3CDTF">2014-07-01T14:51:00Z</dcterms:created>
  <dcterms:modified xsi:type="dcterms:W3CDTF">2014-07-01T16:44:00Z</dcterms:modified>
</cp:coreProperties>
</file>