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C1388" w:rsidP="003640F3">
            <w:pPr>
              <w:pStyle w:val="DocumentCodeAR"/>
              <w:bidi/>
              <w:rPr>
                <w:rtl/>
              </w:rPr>
            </w:pPr>
            <w:r>
              <w:t>H</w:t>
            </w:r>
            <w:r w:rsidR="00772E46">
              <w:t>/</w:t>
            </w:r>
            <w:r w:rsidR="0059089F">
              <w:t>A</w:t>
            </w:r>
            <w:r w:rsidR="00100F97">
              <w:t>/</w:t>
            </w:r>
            <w:r w:rsidR="005F1785">
              <w:t>3</w:t>
            </w:r>
            <w:r w:rsidR="001D5761">
              <w:t>5</w:t>
            </w:r>
            <w:r w:rsidR="00B6101C" w:rsidRPr="00B6101C">
              <w:t>/</w:t>
            </w:r>
            <w:r w:rsidR="007F1AAA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F1AA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F1AA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640F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>التاريخ:</w:t>
            </w:r>
            <w:r w:rsidR="003640F3">
              <w:rPr>
                <w:rFonts w:hint="cs"/>
                <w:rtl/>
              </w:rPr>
              <w:t xml:space="preserve"> 5 فبراير</w:t>
            </w:r>
            <w:r w:rsidR="007F1AAA">
              <w:rPr>
                <w:rFonts w:hint="cs"/>
                <w:rtl/>
              </w:rPr>
              <w:t xml:space="preserve"> </w:t>
            </w:r>
            <w:r w:rsidR="005F1785">
              <w:rPr>
                <w:rFonts w:hint="cs"/>
                <w:rtl/>
              </w:rPr>
              <w:t>201</w:t>
            </w:r>
            <w:r w:rsidR="003640F3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0438DD" w:rsidRDefault="000438DD" w:rsidP="000438DD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C1388" w:rsidRDefault="00EC1388" w:rsidP="00EC1388">
      <w:pPr>
        <w:pStyle w:val="MeetingTitleAR"/>
        <w:bidi/>
        <w:rPr>
          <w:rtl/>
        </w:rPr>
      </w:pPr>
      <w:r>
        <w:rPr>
          <w:rFonts w:hint="cs"/>
          <w:rtl/>
        </w:rPr>
        <w:t>الاتحاد الخاص للإيداع</w:t>
      </w:r>
      <w:r w:rsidR="005F1785">
        <w:rPr>
          <w:rFonts w:hint="cs"/>
          <w:rtl/>
        </w:rPr>
        <w:t xml:space="preserve"> الدولي للتصاميم الصناعية</w:t>
      </w:r>
    </w:p>
    <w:p w:rsidR="00EC1388" w:rsidRPr="00840AF7" w:rsidRDefault="00EC1388" w:rsidP="00EC1388">
      <w:pPr>
        <w:pStyle w:val="NormalParaAR"/>
        <w:rPr>
          <w:rFonts w:cs="PT Bold Heading"/>
          <w:sz w:val="32"/>
          <w:szCs w:val="32"/>
          <w:rtl/>
        </w:rPr>
      </w:pPr>
      <w:r w:rsidRPr="00840AF7">
        <w:rPr>
          <w:rFonts w:cs="PT Bold Heading" w:hint="cs"/>
          <w:sz w:val="32"/>
          <w:szCs w:val="32"/>
          <w:rtl/>
        </w:rPr>
        <w:t xml:space="preserve">(اتحاد </w:t>
      </w:r>
      <w:r>
        <w:rPr>
          <w:rFonts w:cs="PT Bold Heading" w:hint="cs"/>
          <w:sz w:val="32"/>
          <w:szCs w:val="32"/>
          <w:rtl/>
        </w:rPr>
        <w:t>لاهاي</w:t>
      </w:r>
      <w:r w:rsidRPr="00840AF7">
        <w:rPr>
          <w:rFonts w:cs="PT Bold Heading" w:hint="cs"/>
          <w:sz w:val="32"/>
          <w:szCs w:val="32"/>
          <w:rtl/>
        </w:rPr>
        <w:t>)</w:t>
      </w: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0438DD" w:rsidP="000438DD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E1775E" w:rsidP="001D5761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1D5761">
        <w:rPr>
          <w:rFonts w:ascii="Cambria Math" w:hAnsi="Cambria Math" w:hint="cs"/>
          <w:rtl/>
          <w:lang w:val="fr-CH"/>
        </w:rPr>
        <w:t xml:space="preserve">الخامسة </w:t>
      </w:r>
      <w:r w:rsidR="00EC1388">
        <w:rPr>
          <w:rFonts w:ascii="Cambria Math" w:hAnsi="Cambria Math" w:hint="cs"/>
          <w:rtl/>
        </w:rPr>
        <w:t xml:space="preserve">والثلاثون </w:t>
      </w:r>
      <w:r w:rsidR="0059089F" w:rsidRPr="0059089F">
        <w:rPr>
          <w:rFonts w:ascii="Cambria Math" w:hAnsi="Cambria Math"/>
          <w:rtl/>
        </w:rPr>
        <w:t xml:space="preserve">(الدورة </w:t>
      </w:r>
      <w:r w:rsidR="001D5761">
        <w:rPr>
          <w:rFonts w:ascii="Cambria Math" w:hAnsi="Cambria Math" w:hint="cs"/>
          <w:rtl/>
        </w:rPr>
        <w:t>العادية العشرون</w:t>
      </w:r>
      <w:r w:rsidR="0059089F" w:rsidRPr="0059089F">
        <w:rPr>
          <w:rFonts w:ascii="Cambria Math" w:hAnsi="Cambria Math"/>
          <w:rtl/>
        </w:rPr>
        <w:t>)</w:t>
      </w:r>
    </w:p>
    <w:p w:rsidR="00D61541" w:rsidRPr="00D61541" w:rsidRDefault="00D61541" w:rsidP="001D576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1D5761">
        <w:rPr>
          <w:rFonts w:hint="cs"/>
          <w:rtl/>
        </w:rPr>
        <w:t xml:space="preserve">5 إلى 14 أكتوبر </w:t>
      </w:r>
      <w:r w:rsidR="005F1785">
        <w:rPr>
          <w:rFonts w:hint="cs"/>
          <w:rtl/>
        </w:rPr>
        <w:t>201</w:t>
      </w:r>
      <w:r w:rsidR="001D5761">
        <w:rPr>
          <w:rFonts w:hint="cs"/>
          <w:rtl/>
        </w:rPr>
        <w:t>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F1AAA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3640F3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7F1AAA" w:rsidRPr="004D0A41" w:rsidRDefault="007F1AAA" w:rsidP="003640F3">
      <w:pPr>
        <w:pStyle w:val="NumberedParaAR"/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</w:t>
      </w:r>
      <w:r>
        <w:t xml:space="preserve"> </w:t>
      </w:r>
      <w:r>
        <w:rPr>
          <w:rtl/>
        </w:rPr>
        <w:t>التي تعنيها</w:t>
      </w:r>
      <w:r>
        <w:rPr>
          <w:rFonts w:hint="cs"/>
          <w:rtl/>
        </w:rPr>
        <w:t xml:space="preserve"> من جدول الأعمال الموحّد (الوثيقة </w:t>
      </w:r>
      <w:r>
        <w:t>A/55/1</w:t>
      </w:r>
      <w:r>
        <w:rPr>
          <w:rFonts w:hint="cs"/>
          <w:rtl/>
          <w:lang w:val="fr-CH"/>
        </w:rPr>
        <w:t>): 1 و2 و3 و4 و5 و6 و10 و11 و21 و31 و32.</w:t>
      </w:r>
    </w:p>
    <w:p w:rsidR="007F1AAA" w:rsidRPr="00A979D3" w:rsidRDefault="007F1AAA" w:rsidP="003640F3">
      <w:pPr>
        <w:pStyle w:val="NumberedParaAR"/>
      </w:pPr>
      <w:r>
        <w:rPr>
          <w:rFonts w:hint="cs"/>
          <w:rtl/>
        </w:rPr>
        <w:t>وترد التقارير الخاصة بالبنود المذكورة</w:t>
      </w:r>
      <w:r>
        <w:rPr>
          <w:rFonts w:hint="cs"/>
          <w:rtl/>
          <w:lang w:val="fr-CH"/>
        </w:rPr>
        <w:t>، فيما عدا البند 21،</w:t>
      </w:r>
      <w:r>
        <w:rPr>
          <w:rFonts w:hint="cs"/>
          <w:rtl/>
        </w:rPr>
        <w:t xml:space="preserve"> في التقرير العام (الوثيقة </w:t>
      </w:r>
      <w:r w:rsidR="00882AE7">
        <w:t>A/55/13</w:t>
      </w:r>
      <w:r>
        <w:rPr>
          <w:rFonts w:hint="cs"/>
          <w:rtl/>
          <w:lang w:val="fr-CH"/>
        </w:rPr>
        <w:t>).</w:t>
      </w:r>
    </w:p>
    <w:p w:rsidR="007F1AAA" w:rsidRPr="004D0A41" w:rsidRDefault="007F1AAA" w:rsidP="007F1AAA">
      <w:pPr>
        <w:pStyle w:val="NumberedParaAR"/>
      </w:pPr>
      <w:r>
        <w:rPr>
          <w:rFonts w:hint="cs"/>
          <w:rtl/>
          <w:lang w:val="fr-CH"/>
        </w:rPr>
        <w:t>ويرد التقرير الخاص بالبند 21 في هذه الوثيقة.</w:t>
      </w:r>
    </w:p>
    <w:p w:rsidR="007F1AAA" w:rsidRPr="00AE1959" w:rsidRDefault="007F1AAA" w:rsidP="00F8327A">
      <w:pPr>
        <w:pStyle w:val="NumberedParaAR"/>
      </w:pPr>
      <w:r>
        <w:rPr>
          <w:rFonts w:hint="cs"/>
          <w:rtl/>
        </w:rPr>
        <w:t>وانتخب</w:t>
      </w:r>
      <w:r w:rsidR="00F974A2">
        <w:rPr>
          <w:rFonts w:hint="cs"/>
          <w:rtl/>
          <w:lang w:val="fr-CH"/>
        </w:rPr>
        <w:t xml:space="preserve">ت </w:t>
      </w:r>
      <w:r>
        <w:rPr>
          <w:rFonts w:hint="cs"/>
          <w:rtl/>
        </w:rPr>
        <w:t xml:space="preserve"> </w:t>
      </w:r>
      <w:r w:rsidR="00F974A2">
        <w:rPr>
          <w:rFonts w:hint="cs"/>
          <w:rtl/>
        </w:rPr>
        <w:t xml:space="preserve">السيدة </w:t>
      </w:r>
      <w:proofErr w:type="spellStart"/>
      <w:r w:rsidR="00F974A2">
        <w:rPr>
          <w:rFonts w:hint="cs"/>
          <w:rtl/>
        </w:rPr>
        <w:t>سر</w:t>
      </w:r>
      <w:r w:rsidR="00F8327A">
        <w:rPr>
          <w:rFonts w:hint="cs"/>
          <w:rtl/>
        </w:rPr>
        <w:t>ناي</w:t>
      </w:r>
      <w:proofErr w:type="spellEnd"/>
      <w:r w:rsidR="00F974A2">
        <w:rPr>
          <w:rFonts w:hint="cs"/>
          <w:rtl/>
        </w:rPr>
        <w:t xml:space="preserve"> </w:t>
      </w:r>
      <w:proofErr w:type="spellStart"/>
      <w:r w:rsidR="00F974A2">
        <w:rPr>
          <w:rFonts w:hint="cs"/>
          <w:rtl/>
        </w:rPr>
        <w:t>غنبيار</w:t>
      </w:r>
      <w:proofErr w:type="spellEnd"/>
      <w:r>
        <w:rPr>
          <w:rFonts w:hint="cs"/>
          <w:rtl/>
        </w:rPr>
        <w:t xml:space="preserve"> (</w:t>
      </w:r>
      <w:r w:rsidR="00F974A2">
        <w:rPr>
          <w:rFonts w:hint="cs"/>
          <w:rtl/>
        </w:rPr>
        <w:t>منغوليا</w:t>
      </w:r>
      <w:r>
        <w:rPr>
          <w:rFonts w:hint="cs"/>
          <w:rtl/>
        </w:rPr>
        <w:t>)</w:t>
      </w:r>
      <w:r w:rsidRPr="00A979D3">
        <w:rPr>
          <w:rFonts w:hint="cs"/>
          <w:rtl/>
        </w:rPr>
        <w:t xml:space="preserve"> </w:t>
      </w:r>
      <w:r>
        <w:rPr>
          <w:rFonts w:hint="cs"/>
          <w:rtl/>
        </w:rPr>
        <w:t>رئيس</w:t>
      </w:r>
      <w:r w:rsidR="00F974A2">
        <w:rPr>
          <w:rFonts w:hint="cs"/>
          <w:rtl/>
        </w:rPr>
        <w:t>ة</w:t>
      </w:r>
      <w:r>
        <w:rPr>
          <w:rFonts w:hint="cs"/>
          <w:rtl/>
        </w:rPr>
        <w:t xml:space="preserve"> للجمعية</w:t>
      </w:r>
      <w:r>
        <w:rPr>
          <w:rFonts w:hint="cs"/>
          <w:rtl/>
          <w:lang w:val="fr-CH"/>
        </w:rPr>
        <w:t>.</w:t>
      </w:r>
    </w:p>
    <w:p w:rsidR="007F1AAA" w:rsidRDefault="007F1AAA" w:rsidP="007F1AAA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7F1AAA" w:rsidRPr="00A979D3" w:rsidRDefault="007F1AAA" w:rsidP="007A1B8E">
      <w:pPr>
        <w:pStyle w:val="NormalParaAR"/>
        <w:spacing w:before="480" w:after="0" w:line="400" w:lineRule="exact"/>
        <w:rPr>
          <w:sz w:val="40"/>
          <w:szCs w:val="40"/>
          <w:rtl/>
        </w:rPr>
      </w:pPr>
      <w:r w:rsidRPr="00A979D3">
        <w:rPr>
          <w:rFonts w:hint="cs"/>
          <w:sz w:val="40"/>
          <w:szCs w:val="40"/>
          <w:rtl/>
        </w:rPr>
        <w:lastRenderedPageBreak/>
        <w:t xml:space="preserve">البند </w:t>
      </w:r>
      <w:r>
        <w:rPr>
          <w:rFonts w:hint="cs"/>
          <w:sz w:val="40"/>
          <w:szCs w:val="40"/>
          <w:rtl/>
        </w:rPr>
        <w:t>21</w:t>
      </w:r>
      <w:r w:rsidRPr="00A979D3">
        <w:rPr>
          <w:rFonts w:hint="cs"/>
          <w:sz w:val="40"/>
          <w:szCs w:val="40"/>
          <w:rtl/>
        </w:rPr>
        <w:t xml:space="preserve"> من جدول الأعمال الموحد</w:t>
      </w:r>
    </w:p>
    <w:p w:rsidR="007F1AAA" w:rsidRPr="00A979D3" w:rsidRDefault="007F1AAA" w:rsidP="007A1B8E">
      <w:pPr>
        <w:pStyle w:val="NormalParaAR"/>
        <w:spacing w:line="400" w:lineRule="exact"/>
        <w:rPr>
          <w:sz w:val="40"/>
          <w:szCs w:val="40"/>
          <w:rtl/>
        </w:rPr>
      </w:pPr>
      <w:r w:rsidRPr="00A979D3">
        <w:rPr>
          <w:rFonts w:hint="cs"/>
          <w:sz w:val="40"/>
          <w:szCs w:val="40"/>
          <w:rtl/>
        </w:rPr>
        <w:t>نظام لاهاي</w:t>
      </w:r>
    </w:p>
    <w:p w:rsidR="009C31B6" w:rsidRPr="00051817" w:rsidRDefault="009C31B6" w:rsidP="009C31B6">
      <w:pPr>
        <w:pStyle w:val="NumberedParaAR"/>
        <w:rPr>
          <w:rtl/>
          <w:cs/>
        </w:rPr>
      </w:pPr>
      <w:r w:rsidRPr="00051817">
        <w:rPr>
          <w:rtl/>
        </w:rPr>
        <w:t>افتتح</w:t>
      </w:r>
      <w:r w:rsidR="00F974A2">
        <w:rPr>
          <w:rFonts w:hint="cs"/>
          <w:rtl/>
        </w:rPr>
        <w:t>ت</w:t>
      </w:r>
      <w:r w:rsidRPr="00051817">
        <w:rPr>
          <w:rtl/>
        </w:rPr>
        <w:t xml:space="preserve"> الرئيس</w:t>
      </w:r>
      <w:r w:rsidR="00F974A2">
        <w:rPr>
          <w:rFonts w:hint="cs"/>
          <w:rtl/>
        </w:rPr>
        <w:t>ة</w:t>
      </w:r>
      <w:r w:rsidRPr="00051817">
        <w:rPr>
          <w:rtl/>
        </w:rPr>
        <w:t xml:space="preserve"> الاجتماع ورحب</w:t>
      </w:r>
      <w:r w:rsidR="00F974A2">
        <w:rPr>
          <w:rFonts w:hint="cs"/>
          <w:rtl/>
        </w:rPr>
        <w:t>ت</w:t>
      </w:r>
      <w:r w:rsidRPr="00051817">
        <w:rPr>
          <w:rtl/>
        </w:rPr>
        <w:t xml:space="preserve"> بالوفود إلى اتحاد لاهاي</w:t>
      </w:r>
      <w:r w:rsidRPr="00051817">
        <w:rPr>
          <w:cs/>
        </w:rPr>
        <w:t>‎</w:t>
      </w:r>
      <w:r w:rsidRPr="00051817">
        <w:rPr>
          <w:rFonts w:hint="cs"/>
          <w:rtl/>
          <w:cs/>
        </w:rPr>
        <w:t>.</w:t>
      </w:r>
    </w:p>
    <w:p w:rsidR="009C31B6" w:rsidRPr="00292902" w:rsidRDefault="009C31B6" w:rsidP="009C31B6">
      <w:pPr>
        <w:pStyle w:val="NumberedParaAR"/>
        <w:rPr>
          <w:rtl/>
        </w:rPr>
      </w:pPr>
      <w:r w:rsidRPr="00292902">
        <w:rPr>
          <w:rFonts w:hint="cs"/>
          <w:rtl/>
        </w:rPr>
        <w:t>وأشار</w:t>
      </w:r>
      <w:r w:rsidR="00F974A2">
        <w:rPr>
          <w:rFonts w:hint="cs"/>
          <w:rtl/>
        </w:rPr>
        <w:t>ت</w:t>
      </w:r>
      <w:r w:rsidRPr="00292902">
        <w:rPr>
          <w:rFonts w:hint="cs"/>
          <w:rtl/>
        </w:rPr>
        <w:t xml:space="preserve"> الرئيس</w:t>
      </w:r>
      <w:r w:rsidR="00F974A2">
        <w:rPr>
          <w:rFonts w:hint="cs"/>
          <w:rtl/>
        </w:rPr>
        <w:t>ة</w:t>
      </w:r>
      <w:r w:rsidRPr="00292902">
        <w:rPr>
          <w:rFonts w:hint="cs"/>
          <w:rtl/>
        </w:rPr>
        <w:t xml:space="preserve"> إلى وثيقة جنيف لاتفاق لاهاي بشأن التسجيل الدولي للتصاميم الصناعية وتحديداً انضمام اليابان إليها وتصديق الولايات المتحدة الأمريكية عليها، </w:t>
      </w:r>
      <w:r w:rsidRPr="00292902">
        <w:rPr>
          <w:rtl/>
        </w:rPr>
        <w:t>ورحب</w:t>
      </w:r>
      <w:r w:rsidR="00F974A2">
        <w:rPr>
          <w:rFonts w:hint="cs"/>
          <w:rtl/>
        </w:rPr>
        <w:t>ت</w:t>
      </w:r>
      <w:r w:rsidRPr="00292902">
        <w:rPr>
          <w:rtl/>
        </w:rPr>
        <w:t xml:space="preserve"> بمشاركتهما لأول مرة كعضوين في جمعية اتحاد لاهاي.</w:t>
      </w:r>
    </w:p>
    <w:p w:rsidR="009C31B6" w:rsidRPr="00292902" w:rsidRDefault="009C31B6" w:rsidP="00F8327A">
      <w:pPr>
        <w:pStyle w:val="Heading3AR"/>
        <w:spacing w:after="240"/>
        <w:rPr>
          <w:rtl/>
        </w:rPr>
      </w:pPr>
      <w:r w:rsidRPr="00292902">
        <w:rPr>
          <w:rtl/>
        </w:rPr>
        <w:t>التقرير النهائي عن برنامج تحديث تكنولوجيا المعلومات</w:t>
      </w:r>
      <w:r w:rsidRPr="00292902">
        <w:rPr>
          <w:rFonts w:hint="cs"/>
          <w:rtl/>
        </w:rPr>
        <w:t xml:space="preserve"> (</w:t>
      </w:r>
      <w:r w:rsidRPr="00292902">
        <w:rPr>
          <w:rtl/>
        </w:rPr>
        <w:t>‏نظام لاهاي للتسجيل الدولي</w:t>
      </w:r>
      <w:r w:rsidRPr="00292902">
        <w:rPr>
          <w:rFonts w:hint="cs"/>
          <w:rtl/>
        </w:rPr>
        <w:t>):</w:t>
      </w:r>
    </w:p>
    <w:p w:rsidR="009C31B6" w:rsidRPr="00292902" w:rsidRDefault="009C31B6" w:rsidP="009C31B6">
      <w:pPr>
        <w:pStyle w:val="NumberedParaAR"/>
      </w:pPr>
      <w:r w:rsidRPr="00292902">
        <w:rPr>
          <w:rFonts w:hint="cs"/>
          <w:rtl/>
        </w:rPr>
        <w:t xml:space="preserve">استندت المناقشات إلى الوثيقة </w:t>
      </w:r>
      <w:r w:rsidRPr="00292902">
        <w:t>H/A/35/1</w:t>
      </w:r>
      <w:r w:rsidRPr="00292902">
        <w:rPr>
          <w:rFonts w:hint="cs"/>
          <w:rtl/>
          <w:lang w:bidi="ar-EG"/>
        </w:rPr>
        <w:t>.</w:t>
      </w:r>
    </w:p>
    <w:p w:rsidR="009C31B6" w:rsidRPr="00292902" w:rsidRDefault="00F8327A" w:rsidP="009C31B6">
      <w:pPr>
        <w:pStyle w:val="NumberedParaAR"/>
      </w:pPr>
      <w:r>
        <w:rPr>
          <w:rFonts w:hint="cs"/>
          <w:rtl/>
        </w:rPr>
        <w:t>و</w:t>
      </w:r>
      <w:r w:rsidR="009C31B6" w:rsidRPr="00292902">
        <w:rPr>
          <w:rtl/>
        </w:rPr>
        <w:t xml:space="preserve">قدمت الأمانة الوثيقة وعرضت التقدم المحرز في برنامج تحديث تكنولوجيا المعلومات منذ جمعية اتحاد لاهاي </w:t>
      </w:r>
      <w:r w:rsidR="009C31B6" w:rsidRPr="00292902">
        <w:rPr>
          <w:rFonts w:hint="cs"/>
          <w:rtl/>
        </w:rPr>
        <w:t>الماضية</w:t>
      </w:r>
      <w:r w:rsidR="009C31B6" w:rsidRPr="00292902">
        <w:rPr>
          <w:rtl/>
        </w:rPr>
        <w:t>.</w:t>
      </w:r>
    </w:p>
    <w:p w:rsidR="009C31B6" w:rsidRPr="00292902" w:rsidRDefault="009C31B6" w:rsidP="009C31B6">
      <w:pPr>
        <w:pStyle w:val="NumberedParaAR"/>
      </w:pPr>
      <w:r w:rsidRPr="00292902">
        <w:rPr>
          <w:rFonts w:hint="cs"/>
          <w:rtl/>
        </w:rPr>
        <w:t xml:space="preserve">وذكَّرت الأمانة بتعليق </w:t>
      </w:r>
      <w:r w:rsidRPr="00292902">
        <w:rPr>
          <w:rtl/>
        </w:rPr>
        <w:t>أنشطة المرحلة الثانية لسجل لاهاي</w:t>
      </w:r>
      <w:r w:rsidRPr="00292902">
        <w:rPr>
          <w:rFonts w:hint="cs"/>
          <w:rtl/>
        </w:rPr>
        <w:t xml:space="preserve">، منذ الجمعية الماضية، في انتظار </w:t>
      </w:r>
      <w:r w:rsidRPr="00292902">
        <w:rPr>
          <w:rtl/>
        </w:rPr>
        <w:t>الانضمام القريب</w:t>
      </w:r>
      <w:r w:rsidRPr="00292902">
        <w:rPr>
          <w:rFonts w:hint="cs"/>
          <w:rtl/>
        </w:rPr>
        <w:t xml:space="preserve"> آنذاك</w:t>
      </w:r>
      <w:r w:rsidRPr="00292902">
        <w:rPr>
          <w:rtl/>
        </w:rPr>
        <w:t xml:space="preserve"> لدول أعضاء جديدة إلى نظام لاهاي</w:t>
      </w:r>
      <w:r w:rsidRPr="00292902">
        <w:rPr>
          <w:rFonts w:hint="cs"/>
          <w:rtl/>
        </w:rPr>
        <w:t>، وأن هذه الأنشطة ست</w:t>
      </w:r>
      <w:r>
        <w:rPr>
          <w:rFonts w:hint="cs"/>
          <w:rtl/>
        </w:rPr>
        <w:t>ُ</w:t>
      </w:r>
      <w:r w:rsidRPr="00292902">
        <w:rPr>
          <w:rFonts w:hint="cs"/>
          <w:rtl/>
        </w:rPr>
        <w:t xml:space="preserve">ستأنف لدى استكمال واستقرار نظام تكنولوجيا المعلومات الجديد والتغييرات الإجرائية المزمع إدخالها في </w:t>
      </w:r>
      <w:r w:rsidRPr="00292902">
        <w:rPr>
          <w:rtl/>
        </w:rPr>
        <w:t>نظام تكنولوجيا المعلومات القديم</w:t>
      </w:r>
      <w:r w:rsidRPr="00292902">
        <w:rPr>
          <w:rFonts w:hint="cs"/>
          <w:rtl/>
        </w:rPr>
        <w:t>.</w:t>
      </w:r>
    </w:p>
    <w:p w:rsidR="009C31B6" w:rsidRPr="00292902" w:rsidRDefault="009C31B6" w:rsidP="009C31B6">
      <w:pPr>
        <w:pStyle w:val="NumberedParaAR"/>
      </w:pPr>
      <w:r w:rsidRPr="00292902">
        <w:rPr>
          <w:rFonts w:hint="cs"/>
          <w:rtl/>
        </w:rPr>
        <w:t xml:space="preserve">وذكَّرت الأمانة أيضاً بأن عملية </w:t>
      </w:r>
      <w:r w:rsidRPr="00292902">
        <w:rPr>
          <w:rtl/>
        </w:rPr>
        <w:t>التثبيت والتحقق المستقلة</w:t>
      </w:r>
      <w:r w:rsidRPr="00292902">
        <w:rPr>
          <w:rFonts w:hint="cs"/>
          <w:rtl/>
        </w:rPr>
        <w:t xml:space="preserve"> </w:t>
      </w:r>
      <w:r w:rsidRPr="00292902">
        <w:rPr>
          <w:rtl/>
        </w:rPr>
        <w:t>التي يجريها حاليا</w:t>
      </w:r>
      <w:r w:rsidRPr="00292902">
        <w:rPr>
          <w:rFonts w:hint="cs"/>
          <w:rtl/>
        </w:rPr>
        <w:t>ً</w:t>
      </w:r>
      <w:r w:rsidRPr="00292902">
        <w:rPr>
          <w:rtl/>
        </w:rPr>
        <w:t xml:space="preserve"> سجل مدريد ستكون مفيدة أيضا</w:t>
      </w:r>
      <w:r w:rsidRPr="00292902">
        <w:rPr>
          <w:rFonts w:hint="cs"/>
          <w:rtl/>
        </w:rPr>
        <w:t>ً</w:t>
      </w:r>
      <w:r w:rsidRPr="00292902">
        <w:rPr>
          <w:rtl/>
        </w:rPr>
        <w:t xml:space="preserve"> لسجل لاهاي </w:t>
      </w:r>
      <w:r w:rsidRPr="00292902">
        <w:rPr>
          <w:rFonts w:hint="cs"/>
          <w:rtl/>
        </w:rPr>
        <w:t>عند استئناف أنشطة</w:t>
      </w:r>
      <w:r w:rsidRPr="00292902">
        <w:rPr>
          <w:rtl/>
        </w:rPr>
        <w:t xml:space="preserve"> المرحلة الثانية.</w:t>
      </w:r>
    </w:p>
    <w:p w:rsidR="009C31B6" w:rsidRPr="00292902" w:rsidRDefault="009C31B6" w:rsidP="009C31B6">
      <w:pPr>
        <w:pStyle w:val="NumberedParaAR"/>
      </w:pPr>
      <w:r w:rsidRPr="00292902">
        <w:rPr>
          <w:rFonts w:hint="cs"/>
          <w:rtl/>
        </w:rPr>
        <w:t>وأعلنت الأمانة استقرار التغييرات الإجرائية في نظام تكنولوجيا المعلومات القديم، واستئناف تخطيط أنشطة المرحلة الثانية. ويُزمع تنفيذ المرحلة الثانية لنظام لهاي في الفصل الثاني من عام 2016.</w:t>
      </w:r>
    </w:p>
    <w:p w:rsidR="009C31B6" w:rsidRPr="00292902" w:rsidRDefault="009C31B6" w:rsidP="009C31B6">
      <w:pPr>
        <w:pStyle w:val="NumberedParaAR"/>
      </w:pPr>
      <w:r w:rsidRPr="00292902">
        <w:rPr>
          <w:rFonts w:hint="cs"/>
          <w:rtl/>
        </w:rPr>
        <w:t xml:space="preserve">وفي الختام، أشارت الأمانة إلى أن المرفق الأول يضم قائمة بالتوصيات المنبثقة عن عملية التثبيت والتحقق، بينما ترد </w:t>
      </w:r>
      <w:r w:rsidRPr="00292902">
        <w:rPr>
          <w:rtl/>
        </w:rPr>
        <w:t>النتائج المُحقّقة في إطار برنامج تحديث تكنولوجيا المعلومات</w:t>
      </w:r>
      <w:r w:rsidRPr="00292902">
        <w:rPr>
          <w:rFonts w:hint="cs"/>
          <w:rtl/>
        </w:rPr>
        <w:t xml:space="preserve"> في المرفق الثاني.</w:t>
      </w:r>
    </w:p>
    <w:p w:rsidR="009C31B6" w:rsidRDefault="003961B5" w:rsidP="009C31B6">
      <w:pPr>
        <w:pStyle w:val="ReportDecisionParaAR"/>
      </w:pPr>
      <w:r>
        <w:rPr>
          <w:rFonts w:hint="cs"/>
          <w:rtl/>
          <w:lang w:val="fr-CH"/>
        </w:rPr>
        <w:t>و</w:t>
      </w:r>
      <w:r w:rsidR="009C31B6" w:rsidRPr="00292902">
        <w:rPr>
          <w:rFonts w:hint="cs"/>
          <w:rtl/>
        </w:rPr>
        <w:t>أحاطت الجمعية علماً بمضمون "</w:t>
      </w:r>
      <w:r w:rsidR="009C31B6" w:rsidRPr="00292902">
        <w:rPr>
          <w:rtl/>
        </w:rPr>
        <w:t>التقرير النهائي عن برنامج تحديث تكنولوجيا المعلومات</w:t>
      </w:r>
      <w:r w:rsidR="009C31B6" w:rsidRPr="00292902">
        <w:rPr>
          <w:rFonts w:hint="cs"/>
          <w:rtl/>
        </w:rPr>
        <w:t xml:space="preserve"> (</w:t>
      </w:r>
      <w:r w:rsidR="009C31B6" w:rsidRPr="00292902">
        <w:rPr>
          <w:rtl/>
        </w:rPr>
        <w:t>‏نظام لاهاي للتسجيل الدولي</w:t>
      </w:r>
      <w:r w:rsidR="009C31B6" w:rsidRPr="00292902">
        <w:rPr>
          <w:rFonts w:hint="cs"/>
          <w:rtl/>
        </w:rPr>
        <w:t xml:space="preserve">)" (الوثيقة </w:t>
      </w:r>
      <w:r w:rsidR="009C31B6" w:rsidRPr="00292902">
        <w:t>H/A/35/1</w:t>
      </w:r>
      <w:r w:rsidR="009C31B6" w:rsidRPr="00292902">
        <w:rPr>
          <w:rFonts w:hint="cs"/>
          <w:rtl/>
          <w:lang w:bidi="ar-EG"/>
        </w:rPr>
        <w:t>).</w:t>
      </w:r>
    </w:p>
    <w:p w:rsidR="00EC1388" w:rsidRPr="007A1B8E" w:rsidRDefault="007A1B8E" w:rsidP="009C31B6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sectPr w:rsidR="00EC1388" w:rsidRPr="007A1B8E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AA" w:rsidRDefault="007F1AAA">
      <w:r>
        <w:separator/>
      </w:r>
    </w:p>
  </w:endnote>
  <w:endnote w:type="continuationSeparator" w:id="0">
    <w:p w:rsidR="007F1AAA" w:rsidRDefault="007F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AA" w:rsidRDefault="007F1AA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F1AAA" w:rsidRDefault="007F1AA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C1388" w:rsidP="003640F3">
    <w:r>
      <w:t>H</w:t>
    </w:r>
    <w:r w:rsidR="00772E46">
      <w:t>/</w:t>
    </w:r>
    <w:r w:rsidR="0059089F">
      <w:t>A</w:t>
    </w:r>
    <w:r w:rsidR="002F77FC">
      <w:t>/</w:t>
    </w:r>
    <w:r w:rsidR="005F1785">
      <w:t>3</w:t>
    </w:r>
    <w:r w:rsidR="001D5761">
      <w:t>5</w:t>
    </w:r>
    <w:r w:rsidR="002F77FC">
      <w:t>/</w:t>
    </w:r>
    <w:r w:rsidR="007F1AAA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1479A3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B4CA4A7C"/>
    <w:lvl w:ilvl="0" w:tplc="EA4CF26C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A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38DD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0314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3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79A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5761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0F3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1B5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1E67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A5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1785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1B8E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1AAA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2AE7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324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2A97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31B6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6AEB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7E2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2B2"/>
    <w:rsid w:val="00AC2FD0"/>
    <w:rsid w:val="00AC3DBD"/>
    <w:rsid w:val="00AC3E1F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FC7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5DC0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75E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388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27A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974A2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ReportDecisionParaAR">
    <w:name w:val="Report_Decision_Para_AR"/>
    <w:basedOn w:val="NumberedParaAR"/>
    <w:next w:val="NumberedParaAR"/>
    <w:autoRedefine/>
    <w:qFormat/>
    <w:rsid w:val="009C31B6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ReportDecisionParaAR">
    <w:name w:val="Report_Decision_Para_AR"/>
    <w:basedOn w:val="NumberedParaAR"/>
    <w:next w:val="NumberedParaAR"/>
    <w:autoRedefine/>
    <w:qFormat/>
    <w:rsid w:val="009C31B6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H_A_3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AD07-7B74-4FEA-A13B-CEF38EB5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H_A_35_AR.dotx</Template>
  <TotalTime>6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H/A/35/2 Prov. (Arabic)</vt:lpstr>
    </vt:vector>
  </TitlesOfParts>
  <Company>World Intellectual Property Organization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H/A/35/2 Prov. (Arabic)</dc:title>
  <dc:creator>Ahmed Hassan</dc:creator>
  <cp:lastModifiedBy>AHMIDOUCH Noureddine</cp:lastModifiedBy>
  <cp:revision>11</cp:revision>
  <cp:lastPrinted>2016-01-14T13:16:00Z</cp:lastPrinted>
  <dcterms:created xsi:type="dcterms:W3CDTF">2015-10-08T18:32:00Z</dcterms:created>
  <dcterms:modified xsi:type="dcterms:W3CDTF">2016-01-14T13:16:00Z</dcterms:modified>
</cp:coreProperties>
</file>