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9755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D472F" w:rsidP="0073788A">
      <w:pPr>
        <w:bidi w:val="0"/>
        <w:rPr>
          <w:rFonts w:ascii="Arial Black" w:hAnsi="Arial Black"/>
          <w:caps/>
          <w:sz w:val="15"/>
          <w:szCs w:val="15"/>
        </w:rPr>
      </w:pPr>
      <w:bookmarkStart w:id="1" w:name="Code"/>
      <w:bookmarkEnd w:id="1"/>
      <w:r w:rsidRPr="009D472F">
        <w:rPr>
          <w:rFonts w:ascii="Arial Black" w:hAnsi="Arial Black"/>
          <w:b/>
          <w:caps/>
          <w:sz w:val="15"/>
          <w:szCs w:val="15"/>
        </w:rPr>
        <w:t>H/A/</w:t>
      </w:r>
      <w:r w:rsidR="0073788A">
        <w:rPr>
          <w:rFonts w:ascii="Arial Black" w:hAnsi="Arial Black"/>
          <w:b/>
          <w:caps/>
          <w:sz w:val="15"/>
          <w:szCs w:val="15"/>
        </w:rPr>
        <w:t>42</w:t>
      </w:r>
      <w:r w:rsidRPr="009D472F">
        <w:rPr>
          <w:rFonts w:ascii="Arial Black" w:hAnsi="Arial Black"/>
          <w:b/>
          <w:caps/>
          <w:sz w:val="15"/>
          <w:szCs w:val="15"/>
        </w:rPr>
        <w:t>/</w:t>
      </w:r>
      <w:r w:rsidR="008E7AB8">
        <w:rPr>
          <w:rFonts w:ascii="Arial Black" w:hAnsi="Arial Black"/>
          <w:b/>
          <w:caps/>
          <w:sz w:val="15"/>
          <w:szCs w:val="15"/>
        </w:rPr>
        <w:t>2</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rsidR="008B2CC1" w:rsidRPr="00CC3E2D" w:rsidRDefault="00CC3E2D" w:rsidP="008E7AB8">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8E7AB8">
        <w:rPr>
          <w:rFonts w:asciiTheme="minorHAnsi" w:hAnsiTheme="minorHAnsi" w:cstheme="minorHAnsi" w:hint="cs"/>
          <w:b/>
          <w:bCs/>
          <w:caps/>
          <w:sz w:val="15"/>
          <w:szCs w:val="15"/>
          <w:rtl/>
        </w:rPr>
        <w:t>30</w:t>
      </w:r>
      <w:r w:rsidR="00735F6D">
        <w:rPr>
          <w:rFonts w:asciiTheme="minorHAnsi" w:hAnsiTheme="minorHAnsi" w:cstheme="minorHAnsi" w:hint="cs"/>
          <w:b/>
          <w:bCs/>
          <w:caps/>
          <w:sz w:val="15"/>
          <w:szCs w:val="15"/>
          <w:rtl/>
        </w:rPr>
        <w:t xml:space="preserve"> </w:t>
      </w:r>
      <w:r w:rsidR="00216575">
        <w:rPr>
          <w:rFonts w:asciiTheme="minorHAnsi" w:hAnsiTheme="minorHAnsi" w:cstheme="minorHAnsi" w:hint="cs"/>
          <w:b/>
          <w:bCs/>
          <w:caps/>
          <w:sz w:val="15"/>
          <w:szCs w:val="15"/>
          <w:rtl/>
        </w:rPr>
        <w:t>س</w:t>
      </w:r>
      <w:r w:rsidR="008E7AB8">
        <w:rPr>
          <w:rFonts w:asciiTheme="minorHAnsi" w:hAnsiTheme="minorHAnsi" w:cstheme="minorHAnsi" w:hint="cs"/>
          <w:b/>
          <w:bCs/>
          <w:caps/>
          <w:sz w:val="15"/>
          <w:szCs w:val="15"/>
          <w:rtl/>
        </w:rPr>
        <w:t>بتمبر</w:t>
      </w:r>
      <w:r w:rsidR="00735F6D">
        <w:rPr>
          <w:rFonts w:asciiTheme="minorHAnsi" w:hAnsiTheme="minorHAnsi" w:cstheme="minorHAnsi" w:hint="cs"/>
          <w:b/>
          <w:bCs/>
          <w:caps/>
          <w:sz w:val="15"/>
          <w:szCs w:val="15"/>
          <w:rtl/>
        </w:rPr>
        <w:t xml:space="preserve"> 2022</w:t>
      </w:r>
    </w:p>
    <w:bookmarkEnd w:id="3"/>
    <w:p w:rsidR="009D472F" w:rsidRDefault="009D472F" w:rsidP="009D472F">
      <w:pPr>
        <w:pStyle w:val="Heading1"/>
        <w:rPr>
          <w:rtl/>
        </w:rPr>
      </w:pPr>
      <w:r w:rsidRPr="009D472F">
        <w:rPr>
          <w:rtl/>
        </w:rPr>
        <w:t>الاتحاد الخاص للإيداع الدولي للتصاميم الصناعية (اتحاد لاهاي)</w:t>
      </w:r>
    </w:p>
    <w:p w:rsidR="009D472F" w:rsidRPr="009D472F" w:rsidRDefault="009D472F" w:rsidP="009D472F">
      <w:pPr>
        <w:pStyle w:val="Heading1"/>
      </w:pPr>
      <w:r>
        <w:rPr>
          <w:rFonts w:hint="cs"/>
          <w:rtl/>
        </w:rPr>
        <w:t>الجمعية</w:t>
      </w:r>
    </w:p>
    <w:p w:rsidR="00A90F0A" w:rsidRPr="00D67EAE" w:rsidRDefault="00D67EAE" w:rsidP="0073788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3788A">
        <w:rPr>
          <w:rFonts w:asciiTheme="minorHAnsi" w:hAnsiTheme="minorHAnsi" w:hint="cs"/>
          <w:bCs/>
          <w:sz w:val="24"/>
          <w:szCs w:val="24"/>
          <w:rtl/>
        </w:rPr>
        <w:t>الثانية</w:t>
      </w:r>
      <w:r w:rsidR="009D472F" w:rsidRPr="009D472F">
        <w:rPr>
          <w:rFonts w:asciiTheme="minorHAnsi" w:hAnsiTheme="minorHAnsi"/>
          <w:bCs/>
          <w:sz w:val="24"/>
          <w:szCs w:val="24"/>
          <w:rtl/>
        </w:rPr>
        <w:t xml:space="preserve"> والأربعون </w:t>
      </w:r>
      <w:r w:rsidR="009A5ED7">
        <w:rPr>
          <w:rFonts w:asciiTheme="minorHAnsi" w:hAnsiTheme="minorHAnsi" w:cstheme="minorHAnsi" w:hint="cs"/>
          <w:bCs/>
          <w:sz w:val="24"/>
          <w:szCs w:val="24"/>
          <w:rtl/>
        </w:rPr>
        <w:t xml:space="preserve">(الدورة </w:t>
      </w:r>
      <w:r w:rsidR="0073788A">
        <w:rPr>
          <w:rFonts w:asciiTheme="minorHAnsi" w:hAnsiTheme="minorHAnsi" w:cstheme="minorHAnsi" w:hint="cs"/>
          <w:bCs/>
          <w:sz w:val="24"/>
          <w:szCs w:val="24"/>
          <w:rtl/>
        </w:rPr>
        <w:t>الاستثنائية</w:t>
      </w:r>
      <w:r w:rsidR="009A5ED7">
        <w:rPr>
          <w:rFonts w:asciiTheme="minorHAnsi" w:hAnsiTheme="minorHAnsi" w:cstheme="minorHAnsi" w:hint="cs"/>
          <w:bCs/>
          <w:sz w:val="24"/>
          <w:szCs w:val="24"/>
          <w:rtl/>
        </w:rPr>
        <w:t xml:space="preserve"> </w:t>
      </w:r>
      <w:r w:rsidR="0073788A">
        <w:rPr>
          <w:rFonts w:asciiTheme="minorHAnsi" w:hAnsiTheme="minorHAnsi" w:hint="cs"/>
          <w:bCs/>
          <w:sz w:val="24"/>
          <w:szCs w:val="24"/>
          <w:rtl/>
        </w:rPr>
        <w:t>التاسعة</w:t>
      </w:r>
      <w:r w:rsidR="009D472F" w:rsidRPr="009D472F">
        <w:rPr>
          <w:rFonts w:asciiTheme="minorHAnsi" w:hAnsiTheme="minorHAnsi"/>
          <w:bCs/>
          <w:sz w:val="24"/>
          <w:szCs w:val="24"/>
          <w:rtl/>
        </w:rPr>
        <w:t xml:space="preserve"> </w:t>
      </w:r>
      <w:r w:rsidR="0073788A">
        <w:rPr>
          <w:rFonts w:asciiTheme="minorHAnsi" w:hAnsiTheme="minorHAnsi" w:cstheme="minorHAnsi" w:hint="cs"/>
          <w:bCs/>
          <w:sz w:val="24"/>
          <w:szCs w:val="24"/>
          <w:rtl/>
        </w:rPr>
        <w:t>عشرة</w:t>
      </w:r>
      <w:r w:rsidR="009A5ED7">
        <w:rPr>
          <w:rFonts w:asciiTheme="minorHAnsi" w:hAnsiTheme="minorHAnsi" w:cstheme="minorHAnsi" w:hint="cs"/>
          <w:bCs/>
          <w:sz w:val="24"/>
          <w:szCs w:val="24"/>
          <w:rtl/>
        </w:rPr>
        <w:t>)</w:t>
      </w:r>
    </w:p>
    <w:p w:rsidR="008B2CC1" w:rsidRPr="00D67EAE" w:rsidRDefault="00D67EAE" w:rsidP="005220A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5220AE">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73788A">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73788A">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73788A">
        <w:rPr>
          <w:rFonts w:asciiTheme="minorHAnsi" w:hAnsiTheme="minorHAnsi" w:cstheme="minorHAnsi" w:hint="cs"/>
          <w:bCs/>
          <w:sz w:val="24"/>
          <w:szCs w:val="24"/>
          <w:rtl/>
        </w:rPr>
        <w:t>2022</w:t>
      </w:r>
    </w:p>
    <w:p w:rsidR="008B2CC1" w:rsidRPr="00D67EAE" w:rsidRDefault="00216575" w:rsidP="002652A6">
      <w:pPr>
        <w:spacing w:after="360"/>
        <w:outlineLvl w:val="0"/>
        <w:rPr>
          <w:rFonts w:asciiTheme="minorHAnsi" w:hAnsiTheme="minorHAnsi" w:cstheme="minorHAnsi"/>
          <w:caps/>
          <w:sz w:val="24"/>
        </w:rPr>
      </w:pPr>
      <w:bookmarkStart w:id="4" w:name="TitleOfDoc"/>
      <w:r w:rsidRPr="00216575">
        <w:rPr>
          <w:rFonts w:asciiTheme="minorHAnsi" w:hAnsiTheme="minorHAnsi"/>
          <w:caps/>
          <w:sz w:val="28"/>
          <w:szCs w:val="24"/>
          <w:rtl/>
        </w:rPr>
        <w:t>التقرير</w:t>
      </w:r>
    </w:p>
    <w:p w:rsidR="002928D3" w:rsidRDefault="008E7AB8" w:rsidP="008E7AB8">
      <w:pPr>
        <w:spacing w:after="1040"/>
        <w:rPr>
          <w:rFonts w:asciiTheme="minorHAnsi" w:hAnsiTheme="minorHAnsi" w:cstheme="minorHAnsi"/>
          <w:iCs/>
        </w:rPr>
      </w:pPr>
      <w:bookmarkStart w:id="5" w:name="Prepared"/>
      <w:bookmarkEnd w:id="4"/>
      <w:bookmarkEnd w:id="5"/>
      <w:r w:rsidRPr="008E7AB8">
        <w:rPr>
          <w:rFonts w:asciiTheme="minorHAnsi" w:hAnsiTheme="minorHAnsi"/>
          <w:iCs/>
          <w:rtl/>
        </w:rPr>
        <w:t>الذي اعتمدته الجمعية</w:t>
      </w:r>
    </w:p>
    <w:p w:rsidR="00216575" w:rsidRPr="00216575" w:rsidRDefault="00216575" w:rsidP="0071557E">
      <w:pPr>
        <w:pStyle w:val="ONUMA"/>
        <w:rPr>
          <w:rtl/>
        </w:rPr>
      </w:pPr>
      <w:r w:rsidRPr="00216575">
        <w:rPr>
          <w:rtl/>
        </w:rPr>
        <w:t xml:space="preserve">تناولت الجمعية البنود التالية التي تعنيها من جدول الأعمال الموحّد (الوثيقة </w:t>
      </w:r>
      <w:r w:rsidRPr="00216575">
        <w:t>A/63/1</w:t>
      </w:r>
      <w:r w:rsidRPr="00216575">
        <w:rPr>
          <w:rtl/>
        </w:rPr>
        <w:t>): 1 و2 و3 و4 و6 و8 و10"2" و11 و16 و19 و20 و21.</w:t>
      </w:r>
    </w:p>
    <w:p w:rsidR="00216575" w:rsidRDefault="00216575" w:rsidP="008E7AB8">
      <w:pPr>
        <w:pStyle w:val="ONUMA"/>
        <w:rPr>
          <w:rtl/>
        </w:rPr>
      </w:pPr>
      <w:r>
        <w:rPr>
          <w:rtl/>
        </w:rPr>
        <w:t xml:space="preserve">وترد التقارير الخاصة بالبنود المذكورة، فيما عدا البند 16، في التقرير العام (الوثيقة </w:t>
      </w:r>
      <w:r>
        <w:t>A/63/10</w:t>
      </w:r>
      <w:r>
        <w:rPr>
          <w:rtl/>
        </w:rPr>
        <w:t>).</w:t>
      </w:r>
    </w:p>
    <w:p w:rsidR="00216575" w:rsidRDefault="00216575" w:rsidP="00216575">
      <w:pPr>
        <w:pStyle w:val="ONUMA"/>
        <w:rPr>
          <w:rtl/>
        </w:rPr>
      </w:pPr>
      <w:r>
        <w:rPr>
          <w:rtl/>
        </w:rPr>
        <w:t>ويرد التقرير الخاص بالبند 16 في هذه الوثيقة.</w:t>
      </w:r>
    </w:p>
    <w:p w:rsidR="00216575" w:rsidRDefault="00216575" w:rsidP="00216575">
      <w:pPr>
        <w:pStyle w:val="ONUMA"/>
        <w:rPr>
          <w:rtl/>
        </w:rPr>
      </w:pPr>
      <w:r>
        <w:rPr>
          <w:rtl/>
        </w:rPr>
        <w:t>وترأس الاجتماع السيد ديفيد ر. جيرك (الولايات المتحدة الأمريكية)</w:t>
      </w:r>
      <w:r>
        <w:rPr>
          <w:rFonts w:hint="cs"/>
          <w:rtl/>
        </w:rPr>
        <w:t>،</w:t>
      </w:r>
      <w:r>
        <w:rPr>
          <w:rtl/>
        </w:rPr>
        <w:t xml:space="preserve"> رئيس الجمعية.</w:t>
      </w:r>
    </w:p>
    <w:p w:rsidR="00216575" w:rsidRDefault="00216575">
      <w:pPr>
        <w:bidi w:val="0"/>
        <w:rPr>
          <w:rFonts w:eastAsia="Times New Roman"/>
          <w:rtl/>
          <w:lang w:eastAsia="en-US"/>
        </w:rPr>
      </w:pPr>
      <w:r>
        <w:rPr>
          <w:rtl/>
        </w:rPr>
        <w:br w:type="page"/>
      </w:r>
    </w:p>
    <w:p w:rsidR="00216575" w:rsidRPr="00216575" w:rsidRDefault="00216575" w:rsidP="008E7AB8">
      <w:pPr>
        <w:pStyle w:val="Heading2"/>
        <w:tabs>
          <w:tab w:val="left" w:pos="3934"/>
        </w:tabs>
        <w:rPr>
          <w:i/>
          <w:iCs w:val="0"/>
          <w:rtl/>
        </w:rPr>
      </w:pPr>
      <w:r w:rsidRPr="00216575">
        <w:rPr>
          <w:i/>
          <w:iCs w:val="0"/>
          <w:rtl/>
        </w:rPr>
        <w:lastRenderedPageBreak/>
        <w:t>البند 16 من جدول الأعمال الموحّد</w:t>
      </w:r>
      <w:r w:rsidR="008E7AB8">
        <w:rPr>
          <w:i/>
          <w:iCs w:val="0"/>
          <w:rtl/>
        </w:rPr>
        <w:tab/>
      </w:r>
    </w:p>
    <w:p w:rsidR="00216575" w:rsidRPr="00216575" w:rsidRDefault="00216575" w:rsidP="00216575">
      <w:pPr>
        <w:pStyle w:val="Heading2"/>
        <w:spacing w:after="240"/>
        <w:rPr>
          <w:i/>
          <w:iCs w:val="0"/>
          <w:rtl/>
        </w:rPr>
      </w:pPr>
      <w:r w:rsidRPr="00216575">
        <w:rPr>
          <w:i/>
          <w:iCs w:val="0"/>
          <w:rtl/>
        </w:rPr>
        <w:t>نظام لاهاي</w:t>
      </w:r>
    </w:p>
    <w:p w:rsidR="0071557E" w:rsidRDefault="0071557E" w:rsidP="0071557E">
      <w:pPr>
        <w:pStyle w:val="ONUMA"/>
      </w:pPr>
      <w:r w:rsidRPr="0071557E">
        <w:rPr>
          <w:rtl/>
        </w:rPr>
        <w:t>رحب الرئيس بطرفين متعاقدين جديدين في جمعية اتحاد لاهاي منذ الدورة الأخيرة في أكتوبر 2021، وهما الصين وجامايكا.</w:t>
      </w:r>
    </w:p>
    <w:p w:rsidR="00216575" w:rsidRDefault="0071557E" w:rsidP="00216575">
      <w:pPr>
        <w:pStyle w:val="ONUMA"/>
      </w:pPr>
      <w:r>
        <w:rPr>
          <w:rFonts w:hint="cs"/>
          <w:rtl/>
        </w:rPr>
        <w:t>و</w:t>
      </w:r>
      <w:r w:rsidR="00216575">
        <w:rPr>
          <w:rtl/>
        </w:rPr>
        <w:t xml:space="preserve">استندت المناقشات إلى الوثيقة </w:t>
      </w:r>
      <w:r w:rsidR="00216575">
        <w:t>H/A/42/1</w:t>
      </w:r>
      <w:r w:rsidR="00216575">
        <w:rPr>
          <w:rtl/>
        </w:rPr>
        <w:t>.</w:t>
      </w:r>
    </w:p>
    <w:p w:rsidR="0071557E" w:rsidRDefault="0071557E" w:rsidP="0071557E">
      <w:pPr>
        <w:pStyle w:val="ONUMA"/>
      </w:pPr>
      <w:r>
        <w:rPr>
          <w:rFonts w:hint="cs"/>
          <w:rtl/>
        </w:rPr>
        <w:t>و</w:t>
      </w:r>
      <w:r w:rsidRPr="0071557E">
        <w:rPr>
          <w:rtl/>
        </w:rPr>
        <w:t>أوضحت الأمانة أن الوثيقة تحتوي على اقتراح لتعديل القاعدتين 21 و26 من اللائحة التنفيذية المشتركة لوثيقة 1999 ووثيقة 1960 لاتفاق لاهاي (المشار إليها فيما يلي بعبارة "اللائحة التنفيذية المشتركة")، على النحو الذي أوصى به الفريق العامل المعني بالتطوير القانوني لنظام لاهاي بشأن التسجيل الدولي للتصاميم الصناعية (المُشار إليه</w:t>
      </w:r>
      <w:r>
        <w:rPr>
          <w:rFonts w:hint="cs"/>
          <w:rtl/>
        </w:rPr>
        <w:t>ما</w:t>
      </w:r>
      <w:r>
        <w:rPr>
          <w:rtl/>
        </w:rPr>
        <w:t xml:space="preserve"> فيما يلي بعبار</w:t>
      </w:r>
      <w:r>
        <w:rPr>
          <w:rFonts w:hint="cs"/>
          <w:rtl/>
        </w:rPr>
        <w:t>تي</w:t>
      </w:r>
      <w:r w:rsidRPr="0071557E">
        <w:rPr>
          <w:rtl/>
        </w:rPr>
        <w:t xml:space="preserve"> "الفريق العامل"</w:t>
      </w:r>
      <w:r>
        <w:rPr>
          <w:rFonts w:hint="cs"/>
          <w:rtl/>
        </w:rPr>
        <w:t xml:space="preserve"> </w:t>
      </w:r>
      <w:r w:rsidRPr="0071557E">
        <w:rPr>
          <w:rtl/>
        </w:rPr>
        <w:t>و"نظام لاهاي"</w:t>
      </w:r>
      <w:r>
        <w:rPr>
          <w:rFonts w:hint="cs"/>
          <w:rtl/>
        </w:rPr>
        <w:t xml:space="preserve"> على التوالي</w:t>
      </w:r>
      <w:r w:rsidRPr="0071557E">
        <w:rPr>
          <w:rtl/>
        </w:rPr>
        <w:t xml:space="preserve">) في دورته العاشرة المنعقدة في ديسمبر 2021. وستنص التعديلات المقترحة على نشر جميع المعلومات المحدثة المتعلقة بالممثلين في </w:t>
      </w:r>
      <w:r w:rsidRPr="0071557E">
        <w:rPr>
          <w:i/>
          <w:iCs/>
          <w:rtl/>
        </w:rPr>
        <w:t>نشرة التصاميم الدولية</w:t>
      </w:r>
      <w:r w:rsidRPr="0071557E">
        <w:rPr>
          <w:rtl/>
        </w:rPr>
        <w:t>، بما في ذلك التغييرات اللاحقة التي تحدث بعد التسجيل الدولي. وأضافت الأمانة أن لائحة مدريد التنفيذية</w:t>
      </w:r>
      <w:r>
        <w:rPr>
          <w:rFonts w:hint="cs"/>
          <w:rtl/>
        </w:rPr>
        <w:t xml:space="preserve"> تطبق </w:t>
      </w:r>
      <w:r w:rsidRPr="0071557E">
        <w:rPr>
          <w:rtl/>
        </w:rPr>
        <w:t>بالفعل نفس الآلية فيما يتعلق بالممثلين. وأشارت الأمانة إلى أن التاريخ المقترح لبدء نفاذ هذه التعديلات هو 1 أبريل 2023. وبناءً عليه، ستنطبق التعديلات على تعيينات الممثلين وإلغائهم، فضلاً عن التغييرات في اسم أو عناوين الممثلين المسجلين في ذلك التاريخ وبعده.</w:t>
      </w:r>
    </w:p>
    <w:p w:rsidR="0071557E" w:rsidRDefault="0071557E" w:rsidP="0071557E">
      <w:pPr>
        <w:pStyle w:val="ONUMA"/>
      </w:pPr>
      <w:r w:rsidRPr="0071557E">
        <w:rPr>
          <w:rtl/>
        </w:rPr>
        <w:t>وصرح وفد الصين أن هذه هي المرة الأولى التي تشارك فيها الصين في جمعية اتحاد لاهاي كعضو، بعد انضمامها إلى اتفاق لاهاي، الذي دخل حيز النف</w:t>
      </w:r>
      <w:r>
        <w:rPr>
          <w:rFonts w:hint="cs"/>
          <w:rtl/>
        </w:rPr>
        <w:t>ا</w:t>
      </w:r>
      <w:r w:rsidRPr="0071557E">
        <w:rPr>
          <w:rtl/>
        </w:rPr>
        <w:t>ذ في 5 مايو 2022. وأعرب الوفد عن استعداده للمساهمة بشكل إيجابي</w:t>
      </w:r>
      <w:r>
        <w:rPr>
          <w:rFonts w:hint="cs"/>
          <w:rtl/>
        </w:rPr>
        <w:t xml:space="preserve"> </w:t>
      </w:r>
      <w:r w:rsidRPr="0071557E">
        <w:rPr>
          <w:rtl/>
        </w:rPr>
        <w:t xml:space="preserve">لتطوير نظام لاهاي. وسلط الوفد الضوء على أنه بين دخول </w:t>
      </w:r>
      <w:r>
        <w:rPr>
          <w:rFonts w:hint="cs"/>
          <w:rtl/>
        </w:rPr>
        <w:t xml:space="preserve">الاتفاق </w:t>
      </w:r>
      <w:r w:rsidRPr="0071557E">
        <w:rPr>
          <w:rtl/>
        </w:rPr>
        <w:t>حيز النف</w:t>
      </w:r>
      <w:r>
        <w:rPr>
          <w:rFonts w:hint="cs"/>
          <w:rtl/>
        </w:rPr>
        <w:t>ا</w:t>
      </w:r>
      <w:r w:rsidRPr="0071557E">
        <w:rPr>
          <w:rtl/>
        </w:rPr>
        <w:t xml:space="preserve">ذ </w:t>
      </w:r>
      <w:r>
        <w:rPr>
          <w:rFonts w:hint="cs"/>
          <w:rtl/>
        </w:rPr>
        <w:t xml:space="preserve">بالنسبة للصين </w:t>
      </w:r>
      <w:r w:rsidRPr="0071557E">
        <w:rPr>
          <w:rtl/>
        </w:rPr>
        <w:t>و1 يوليو 2022، قدم المستخدمون الصينيون بالفعل 353 طلبا دوليا، مما يدل على حماس المبتكرين الصينيين في استخدام أو الاستفادة من إمكانات نظام لاهاي لحماية ابتكاراتهم. وأعرب الوفد عن دعمه للتعديلات المقترحة مؤكدا أن تلك التعديلات كانت في مصلحة المستخدمين ومكاتب الأطراف المتعاقدة. وأعرب الوفد عن تقديره للتحسين المستمر لنظام لاهاي، وأعرب عن أمله في أن يكون التوسع اللغوي في المستقبل توجهاً هاماً لمزيد من التطوير من أجل توفير إمكانية وصول أكبر للمستخدمين العالميين.</w:t>
      </w:r>
    </w:p>
    <w:p w:rsidR="0071557E" w:rsidRDefault="0071557E" w:rsidP="0071557E">
      <w:pPr>
        <w:pStyle w:val="ONUMA"/>
      </w:pPr>
      <w:r w:rsidRPr="0071557E">
        <w:rPr>
          <w:rtl/>
        </w:rPr>
        <w:t xml:space="preserve">وأعرب وفد الاتحاد الروسي عن دعمه للتعديلات المقترحة لأنها ستجعل نظام لاهاي أكثر سهولة في الوصول </w:t>
      </w:r>
      <w:r>
        <w:rPr>
          <w:rFonts w:hint="cs"/>
          <w:rtl/>
        </w:rPr>
        <w:t>الا</w:t>
      </w:r>
      <w:r w:rsidRPr="0071557E">
        <w:rPr>
          <w:rtl/>
        </w:rPr>
        <w:t>ستخد</w:t>
      </w:r>
      <w:r>
        <w:rPr>
          <w:rFonts w:hint="cs"/>
          <w:rtl/>
        </w:rPr>
        <w:t>ا</w:t>
      </w:r>
      <w:r w:rsidRPr="0071557E">
        <w:rPr>
          <w:rtl/>
        </w:rPr>
        <w:t>م، و</w:t>
      </w:r>
      <w:r>
        <w:rPr>
          <w:rFonts w:hint="cs"/>
          <w:rtl/>
        </w:rPr>
        <w:t>س</w:t>
      </w:r>
      <w:r w:rsidRPr="0071557E">
        <w:rPr>
          <w:rtl/>
        </w:rPr>
        <w:t xml:space="preserve">تزيد من فعاليته. وأشار الوفد إلى أنه ينبغي اعتبار كل إصدار من </w:t>
      </w:r>
      <w:r w:rsidRPr="0071557E">
        <w:rPr>
          <w:i/>
          <w:iCs/>
          <w:rtl/>
        </w:rPr>
        <w:t>نشرة التصاميم الدولية</w:t>
      </w:r>
      <w:r w:rsidRPr="0071557E">
        <w:rPr>
          <w:rtl/>
        </w:rPr>
        <w:t xml:space="preserve"> </w:t>
      </w:r>
      <w:r>
        <w:rPr>
          <w:rFonts w:hint="cs"/>
          <w:rtl/>
        </w:rPr>
        <w:t>ك</w:t>
      </w:r>
      <w:r>
        <w:rPr>
          <w:rtl/>
        </w:rPr>
        <w:t>تحديث</w:t>
      </w:r>
      <w:r w:rsidRPr="0071557E">
        <w:rPr>
          <w:rtl/>
        </w:rPr>
        <w:t xml:space="preserve"> لجميع المكاتب فيما يتعلق بالتسجيلات الدولية.</w:t>
      </w:r>
    </w:p>
    <w:p w:rsidR="0071557E" w:rsidRDefault="0071557E" w:rsidP="00C07CB0">
      <w:pPr>
        <w:pStyle w:val="ONUMA"/>
      </w:pPr>
      <w:r w:rsidRPr="0071557E">
        <w:rPr>
          <w:rtl/>
        </w:rPr>
        <w:t xml:space="preserve">وأعرب وفد إسبانيا عن تقديره للتطوير القانوني المستمر لنظام لاهاي وأعرب عن دعمه للتعديلات المقترحة لأنها ستوفر المزيد من المعلومات والشفافية فيما يتعلق بالممثلين المسجلين في السجل الدولي. وأعرب الوفد عن اعتقاده بأن إزالة العقبات الإدارية </w:t>
      </w:r>
      <w:r w:rsidR="00C07CB0">
        <w:rPr>
          <w:rFonts w:hint="cs"/>
          <w:rtl/>
        </w:rPr>
        <w:t xml:space="preserve">هو </w:t>
      </w:r>
      <w:r w:rsidR="00C07CB0">
        <w:rPr>
          <w:rtl/>
        </w:rPr>
        <w:t>واجب</w:t>
      </w:r>
      <w:r w:rsidRPr="0071557E">
        <w:rPr>
          <w:rtl/>
        </w:rPr>
        <w:t xml:space="preserve"> تجاه مستخدمي نظام لاهاي، وذلك أيضًا في ضوء الأهمية المتزايدة للتصاميم. ومن شأن التعديلات المقترحة أن تحافظ على </w:t>
      </w:r>
      <w:r w:rsidR="00C07CB0">
        <w:rPr>
          <w:rFonts w:hint="cs"/>
          <w:rtl/>
        </w:rPr>
        <w:t>ال</w:t>
      </w:r>
      <w:r w:rsidRPr="0071557E">
        <w:rPr>
          <w:rtl/>
        </w:rPr>
        <w:t>ت</w:t>
      </w:r>
      <w:r w:rsidR="00C07CB0">
        <w:rPr>
          <w:rFonts w:hint="cs"/>
          <w:rtl/>
        </w:rPr>
        <w:t>ن</w:t>
      </w:r>
      <w:r w:rsidRPr="0071557E">
        <w:rPr>
          <w:rtl/>
        </w:rPr>
        <w:t>اس</w:t>
      </w:r>
      <w:r w:rsidR="00C07CB0">
        <w:rPr>
          <w:rFonts w:hint="cs"/>
          <w:rtl/>
        </w:rPr>
        <w:t>ق</w:t>
      </w:r>
      <w:r w:rsidRPr="0071557E">
        <w:rPr>
          <w:rtl/>
        </w:rPr>
        <w:t xml:space="preserve"> </w:t>
      </w:r>
      <w:r w:rsidR="00C07CB0">
        <w:rPr>
          <w:rFonts w:hint="cs"/>
          <w:rtl/>
        </w:rPr>
        <w:t xml:space="preserve">بين </w:t>
      </w:r>
      <w:r w:rsidRPr="0071557E">
        <w:rPr>
          <w:rtl/>
        </w:rPr>
        <w:t>نظامي لاهاي ومدريد. واختتم الوفد كلمته بالترحيب بال</w:t>
      </w:r>
      <w:r w:rsidR="00C07CB0">
        <w:rPr>
          <w:rFonts w:hint="cs"/>
          <w:rtl/>
        </w:rPr>
        <w:t>ع</w:t>
      </w:r>
      <w:r w:rsidRPr="0071557E">
        <w:rPr>
          <w:rtl/>
        </w:rPr>
        <w:t>ض</w:t>
      </w:r>
      <w:r w:rsidR="00C07CB0">
        <w:rPr>
          <w:rFonts w:hint="cs"/>
          <w:rtl/>
        </w:rPr>
        <w:t xml:space="preserve">وين </w:t>
      </w:r>
      <w:r w:rsidRPr="0071557E">
        <w:rPr>
          <w:rtl/>
        </w:rPr>
        <w:t>الجد</w:t>
      </w:r>
      <w:r w:rsidR="00C07CB0">
        <w:rPr>
          <w:rFonts w:hint="cs"/>
          <w:rtl/>
        </w:rPr>
        <w:t>ي</w:t>
      </w:r>
      <w:r w:rsidRPr="0071557E">
        <w:rPr>
          <w:rtl/>
        </w:rPr>
        <w:t>د</w:t>
      </w:r>
      <w:r w:rsidR="00C07CB0">
        <w:rPr>
          <w:rFonts w:hint="cs"/>
          <w:rtl/>
        </w:rPr>
        <w:t>ين</w:t>
      </w:r>
      <w:r w:rsidRPr="0071557E">
        <w:rPr>
          <w:rtl/>
        </w:rPr>
        <w:t xml:space="preserve"> في نظام لاهاي.</w:t>
      </w:r>
    </w:p>
    <w:p w:rsidR="00C07CB0" w:rsidRDefault="00C07CB0" w:rsidP="00C07CB0">
      <w:pPr>
        <w:pStyle w:val="ONUMA"/>
      </w:pPr>
      <w:r w:rsidRPr="00C07CB0">
        <w:rPr>
          <w:rtl/>
        </w:rPr>
        <w:t>وشكر وفد الصين الرئيس والأمانة والأعضاء على تهنئتهم على انضمام الصين، وأكد من جديد أنه يعتبر توسيع نظام اللغات تطوراً هاماً في المستقبل.</w:t>
      </w:r>
    </w:p>
    <w:p w:rsidR="00C07CB0" w:rsidRDefault="00C07CB0" w:rsidP="00C07CB0">
      <w:pPr>
        <w:pStyle w:val="ONUMA"/>
      </w:pPr>
      <w:r w:rsidRPr="00C07CB0">
        <w:rPr>
          <w:rtl/>
        </w:rPr>
        <w:t>وصرح ممثل مدرسة أمريكا اللاتينية للملكية الفكرية (</w:t>
      </w:r>
      <w:r w:rsidRPr="00C07CB0">
        <w:t>ELAPI</w:t>
      </w:r>
      <w:r w:rsidRPr="00C07CB0">
        <w:rPr>
          <w:rtl/>
        </w:rPr>
        <w:t xml:space="preserve">) أنه </w:t>
      </w:r>
      <w:r>
        <w:rPr>
          <w:rFonts w:hint="cs"/>
          <w:rtl/>
        </w:rPr>
        <w:t>و</w:t>
      </w:r>
      <w:r w:rsidRPr="00C07CB0">
        <w:rPr>
          <w:rtl/>
        </w:rPr>
        <w:t>منذ عام 1934، يهدف نظام لاهاي إلى توفير نظام دولي مبسط</w:t>
      </w:r>
      <w:r>
        <w:rPr>
          <w:rFonts w:hint="cs"/>
          <w:rtl/>
        </w:rPr>
        <w:t xml:space="preserve"> للتصاميم</w:t>
      </w:r>
      <w:r w:rsidRPr="00C07CB0">
        <w:rPr>
          <w:rtl/>
        </w:rPr>
        <w:t xml:space="preserve">. وأشار الممثل إلى أن نظام لاهاي يدعم الابتكار، بالاقتران مع التصميمات، مشيرًا إلى الأمثلة الحديثة، مثل </w:t>
      </w:r>
      <w:proofErr w:type="spellStart"/>
      <w:r w:rsidRPr="00C07CB0">
        <w:t>Seacsub</w:t>
      </w:r>
      <w:proofErr w:type="spellEnd"/>
      <w:r w:rsidRPr="00C07CB0">
        <w:rPr>
          <w:rtl/>
        </w:rPr>
        <w:t xml:space="preserve"> (</w:t>
      </w:r>
      <w:r>
        <w:rPr>
          <w:rFonts w:hint="cs"/>
          <w:rtl/>
        </w:rPr>
        <w:t>ل</w:t>
      </w:r>
      <w:r w:rsidRPr="00C07CB0">
        <w:rPr>
          <w:rtl/>
        </w:rPr>
        <w:t>معدات الغوص البحري) و</w:t>
      </w:r>
      <w:proofErr w:type="spellStart"/>
      <w:r w:rsidRPr="00C07CB0">
        <w:t>TechSafe</w:t>
      </w:r>
      <w:proofErr w:type="spellEnd"/>
      <w:r w:rsidRPr="00C07CB0">
        <w:t xml:space="preserve"> Industries</w:t>
      </w:r>
      <w:r w:rsidRPr="00C07CB0">
        <w:rPr>
          <w:rtl/>
        </w:rPr>
        <w:t xml:space="preserve"> (للجدران ال</w:t>
      </w:r>
      <w:r>
        <w:rPr>
          <w:rFonts w:hint="cs"/>
          <w:rtl/>
        </w:rPr>
        <w:t>عازلة</w:t>
      </w:r>
      <w:r>
        <w:rPr>
          <w:rtl/>
        </w:rPr>
        <w:t xml:space="preserve"> للضوضاء). وعرض الممثل تعاون</w:t>
      </w:r>
      <w:r w:rsidRPr="00C07CB0">
        <w:rPr>
          <w:rtl/>
        </w:rPr>
        <w:t xml:space="preserve"> </w:t>
      </w:r>
      <w:r>
        <w:rPr>
          <w:rFonts w:hint="cs"/>
          <w:rtl/>
        </w:rPr>
        <w:t xml:space="preserve">المدرسة </w:t>
      </w:r>
      <w:r w:rsidRPr="00C07CB0">
        <w:rPr>
          <w:rtl/>
        </w:rPr>
        <w:t>الأكاديمي على اتحاد لاهاي، ولا سيما أعضاء مجموعة بلدان أمريكا اللاتينية والكاريبي، من أجل زيادة تعزيز نظام لاهاي.</w:t>
      </w:r>
    </w:p>
    <w:p w:rsidR="00C07CB0" w:rsidRDefault="00C07CB0" w:rsidP="00A069EC">
      <w:pPr>
        <w:pStyle w:val="ONUMA"/>
        <w:ind w:left="562"/>
        <w:rPr>
          <w:rtl/>
        </w:rPr>
      </w:pPr>
      <w:r w:rsidRPr="00C07CB0">
        <w:rPr>
          <w:rtl/>
        </w:rPr>
        <w:t xml:space="preserve">اعتمدت جمعية اتحاد لاهاي التعديلات المقترحة على القاعدتين 21 و26 من اللائحة التنفيذية المشتركة، على النحو المبين في المرفقين الأول والثاني للوثيقة </w:t>
      </w:r>
      <w:r w:rsidRPr="00C07CB0">
        <w:t>H/A/42/1</w:t>
      </w:r>
      <w:r w:rsidRPr="00C07CB0">
        <w:rPr>
          <w:rtl/>
        </w:rPr>
        <w:t>، على أن تدخل حيز النفاذ في 1 أبريل 2023.</w:t>
      </w:r>
    </w:p>
    <w:p w:rsidR="00216575" w:rsidRDefault="00216575" w:rsidP="00216575">
      <w:pPr>
        <w:pStyle w:val="Endofdocument-Annex"/>
        <w:rPr>
          <w:rtl/>
        </w:rPr>
      </w:pPr>
      <w:r>
        <w:rPr>
          <w:rtl/>
        </w:rPr>
        <w:t>[نهاية الوثيقة]</w:t>
      </w:r>
    </w:p>
    <w:sectPr w:rsidR="00216575" w:rsidSect="005632E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CD2" w:rsidRDefault="00B52CD2">
      <w:r>
        <w:separator/>
      </w:r>
    </w:p>
  </w:endnote>
  <w:endnote w:type="continuationSeparator" w:id="0">
    <w:p w:rsidR="00B52CD2" w:rsidRDefault="00B52CD2" w:rsidP="003B38C1">
      <w:r>
        <w:separator/>
      </w:r>
    </w:p>
    <w:p w:rsidR="00B52CD2" w:rsidRPr="003B38C1" w:rsidRDefault="00B52CD2" w:rsidP="003B38C1">
      <w:pPr>
        <w:spacing w:after="60"/>
        <w:rPr>
          <w:sz w:val="17"/>
        </w:rPr>
      </w:pPr>
      <w:r>
        <w:rPr>
          <w:sz w:val="17"/>
        </w:rPr>
        <w:t>[Endnote continued from previous page]</w:t>
      </w:r>
    </w:p>
  </w:endnote>
  <w:endnote w:type="continuationNotice" w:id="1">
    <w:p w:rsidR="00B52CD2" w:rsidRPr="003B38C1" w:rsidRDefault="00B52C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B5" w:rsidRDefault="00540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B5" w:rsidRDefault="00540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B5" w:rsidRDefault="0054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CD2" w:rsidRDefault="00B52CD2">
      <w:r>
        <w:separator/>
      </w:r>
    </w:p>
  </w:footnote>
  <w:footnote w:type="continuationSeparator" w:id="0">
    <w:p w:rsidR="00B52CD2" w:rsidRDefault="00B52CD2" w:rsidP="008B60B2">
      <w:r>
        <w:separator/>
      </w:r>
    </w:p>
    <w:p w:rsidR="00B52CD2" w:rsidRPr="00ED77FB" w:rsidRDefault="00B52CD2" w:rsidP="008B60B2">
      <w:pPr>
        <w:spacing w:after="60"/>
        <w:rPr>
          <w:sz w:val="17"/>
          <w:szCs w:val="17"/>
        </w:rPr>
      </w:pPr>
      <w:r w:rsidRPr="00ED77FB">
        <w:rPr>
          <w:sz w:val="17"/>
          <w:szCs w:val="17"/>
        </w:rPr>
        <w:t>[Footnote continued from previous page]</w:t>
      </w:r>
    </w:p>
  </w:footnote>
  <w:footnote w:type="continuationNotice" w:id="1">
    <w:p w:rsidR="00B52CD2" w:rsidRPr="00ED77FB" w:rsidRDefault="00B52C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B5" w:rsidRDefault="00540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75" w:rsidRPr="002326AB" w:rsidRDefault="00216575" w:rsidP="00216575">
    <w:pPr>
      <w:jc w:val="right"/>
      <w:rPr>
        <w:caps/>
      </w:rPr>
    </w:pPr>
    <w:bookmarkStart w:id="6" w:name="Code2"/>
    <w:bookmarkEnd w:id="6"/>
    <w:r>
      <w:rPr>
        <w:caps/>
      </w:rPr>
      <w:t>H</w:t>
    </w:r>
    <w:r w:rsidR="008E7AB8">
      <w:rPr>
        <w:caps/>
      </w:rPr>
      <w:t>/A/42/2</w:t>
    </w:r>
  </w:p>
  <w:p w:rsidR="00EF5E37" w:rsidRDefault="00EF5E37" w:rsidP="005632E7">
    <w:pPr>
      <w:tabs>
        <w:tab w:val="left" w:pos="3572"/>
      </w:tabs>
      <w:bidi w:val="0"/>
    </w:pPr>
    <w:r>
      <w:fldChar w:fldCharType="begin"/>
    </w:r>
    <w:r>
      <w:instrText xml:space="preserve"> PAGE  \* MERGEFORMAT </w:instrText>
    </w:r>
    <w:r>
      <w:fldChar w:fldCharType="separate"/>
    </w:r>
    <w:r w:rsidR="005408B5">
      <w:rPr>
        <w:noProof/>
      </w:rPr>
      <w:t>2</w:t>
    </w:r>
    <w:r>
      <w:fldChar w:fldCharType="end"/>
    </w:r>
  </w:p>
  <w:p w:rsidR="00EF5E37" w:rsidRDefault="00EF5E37" w:rsidP="0073788A">
    <w:pPr>
      <w:bidi w:val="0"/>
    </w:pPr>
  </w:p>
  <w:p w:rsidR="00216575" w:rsidRDefault="00216575" w:rsidP="00216575">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8B5" w:rsidRDefault="00540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A6"/>
    <w:rsid w:val="00043CAA"/>
    <w:rsid w:val="00056816"/>
    <w:rsid w:val="000728B8"/>
    <w:rsid w:val="00075432"/>
    <w:rsid w:val="000968ED"/>
    <w:rsid w:val="000A3D97"/>
    <w:rsid w:val="000F5E56"/>
    <w:rsid w:val="000F79B3"/>
    <w:rsid w:val="001054BB"/>
    <w:rsid w:val="001154F5"/>
    <w:rsid w:val="001362EE"/>
    <w:rsid w:val="001406E1"/>
    <w:rsid w:val="001477B7"/>
    <w:rsid w:val="00155D8A"/>
    <w:rsid w:val="001647D5"/>
    <w:rsid w:val="00170355"/>
    <w:rsid w:val="0017439C"/>
    <w:rsid w:val="001832A6"/>
    <w:rsid w:val="0019592A"/>
    <w:rsid w:val="001A3583"/>
    <w:rsid w:val="001D4107"/>
    <w:rsid w:val="001E1349"/>
    <w:rsid w:val="00203D24"/>
    <w:rsid w:val="00210D5F"/>
    <w:rsid w:val="0021217E"/>
    <w:rsid w:val="002156A5"/>
    <w:rsid w:val="00216575"/>
    <w:rsid w:val="00231A6C"/>
    <w:rsid w:val="002326AB"/>
    <w:rsid w:val="00243430"/>
    <w:rsid w:val="002634C4"/>
    <w:rsid w:val="002652A6"/>
    <w:rsid w:val="0027403B"/>
    <w:rsid w:val="00290793"/>
    <w:rsid w:val="002928D3"/>
    <w:rsid w:val="002A1C88"/>
    <w:rsid w:val="002B01C5"/>
    <w:rsid w:val="002B5EA3"/>
    <w:rsid w:val="002D3B89"/>
    <w:rsid w:val="002D77A4"/>
    <w:rsid w:val="002F1FE6"/>
    <w:rsid w:val="002F4E68"/>
    <w:rsid w:val="00312F7F"/>
    <w:rsid w:val="00335C1D"/>
    <w:rsid w:val="00361450"/>
    <w:rsid w:val="00363425"/>
    <w:rsid w:val="003673CF"/>
    <w:rsid w:val="003705C3"/>
    <w:rsid w:val="003845C1"/>
    <w:rsid w:val="00393F70"/>
    <w:rsid w:val="003A6D77"/>
    <w:rsid w:val="003A6F89"/>
    <w:rsid w:val="003B355C"/>
    <w:rsid w:val="003B38C1"/>
    <w:rsid w:val="003C1463"/>
    <w:rsid w:val="003C34E9"/>
    <w:rsid w:val="003D4388"/>
    <w:rsid w:val="003E00F6"/>
    <w:rsid w:val="00423E3E"/>
    <w:rsid w:val="00425D96"/>
    <w:rsid w:val="00427AF4"/>
    <w:rsid w:val="004647DA"/>
    <w:rsid w:val="00474062"/>
    <w:rsid w:val="00477D6B"/>
    <w:rsid w:val="005019FF"/>
    <w:rsid w:val="00507BE5"/>
    <w:rsid w:val="005220AE"/>
    <w:rsid w:val="0053057A"/>
    <w:rsid w:val="005408B5"/>
    <w:rsid w:val="00542C6A"/>
    <w:rsid w:val="005459B8"/>
    <w:rsid w:val="00553AC5"/>
    <w:rsid w:val="00556076"/>
    <w:rsid w:val="00560A29"/>
    <w:rsid w:val="005632E7"/>
    <w:rsid w:val="00585D66"/>
    <w:rsid w:val="0059668D"/>
    <w:rsid w:val="005C6649"/>
    <w:rsid w:val="005E7B89"/>
    <w:rsid w:val="00605827"/>
    <w:rsid w:val="00642130"/>
    <w:rsid w:val="00646050"/>
    <w:rsid w:val="006713CA"/>
    <w:rsid w:val="00676C5C"/>
    <w:rsid w:val="006B5C12"/>
    <w:rsid w:val="006E6967"/>
    <w:rsid w:val="00700D32"/>
    <w:rsid w:val="0071557E"/>
    <w:rsid w:val="00717EDB"/>
    <w:rsid w:val="00720EFD"/>
    <w:rsid w:val="00735F6D"/>
    <w:rsid w:val="0073788A"/>
    <w:rsid w:val="0075449F"/>
    <w:rsid w:val="00764C44"/>
    <w:rsid w:val="007676E8"/>
    <w:rsid w:val="007854AF"/>
    <w:rsid w:val="00793A7C"/>
    <w:rsid w:val="007A398A"/>
    <w:rsid w:val="007C4902"/>
    <w:rsid w:val="007D1613"/>
    <w:rsid w:val="007E4C0E"/>
    <w:rsid w:val="007F2029"/>
    <w:rsid w:val="00847CCB"/>
    <w:rsid w:val="008550B3"/>
    <w:rsid w:val="00855CBA"/>
    <w:rsid w:val="00887069"/>
    <w:rsid w:val="008A134B"/>
    <w:rsid w:val="008B2CC1"/>
    <w:rsid w:val="008B60B2"/>
    <w:rsid w:val="008C2437"/>
    <w:rsid w:val="008C47BF"/>
    <w:rsid w:val="008C6BA7"/>
    <w:rsid w:val="008C79C7"/>
    <w:rsid w:val="008D00CC"/>
    <w:rsid w:val="008E7AB8"/>
    <w:rsid w:val="00902771"/>
    <w:rsid w:val="0090731E"/>
    <w:rsid w:val="00916EE2"/>
    <w:rsid w:val="00927794"/>
    <w:rsid w:val="00940B5A"/>
    <w:rsid w:val="00947A9E"/>
    <w:rsid w:val="00965C8D"/>
    <w:rsid w:val="00966A22"/>
    <w:rsid w:val="0096722F"/>
    <w:rsid w:val="00980843"/>
    <w:rsid w:val="0099484E"/>
    <w:rsid w:val="009A5ED7"/>
    <w:rsid w:val="009B0855"/>
    <w:rsid w:val="009D472F"/>
    <w:rsid w:val="009E2791"/>
    <w:rsid w:val="009E3F6F"/>
    <w:rsid w:val="009E49F0"/>
    <w:rsid w:val="009F499F"/>
    <w:rsid w:val="00A069EC"/>
    <w:rsid w:val="00A37342"/>
    <w:rsid w:val="00A42DAF"/>
    <w:rsid w:val="00A45BD8"/>
    <w:rsid w:val="00A54795"/>
    <w:rsid w:val="00A63884"/>
    <w:rsid w:val="00A64B5B"/>
    <w:rsid w:val="00A869B7"/>
    <w:rsid w:val="00A90F0A"/>
    <w:rsid w:val="00AC205C"/>
    <w:rsid w:val="00AE1A1B"/>
    <w:rsid w:val="00AE1CC8"/>
    <w:rsid w:val="00AE39EB"/>
    <w:rsid w:val="00AE72D9"/>
    <w:rsid w:val="00AE7977"/>
    <w:rsid w:val="00AF0A6B"/>
    <w:rsid w:val="00AF1567"/>
    <w:rsid w:val="00AF49F4"/>
    <w:rsid w:val="00B01A2C"/>
    <w:rsid w:val="00B05A69"/>
    <w:rsid w:val="00B0630A"/>
    <w:rsid w:val="00B070D4"/>
    <w:rsid w:val="00B10D39"/>
    <w:rsid w:val="00B42CA9"/>
    <w:rsid w:val="00B51FF7"/>
    <w:rsid w:val="00B52CD2"/>
    <w:rsid w:val="00B75281"/>
    <w:rsid w:val="00B843AE"/>
    <w:rsid w:val="00B92F1F"/>
    <w:rsid w:val="00B9734B"/>
    <w:rsid w:val="00BA30E2"/>
    <w:rsid w:val="00BA626E"/>
    <w:rsid w:val="00BE441A"/>
    <w:rsid w:val="00BF04DB"/>
    <w:rsid w:val="00BF3B41"/>
    <w:rsid w:val="00BF4AAC"/>
    <w:rsid w:val="00C0680C"/>
    <w:rsid w:val="00C07CB0"/>
    <w:rsid w:val="00C11BFE"/>
    <w:rsid w:val="00C5068F"/>
    <w:rsid w:val="00C86D74"/>
    <w:rsid w:val="00C86EB1"/>
    <w:rsid w:val="00CB3DBA"/>
    <w:rsid w:val="00CC3E2D"/>
    <w:rsid w:val="00CD04F1"/>
    <w:rsid w:val="00CE19F8"/>
    <w:rsid w:val="00CF681A"/>
    <w:rsid w:val="00D07C78"/>
    <w:rsid w:val="00D24C25"/>
    <w:rsid w:val="00D45252"/>
    <w:rsid w:val="00D60B2C"/>
    <w:rsid w:val="00D67EAE"/>
    <w:rsid w:val="00D71B4D"/>
    <w:rsid w:val="00D90B96"/>
    <w:rsid w:val="00D91768"/>
    <w:rsid w:val="00D93D55"/>
    <w:rsid w:val="00DA2A2E"/>
    <w:rsid w:val="00DA71E3"/>
    <w:rsid w:val="00DD3BB9"/>
    <w:rsid w:val="00DD7B7F"/>
    <w:rsid w:val="00E13F53"/>
    <w:rsid w:val="00E15015"/>
    <w:rsid w:val="00E22C1F"/>
    <w:rsid w:val="00E319DF"/>
    <w:rsid w:val="00E335FE"/>
    <w:rsid w:val="00E66CC5"/>
    <w:rsid w:val="00E7374D"/>
    <w:rsid w:val="00EA7D6E"/>
    <w:rsid w:val="00EB2F76"/>
    <w:rsid w:val="00EC4E49"/>
    <w:rsid w:val="00ED77FB"/>
    <w:rsid w:val="00EE066C"/>
    <w:rsid w:val="00EE45FA"/>
    <w:rsid w:val="00EF5E37"/>
    <w:rsid w:val="00EF6A9B"/>
    <w:rsid w:val="00F043DE"/>
    <w:rsid w:val="00F055E0"/>
    <w:rsid w:val="00F239AE"/>
    <w:rsid w:val="00F52AD8"/>
    <w:rsid w:val="00F65745"/>
    <w:rsid w:val="00F66152"/>
    <w:rsid w:val="00F9165B"/>
    <w:rsid w:val="00F97D65"/>
    <w:rsid w:val="00FA3517"/>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601B35-3C1A-4EE6-91DB-7627ABE6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character" w:customStyle="1" w:styleId="Heading2Char">
    <w:name w:val="Heading 2 Char"/>
    <w:basedOn w:val="DefaultParagraphFont"/>
    <w:link w:val="Heading2"/>
    <w:rsid w:val="002652A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652A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652A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2652A6"/>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652A6"/>
    <w:rPr>
      <w:rFonts w:ascii="Arial" w:eastAsia="SimSun" w:hAnsi="Arial" w:cs="Calibri"/>
      <w:sz w:val="18"/>
      <w:szCs w:val="18"/>
      <w:lang w:val="en-US" w:eastAsia="zh-CN"/>
    </w:rPr>
  </w:style>
  <w:style w:type="paragraph" w:styleId="Revision">
    <w:name w:val="Revision"/>
    <w:hidden/>
    <w:uiPriority w:val="99"/>
    <w:semiHidden/>
    <w:rsid w:val="0075449F"/>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5354-FB8F-4F1E-86C6-B171CA34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3315</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H/A/42/1  (Arabic)</vt:lpstr>
    </vt:vector>
  </TitlesOfParts>
  <Company>WIPO</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H/A/42/2  (Arabic)</dc:title>
  <dc:creator>WIPO</dc:creator>
  <cp:keywords>PUBLIC</cp:keywords>
  <cp:lastModifiedBy>HÄFLIGER Patience</cp:lastModifiedBy>
  <cp:revision>7</cp:revision>
  <cp:lastPrinted>2022-09-23T11:44:00Z</cp:lastPrinted>
  <dcterms:created xsi:type="dcterms:W3CDTF">2022-09-23T11:43:00Z</dcterms:created>
  <dcterms:modified xsi:type="dcterms:W3CDTF">2022-09-27T12:53:00Z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