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00B1F" w:rsidP="00EC2457">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LI/A/3</w:t>
      </w:r>
      <w:r w:rsidR="00EC2457">
        <w:rPr>
          <w:rFonts w:ascii="Arial Black" w:eastAsia="SimSun" w:hAnsi="Arial Black" w:cs="Arial"/>
          <w:b/>
          <w:caps/>
          <w:noProof/>
          <w:sz w:val="16"/>
          <w:szCs w:val="16"/>
          <w:lang w:eastAsia="zh-CN"/>
        </w:rPr>
        <w:t>6</w:t>
      </w:r>
      <w:r>
        <w:rPr>
          <w:rFonts w:ascii="Arial Black" w:eastAsia="SimSun" w:hAnsi="Arial Black" w:cs="Arial"/>
          <w:b/>
          <w:caps/>
          <w:noProof/>
          <w:sz w:val="16"/>
          <w:szCs w:val="16"/>
          <w:lang w:eastAsia="zh-CN"/>
        </w:rPr>
        <w:t>/</w:t>
      </w:r>
      <w:r w:rsidR="00EC2457">
        <w:rPr>
          <w:rFonts w:ascii="Arial Black" w:eastAsia="SimSun" w:hAnsi="Arial Black" w:cs="Arial"/>
          <w:b/>
          <w:caps/>
          <w:noProof/>
          <w:sz w:val="16"/>
          <w:szCs w:val="16"/>
          <w:lang w:eastAsia="zh-CN"/>
        </w:rPr>
        <w:t>1</w:t>
      </w:r>
    </w:p>
    <w:bookmarkEnd w:id="4"/>
    <w:p w:rsidR="003F7284" w:rsidRPr="00EC2457"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EC2457">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EC2457">
        <w:rPr>
          <w:rFonts w:hint="cs"/>
          <w:b/>
          <w:bCs/>
          <w:sz w:val="30"/>
          <w:szCs w:val="30"/>
          <w:rtl/>
        </w:rPr>
        <w:t>30 يوليو 2019</w:t>
      </w:r>
    </w:p>
    <w:p w:rsidR="00000B1F" w:rsidRDefault="00000B1F" w:rsidP="009B7572">
      <w:pPr>
        <w:pStyle w:val="Heading1"/>
        <w:spacing w:after="600" w:line="240" w:lineRule="auto"/>
        <w:rPr>
          <w:rtl/>
        </w:rPr>
      </w:pPr>
      <w:bookmarkStart w:id="7" w:name="Body"/>
      <w:bookmarkEnd w:id="7"/>
      <w:r>
        <w:rPr>
          <w:rFonts w:hint="eastAsia"/>
          <w:rtl/>
        </w:rPr>
        <w:t>الاتحاد</w:t>
      </w:r>
      <w:r>
        <w:rPr>
          <w:rtl/>
        </w:rPr>
        <w:t xml:space="preserve"> </w:t>
      </w:r>
      <w:r>
        <w:rPr>
          <w:rFonts w:hint="eastAsia"/>
          <w:rtl/>
        </w:rPr>
        <w:t>الخاص</w:t>
      </w:r>
      <w:r>
        <w:rPr>
          <w:rtl/>
        </w:rPr>
        <w:t xml:space="preserve"> </w:t>
      </w:r>
      <w:r>
        <w:rPr>
          <w:rFonts w:hint="eastAsia"/>
          <w:rtl/>
        </w:rPr>
        <w:t>لحماية</w:t>
      </w:r>
      <w:r>
        <w:rPr>
          <w:rtl/>
        </w:rPr>
        <w:t xml:space="preserve"> </w:t>
      </w:r>
      <w:r>
        <w:rPr>
          <w:rFonts w:hint="eastAsia"/>
          <w:rtl/>
        </w:rPr>
        <w:t>تسميات</w:t>
      </w:r>
      <w:r>
        <w:rPr>
          <w:rtl/>
        </w:rPr>
        <w:t xml:space="preserve"> </w:t>
      </w:r>
      <w:r>
        <w:rPr>
          <w:rFonts w:hint="eastAsia"/>
          <w:rtl/>
        </w:rPr>
        <w:t>المنشأ</w:t>
      </w:r>
      <w:r>
        <w:rPr>
          <w:rtl/>
        </w:rPr>
        <w:t xml:space="preserve"> </w:t>
      </w:r>
      <w:r>
        <w:rPr>
          <w:rFonts w:hint="eastAsia"/>
          <w:rtl/>
        </w:rPr>
        <w:t>وتسجيلها</w:t>
      </w:r>
      <w:r>
        <w:rPr>
          <w:rtl/>
        </w:rPr>
        <w:t xml:space="preserve"> </w:t>
      </w:r>
      <w:r>
        <w:rPr>
          <w:rFonts w:hint="eastAsia"/>
          <w:rtl/>
        </w:rPr>
        <w:t>الدولي</w:t>
      </w:r>
      <w:r>
        <w:rPr>
          <w:rtl/>
        </w:rPr>
        <w:t xml:space="preserve"> (</w:t>
      </w:r>
      <w:r>
        <w:rPr>
          <w:rFonts w:hint="eastAsia"/>
          <w:rtl/>
        </w:rPr>
        <w:t>اتحاد</w:t>
      </w:r>
      <w:r>
        <w:rPr>
          <w:rtl/>
        </w:rPr>
        <w:t xml:space="preserve"> </w:t>
      </w:r>
      <w:r>
        <w:rPr>
          <w:rFonts w:hint="eastAsia"/>
          <w:rtl/>
        </w:rPr>
        <w:t>لشبونة</w:t>
      </w:r>
      <w:r>
        <w:rPr>
          <w:rtl/>
        </w:rPr>
        <w:t>)</w:t>
      </w:r>
    </w:p>
    <w:p w:rsidR="002E7810" w:rsidRPr="00FD6D15" w:rsidRDefault="00000B1F" w:rsidP="009B7572">
      <w:pPr>
        <w:pStyle w:val="Heading1"/>
        <w:spacing w:after="600" w:line="240" w:lineRule="auto"/>
        <w:rPr>
          <w:rtl/>
        </w:rPr>
      </w:pPr>
      <w:r>
        <w:rPr>
          <w:rFonts w:hint="eastAsia"/>
          <w:rtl/>
        </w:rPr>
        <w:t>الجمعية</w:t>
      </w:r>
    </w:p>
    <w:p w:rsidR="002E7810" w:rsidRPr="002E7810" w:rsidRDefault="00000B1F" w:rsidP="00EC2457">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C2457">
        <w:rPr>
          <w:rFonts w:ascii="Arial Black" w:hAnsi="Arial Black" w:cs="PT Bold Heading" w:hint="cs"/>
          <w:sz w:val="30"/>
          <w:szCs w:val="30"/>
          <w:rtl/>
        </w:rPr>
        <w:t>السادسة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EC2457">
        <w:rPr>
          <w:rFonts w:ascii="Arial Black" w:hAnsi="Arial Black" w:cs="PT Bold Heading" w:hint="cs"/>
          <w:sz w:val="30"/>
          <w:szCs w:val="30"/>
          <w:rtl/>
        </w:rPr>
        <w:t>العادية</w:t>
      </w:r>
      <w:r>
        <w:rPr>
          <w:rFonts w:ascii="Arial Black" w:hAnsi="Arial Black" w:cs="PT Bold Heading"/>
          <w:sz w:val="30"/>
          <w:szCs w:val="30"/>
          <w:rtl/>
        </w:rPr>
        <w:t xml:space="preserve"> </w:t>
      </w:r>
      <w:r>
        <w:rPr>
          <w:rFonts w:ascii="Arial Black" w:hAnsi="Arial Black" w:cs="PT Bold Heading" w:hint="eastAsia"/>
          <w:sz w:val="30"/>
          <w:szCs w:val="30"/>
          <w:rtl/>
        </w:rPr>
        <w:t>الثالثة</w:t>
      </w:r>
      <w:r>
        <w:rPr>
          <w:rFonts w:ascii="Arial Black" w:hAnsi="Arial Black" w:cs="PT Bold Heading"/>
          <w:sz w:val="30"/>
          <w:szCs w:val="30"/>
          <w:rtl/>
        </w:rPr>
        <w:t xml:space="preserve"> </w:t>
      </w:r>
      <w:r w:rsidR="00EC2457">
        <w:rPr>
          <w:rFonts w:ascii="Arial Black" w:hAnsi="Arial Black" w:cs="PT Bold Heading" w:hint="cs"/>
          <w:sz w:val="30"/>
          <w:szCs w:val="30"/>
          <w:rtl/>
        </w:rPr>
        <w:t>والعشرون</w:t>
      </w:r>
      <w:r>
        <w:rPr>
          <w:rFonts w:ascii="Arial Black" w:hAnsi="Arial Black" w:cs="PT Bold Heading"/>
          <w:sz w:val="30"/>
          <w:szCs w:val="30"/>
          <w:rtl/>
        </w:rPr>
        <w:t>)</w:t>
      </w:r>
    </w:p>
    <w:p w:rsidR="002E7810" w:rsidRPr="002E7810" w:rsidRDefault="00000B1F" w:rsidP="00EC2457">
      <w:pPr>
        <w:spacing w:line="600" w:lineRule="auto"/>
        <w:rPr>
          <w:b/>
          <w:bCs/>
          <w:rtl/>
        </w:rPr>
      </w:pPr>
      <w:bookmarkStart w:id="9" w:name="Place"/>
      <w:bookmarkEnd w:id="9"/>
      <w:r>
        <w:rPr>
          <w:b/>
          <w:bCs/>
          <w:rtl/>
        </w:rPr>
        <w:t xml:space="preserve">جنيف، من </w:t>
      </w:r>
      <w:r w:rsidR="00EC2457">
        <w:rPr>
          <w:rFonts w:hint="cs"/>
          <w:b/>
          <w:bCs/>
          <w:rtl/>
        </w:rPr>
        <w:t>30</w:t>
      </w:r>
      <w:r>
        <w:rPr>
          <w:b/>
          <w:bCs/>
          <w:rtl/>
        </w:rPr>
        <w:t xml:space="preserve"> سبتمبر إلى </w:t>
      </w:r>
      <w:r w:rsidR="00EC2457">
        <w:rPr>
          <w:rFonts w:hint="cs"/>
          <w:b/>
          <w:bCs/>
          <w:rtl/>
        </w:rPr>
        <w:t>9</w:t>
      </w:r>
      <w:r>
        <w:rPr>
          <w:b/>
          <w:bCs/>
          <w:rtl/>
        </w:rPr>
        <w:t xml:space="preserve"> أكتوبر </w:t>
      </w:r>
      <w:r w:rsidR="00EC2457">
        <w:rPr>
          <w:rFonts w:hint="cs"/>
          <w:b/>
          <w:bCs/>
          <w:rtl/>
        </w:rPr>
        <w:t>2019</w:t>
      </w:r>
    </w:p>
    <w:p w:rsidR="002E7810" w:rsidRPr="002E7810" w:rsidRDefault="00EC2457"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الفريق العامل المعني بتطوير نظام لشبونة</w:t>
      </w:r>
    </w:p>
    <w:p w:rsidR="003F7284" w:rsidRPr="00BB6440" w:rsidRDefault="00EC2457"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FD6D15" w:rsidRDefault="00EC2457" w:rsidP="00EC2457">
      <w:pPr>
        <w:pStyle w:val="ONUMA"/>
        <w:rPr>
          <w:rtl/>
        </w:rPr>
      </w:pPr>
      <w:r>
        <w:rPr>
          <w:rFonts w:hint="cs"/>
          <w:rtl/>
        </w:rPr>
        <w:t xml:space="preserve">منذ الدورة السابقة لجمعية اتحاد لشبونة، عقد الفريق العامل المعني بتطوير نظام لشبونة (الفريق العامل) دورته الثانية يومي 27 و28 مايو 2019.  وتبادلت الوفود الآراء حول مسائل تتعلق بالاستدامة المالية لنظام لشبونة على النحو المبين في مرفق هذه الوثيقة (الوثيقة </w:t>
      </w:r>
      <w:r>
        <w:t>LI/W/DEV-SYS/2/3</w:t>
      </w:r>
      <w:r>
        <w:rPr>
          <w:rFonts w:hint="cs"/>
          <w:rtl/>
        </w:rPr>
        <w:t>)، الذي وافق عليه الفريق العامل.</w:t>
      </w:r>
    </w:p>
    <w:p w:rsidR="00C41AE0" w:rsidRDefault="00EC2457" w:rsidP="00EC2457">
      <w:pPr>
        <w:pStyle w:val="ONUMA"/>
      </w:pPr>
      <w:r w:rsidRPr="00EC2457">
        <w:rPr>
          <w:rtl/>
        </w:rPr>
        <w:t>وأكد الفريق العامل في مداولاته على أهمية أنشطة ا</w:t>
      </w:r>
      <w:r w:rsidR="00DB443D">
        <w:rPr>
          <w:rtl/>
        </w:rPr>
        <w:t xml:space="preserve">لترويج لزيادة عضوية نظام لشبونة، بما </w:t>
      </w:r>
      <w:r w:rsidR="00DB443D">
        <w:rPr>
          <w:rtl/>
        </w:rPr>
        <w:lastRenderedPageBreak/>
        <w:t>في ذلك وثيقة جنيف</w:t>
      </w:r>
      <w:r w:rsidRPr="00EC2457">
        <w:rPr>
          <w:rtl/>
        </w:rPr>
        <w:t>، والحاجة إلى زيادة التنسيق بين أعضاء لشبونة في هذا الصدد.</w:t>
      </w:r>
    </w:p>
    <w:p w:rsidR="00DB443D" w:rsidRPr="00ED7555" w:rsidRDefault="00DB443D" w:rsidP="0035227C">
      <w:pPr>
        <w:pStyle w:val="ONUMA"/>
        <w:rPr>
          <w:rtl/>
        </w:rPr>
      </w:pPr>
      <w:r>
        <w:rPr>
          <w:rFonts w:hint="cs"/>
          <w:rtl/>
        </w:rPr>
        <w:t xml:space="preserve">وفي ختام الدورة، قرر الفريق العامل </w:t>
      </w:r>
      <w:r w:rsidRPr="00DB443D">
        <w:rPr>
          <w:rtl/>
        </w:rPr>
        <w:t>مواصلة مناقشة التدابير المناسبة لضمان الاستدامة ال</w:t>
      </w:r>
      <w:r>
        <w:rPr>
          <w:rtl/>
        </w:rPr>
        <w:t>مالية لاتحاد لشبونة في المستقبل</w:t>
      </w:r>
      <w:r w:rsidRPr="00DB443D">
        <w:rPr>
          <w:rtl/>
        </w:rPr>
        <w:t xml:space="preserve">، بما في ذلك </w:t>
      </w:r>
      <w:r>
        <w:rPr>
          <w:rFonts w:hint="cs"/>
          <w:rtl/>
        </w:rPr>
        <w:t>استعراض</w:t>
      </w:r>
      <w:r>
        <w:rPr>
          <w:rtl/>
        </w:rPr>
        <w:t xml:space="preserve"> جدول الرسوم على أساس منتظم</w:t>
      </w:r>
      <w:r w:rsidRPr="00DB443D">
        <w:rPr>
          <w:rtl/>
        </w:rPr>
        <w:t>، مع الاعتراف بالحاجة إلى تقييم أثر بدء نفاذ وثيقة جنيف على الوضع المالي للاتحاد.</w:t>
      </w:r>
    </w:p>
    <w:p w:rsidR="000D7E81" w:rsidRPr="000D7E81" w:rsidRDefault="00DB443D" w:rsidP="00DB443D">
      <w:pPr>
        <w:pStyle w:val="Decision"/>
        <w:rPr>
          <w:rtl/>
        </w:rPr>
      </w:pPr>
      <w:r w:rsidRPr="00DB443D">
        <w:rPr>
          <w:rtl/>
        </w:rPr>
        <w:t xml:space="preserve">إن جمعية اتحاد لشبونة مدعوة إلى الإحاطة علماً بالتقرير عن الفريق العامل المعني بتطوير نظام لشبونة (الوثيقة </w:t>
      </w:r>
      <w:r w:rsidRPr="00DB443D">
        <w:t>LI/A/3</w:t>
      </w:r>
      <w:r>
        <w:t>6</w:t>
      </w:r>
      <w:r w:rsidRPr="00DB443D">
        <w:t>/1</w:t>
      </w:r>
      <w:r w:rsidRPr="00DB443D">
        <w:rPr>
          <w:rtl/>
        </w:rPr>
        <w:t>).</w:t>
      </w:r>
    </w:p>
    <w:p w:rsidR="00DB443D" w:rsidRDefault="00DB443D" w:rsidP="00DB443D">
      <w:pPr>
        <w:pStyle w:val="Endofdocument-Annex"/>
        <w:rPr>
          <w:rtl/>
          <w:lang w:val="fr-CH" w:bidi="ar-SY"/>
        </w:rPr>
        <w:sectPr w:rsidR="00DB443D" w:rsidSect="00B10ED1">
          <w:headerReference w:type="even" r:id="rId9"/>
          <w:headerReference w:type="default" r:id="rId10"/>
          <w:footerReference w:type="default" r:id="rId11"/>
          <w:headerReference w:type="first" r:id="rId12"/>
          <w:pgSz w:w="11907" w:h="16840" w:code="9"/>
          <w:pgMar w:top="567" w:right="1418" w:bottom="1418" w:left="1134" w:header="510" w:footer="1021" w:gutter="0"/>
          <w:cols w:space="720"/>
          <w:titlePg/>
          <w:docGrid w:linePitch="490"/>
        </w:sectPr>
      </w:pPr>
      <w:bookmarkStart w:id="14" w:name="ExtraPara"/>
      <w:bookmarkEnd w:id="14"/>
      <w:r>
        <w:rPr>
          <w:rtl/>
          <w:lang w:val="fr-CH" w:bidi="ar-SY"/>
        </w:rPr>
        <w:t>[</w:t>
      </w:r>
      <w:r>
        <w:rPr>
          <w:rFonts w:hint="cs"/>
          <w:rtl/>
          <w:lang w:val="fr-CH" w:bidi="ar-SY"/>
        </w:rPr>
        <w:t xml:space="preserve">يلي ذلك الوثيقة </w:t>
      </w:r>
      <w:r>
        <w:rPr>
          <w:lang w:bidi="ar-SY"/>
        </w:rPr>
        <w:t>LI/WG/DEV-SYS/2/3</w:t>
      </w:r>
      <w:r>
        <w:rPr>
          <w:rtl/>
          <w:lang w:val="fr-CH" w:bidi="ar-SY"/>
        </w:rPr>
        <w:t>]</w:t>
      </w:r>
    </w:p>
    <w:p w:rsidR="00DB443D" w:rsidRPr="00C50A61" w:rsidRDefault="00DB443D" w:rsidP="00DB443D">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DB443D" w:rsidRPr="003F7284" w:rsidRDefault="00DB443D" w:rsidP="00DB443D">
      <w:pPr>
        <w:spacing w:after="120"/>
        <w:ind w:left="4535"/>
        <w:rPr>
          <w:rtl/>
        </w:rPr>
      </w:pPr>
      <w:r w:rsidRPr="003F7284">
        <w:rPr>
          <w:noProof/>
        </w:rPr>
        <w:drawing>
          <wp:inline distT="0" distB="0" distL="0" distR="0" wp14:anchorId="324DFA50" wp14:editId="7488A334">
            <wp:extent cx="1327150" cy="1263650"/>
            <wp:effectExtent l="0" t="0" r="6350" b="0"/>
            <wp:docPr id="1" name="Picture 1"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DB443D" w:rsidRPr="00F54409" w:rsidRDefault="00DB443D" w:rsidP="00DB443D">
      <w:pPr>
        <w:pBdr>
          <w:top w:val="single" w:sz="4" w:space="10" w:color="auto"/>
        </w:pBdr>
        <w:bidi w:val="0"/>
        <w:rPr>
          <w:rFonts w:ascii="Arial Black" w:eastAsia="SimSun" w:hAnsi="Arial Black" w:cs="Arial"/>
          <w:b/>
          <w:caps/>
          <w:noProof/>
          <w:sz w:val="16"/>
          <w:szCs w:val="16"/>
          <w:rtl/>
          <w:lang w:eastAsia="zh-CN"/>
        </w:rPr>
      </w:pPr>
      <w:r>
        <w:rPr>
          <w:rFonts w:ascii="Arial Black" w:eastAsia="SimSun" w:hAnsi="Arial Black" w:cs="Arial"/>
          <w:b/>
          <w:caps/>
          <w:noProof/>
          <w:sz w:val="16"/>
          <w:szCs w:val="16"/>
          <w:lang w:eastAsia="zh-CN"/>
        </w:rPr>
        <w:t>LI/WG/DEV-SYS/2/3</w:t>
      </w:r>
    </w:p>
    <w:p w:rsidR="00DB443D" w:rsidRPr="00BB6440" w:rsidRDefault="00DB443D" w:rsidP="00DB443D">
      <w:pPr>
        <w:jc w:val="right"/>
        <w:rPr>
          <w:b/>
          <w:bCs/>
          <w:sz w:val="30"/>
          <w:szCs w:val="30"/>
          <w:rtl/>
        </w:rPr>
      </w:pPr>
      <w:r w:rsidRPr="00BB6440">
        <w:rPr>
          <w:b/>
          <w:bCs/>
          <w:sz w:val="30"/>
          <w:szCs w:val="30"/>
          <w:rtl/>
        </w:rPr>
        <w:t xml:space="preserve">الأصل: </w:t>
      </w:r>
      <w:r>
        <w:rPr>
          <w:rFonts w:hint="cs"/>
          <w:b/>
          <w:bCs/>
          <w:sz w:val="30"/>
          <w:szCs w:val="30"/>
          <w:rtl/>
        </w:rPr>
        <w:t>بالإنكليزية</w:t>
      </w:r>
    </w:p>
    <w:p w:rsidR="00DB443D" w:rsidRPr="00BB6440" w:rsidRDefault="00DB443D" w:rsidP="00DB443D">
      <w:pPr>
        <w:spacing w:line="720" w:lineRule="auto"/>
        <w:jc w:val="right"/>
        <w:rPr>
          <w:b/>
          <w:bCs/>
          <w:sz w:val="30"/>
          <w:szCs w:val="30"/>
        </w:rPr>
      </w:pPr>
      <w:r w:rsidRPr="00BB6440">
        <w:rPr>
          <w:b/>
          <w:bCs/>
          <w:sz w:val="30"/>
          <w:szCs w:val="30"/>
          <w:rtl/>
        </w:rPr>
        <w:t xml:space="preserve">التاريخ: </w:t>
      </w:r>
      <w:r>
        <w:rPr>
          <w:rFonts w:hint="cs"/>
          <w:b/>
          <w:bCs/>
          <w:sz w:val="30"/>
          <w:szCs w:val="30"/>
          <w:rtl/>
        </w:rPr>
        <w:t>28 مايو 2019</w:t>
      </w:r>
    </w:p>
    <w:p w:rsidR="00DB443D" w:rsidRPr="00FD6D15" w:rsidRDefault="00DB443D" w:rsidP="00DB443D">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بتطوير</w:t>
      </w:r>
      <w:r>
        <w:rPr>
          <w:rtl/>
        </w:rPr>
        <w:t xml:space="preserve"> </w:t>
      </w:r>
      <w:r>
        <w:rPr>
          <w:rFonts w:hint="eastAsia"/>
          <w:rtl/>
        </w:rPr>
        <w:t>نظام</w:t>
      </w:r>
      <w:r>
        <w:rPr>
          <w:rtl/>
        </w:rPr>
        <w:t xml:space="preserve"> </w:t>
      </w:r>
      <w:r>
        <w:rPr>
          <w:rFonts w:hint="eastAsia"/>
          <w:rtl/>
        </w:rPr>
        <w:t>لشبونة</w:t>
      </w:r>
    </w:p>
    <w:p w:rsidR="00DB443D" w:rsidRPr="002E7810" w:rsidRDefault="00DB443D" w:rsidP="00DB443D">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الثانية</w:t>
      </w:r>
    </w:p>
    <w:p w:rsidR="00DB443D" w:rsidRPr="002E7810" w:rsidRDefault="00DB443D" w:rsidP="00DB443D">
      <w:pPr>
        <w:spacing w:line="600" w:lineRule="auto"/>
        <w:rPr>
          <w:b/>
          <w:bCs/>
          <w:rtl/>
        </w:rPr>
      </w:pPr>
      <w:r>
        <w:rPr>
          <w:b/>
          <w:bCs/>
          <w:rtl/>
        </w:rPr>
        <w:t xml:space="preserve">جنيف، </w:t>
      </w:r>
      <w:r>
        <w:rPr>
          <w:rFonts w:hint="cs"/>
          <w:b/>
          <w:bCs/>
          <w:rtl/>
        </w:rPr>
        <w:t>27</w:t>
      </w:r>
      <w:r>
        <w:rPr>
          <w:b/>
          <w:bCs/>
          <w:rtl/>
        </w:rPr>
        <w:t xml:space="preserve"> و</w:t>
      </w:r>
      <w:r>
        <w:rPr>
          <w:rFonts w:hint="cs"/>
          <w:b/>
          <w:bCs/>
          <w:rtl/>
        </w:rPr>
        <w:t>28</w:t>
      </w:r>
      <w:r>
        <w:rPr>
          <w:b/>
          <w:bCs/>
          <w:rtl/>
        </w:rPr>
        <w:t xml:space="preserve"> </w:t>
      </w:r>
      <w:r>
        <w:rPr>
          <w:rFonts w:hint="cs"/>
          <w:b/>
          <w:bCs/>
          <w:rtl/>
        </w:rPr>
        <w:t>مايو</w:t>
      </w:r>
      <w:r>
        <w:rPr>
          <w:b/>
          <w:bCs/>
          <w:rtl/>
        </w:rPr>
        <w:t xml:space="preserve"> </w:t>
      </w:r>
      <w:r>
        <w:rPr>
          <w:rFonts w:hint="cs"/>
          <w:b/>
          <w:bCs/>
          <w:rtl/>
        </w:rPr>
        <w:t>2019</w:t>
      </w:r>
    </w:p>
    <w:p w:rsidR="00DB443D" w:rsidRPr="002E7810" w:rsidRDefault="00DB443D" w:rsidP="00DB443D">
      <w:pPr>
        <w:rPr>
          <w:rFonts w:ascii="Arial Black" w:hAnsi="Arial Black" w:cs="PT Bold Heading"/>
          <w:sz w:val="26"/>
          <w:szCs w:val="26"/>
          <w:rtl/>
        </w:rPr>
      </w:pPr>
      <w:r>
        <w:rPr>
          <w:rFonts w:ascii="Arial Black" w:hAnsi="Arial Black" w:cs="PT Bold Heading" w:hint="cs"/>
          <w:sz w:val="26"/>
          <w:szCs w:val="26"/>
          <w:rtl/>
        </w:rPr>
        <w:t>ملخص الرئيس</w:t>
      </w:r>
    </w:p>
    <w:p w:rsidR="00DB443D" w:rsidRPr="00BB6440" w:rsidRDefault="00DB443D" w:rsidP="00DB443D">
      <w:pPr>
        <w:spacing w:before="200" w:after="960"/>
        <w:rPr>
          <w:i/>
          <w:iCs/>
          <w:rtl/>
        </w:rPr>
      </w:pPr>
      <w:r>
        <w:rPr>
          <w:rFonts w:hint="cs"/>
          <w:i/>
          <w:iCs/>
          <w:rtl/>
        </w:rPr>
        <w:t>الذي اعتمده الفريق العامل</w:t>
      </w:r>
    </w:p>
    <w:p w:rsidR="00DB443D" w:rsidRPr="00E5369F" w:rsidRDefault="00DB443D" w:rsidP="005901EE">
      <w:pPr>
        <w:pStyle w:val="ONUMA"/>
        <w:numPr>
          <w:ilvl w:val="0"/>
          <w:numId w:val="45"/>
        </w:numPr>
      </w:pPr>
      <w:r w:rsidRPr="00E5369F">
        <w:rPr>
          <w:rFonts w:hint="cs"/>
          <w:rtl/>
        </w:rPr>
        <w:t>اجتمع الفريق العامل المعني بتطوير نظام لشبونة (المشار إليه فيما يلي باسم "الفريق العامل") في جنيف يومي</w:t>
      </w:r>
      <w:r w:rsidRPr="00E5369F">
        <w:rPr>
          <w:rFonts w:hint="eastAsia"/>
          <w:rtl/>
        </w:rPr>
        <w:t> </w:t>
      </w:r>
      <w:r>
        <w:rPr>
          <w:rFonts w:hint="cs"/>
          <w:rtl/>
        </w:rPr>
        <w:t>27</w:t>
      </w:r>
      <w:r w:rsidRPr="00E5369F">
        <w:rPr>
          <w:rFonts w:hint="eastAsia"/>
          <w:rtl/>
        </w:rPr>
        <w:t> </w:t>
      </w:r>
      <w:r w:rsidRPr="00E5369F">
        <w:rPr>
          <w:rFonts w:hint="cs"/>
          <w:rtl/>
        </w:rPr>
        <w:t>و</w:t>
      </w:r>
      <w:r>
        <w:rPr>
          <w:rFonts w:hint="cs"/>
          <w:rtl/>
        </w:rPr>
        <w:t>28</w:t>
      </w:r>
      <w:r w:rsidRPr="00E5369F">
        <w:rPr>
          <w:rFonts w:hint="cs"/>
          <w:rtl/>
        </w:rPr>
        <w:t xml:space="preserve"> </w:t>
      </w:r>
      <w:r>
        <w:rPr>
          <w:rFonts w:hint="cs"/>
          <w:rtl/>
        </w:rPr>
        <w:t>مايو</w:t>
      </w:r>
      <w:r w:rsidRPr="00E5369F">
        <w:rPr>
          <w:rFonts w:hint="eastAsia"/>
          <w:rtl/>
        </w:rPr>
        <w:t> </w:t>
      </w:r>
      <w:r>
        <w:rPr>
          <w:rFonts w:hint="cs"/>
          <w:rtl/>
        </w:rPr>
        <w:t>2019</w:t>
      </w:r>
      <w:r w:rsidRPr="00E5369F">
        <w:rPr>
          <w:rFonts w:hint="cs"/>
          <w:rtl/>
        </w:rPr>
        <w:t>.</w:t>
      </w:r>
    </w:p>
    <w:p w:rsidR="00DB443D" w:rsidRPr="00E5369F" w:rsidRDefault="00DB443D" w:rsidP="00DB443D">
      <w:pPr>
        <w:pStyle w:val="ONUMA"/>
      </w:pPr>
      <w:r w:rsidRPr="00E5369F">
        <w:rPr>
          <w:rFonts w:hint="cs"/>
          <w:rtl/>
        </w:rPr>
        <w:t xml:space="preserve">وكانت الأطراف التالية المتعاقدة بموجب نظام </w:t>
      </w:r>
      <w:r>
        <w:rPr>
          <w:rFonts w:hint="cs"/>
          <w:rtl/>
        </w:rPr>
        <w:t xml:space="preserve">اتحاد </w:t>
      </w:r>
      <w:r w:rsidRPr="00E5369F">
        <w:rPr>
          <w:rFonts w:hint="cs"/>
          <w:rtl/>
        </w:rPr>
        <w:t xml:space="preserve">لشبونة ممثَّلة في الدورة: </w:t>
      </w:r>
      <w:r w:rsidRPr="00F65234">
        <w:rPr>
          <w:rtl/>
        </w:rPr>
        <w:t>بوركينا فاسو</w:t>
      </w:r>
      <w:r>
        <w:rPr>
          <w:rFonts w:hint="cs"/>
          <w:rtl/>
        </w:rPr>
        <w:t xml:space="preserve">، </w:t>
      </w:r>
      <w:r w:rsidRPr="00F65234">
        <w:rPr>
          <w:rtl/>
        </w:rPr>
        <w:t>الجمهورية التشيكية</w:t>
      </w:r>
      <w:r>
        <w:rPr>
          <w:rtl/>
        </w:rPr>
        <w:t>،</w:t>
      </w:r>
      <w:r w:rsidRPr="00F65234">
        <w:rPr>
          <w:rtl/>
        </w:rPr>
        <w:t xml:space="preserve"> فرنسا</w:t>
      </w:r>
      <w:r>
        <w:rPr>
          <w:rtl/>
        </w:rPr>
        <w:t>،</w:t>
      </w:r>
      <w:r w:rsidRPr="00F65234">
        <w:rPr>
          <w:rtl/>
        </w:rPr>
        <w:t xml:space="preserve"> غابون</w:t>
      </w:r>
      <w:r>
        <w:rPr>
          <w:rtl/>
        </w:rPr>
        <w:t>،</w:t>
      </w:r>
      <w:r w:rsidRPr="00F65234">
        <w:rPr>
          <w:rtl/>
        </w:rPr>
        <w:t xml:space="preserve"> هنغاريا</w:t>
      </w:r>
      <w:r>
        <w:rPr>
          <w:rtl/>
        </w:rPr>
        <w:t>،</w:t>
      </w:r>
      <w:r w:rsidRPr="00F65234">
        <w:rPr>
          <w:rtl/>
        </w:rPr>
        <w:t xml:space="preserve"> إيران (جمهورية - الإسلامية)</w:t>
      </w:r>
      <w:r>
        <w:rPr>
          <w:rtl/>
        </w:rPr>
        <w:t>،</w:t>
      </w:r>
      <w:r w:rsidRPr="00F65234">
        <w:rPr>
          <w:rtl/>
        </w:rPr>
        <w:t xml:space="preserve"> إسرائيل</w:t>
      </w:r>
      <w:r>
        <w:rPr>
          <w:rtl/>
        </w:rPr>
        <w:t>،</w:t>
      </w:r>
      <w:r w:rsidRPr="00F65234">
        <w:rPr>
          <w:rtl/>
        </w:rPr>
        <w:t xml:space="preserve"> إيطاليا</w:t>
      </w:r>
      <w:r>
        <w:rPr>
          <w:rtl/>
        </w:rPr>
        <w:t>،</w:t>
      </w:r>
      <w:r w:rsidRPr="00F65234">
        <w:rPr>
          <w:rtl/>
        </w:rPr>
        <w:t xml:space="preserve"> المكسيك</w:t>
      </w:r>
      <w:r>
        <w:rPr>
          <w:rtl/>
        </w:rPr>
        <w:t>،</w:t>
      </w:r>
      <w:r w:rsidRPr="00F65234">
        <w:rPr>
          <w:rtl/>
        </w:rPr>
        <w:t xml:space="preserve"> نيكاراغوا</w:t>
      </w:r>
      <w:r>
        <w:rPr>
          <w:rtl/>
        </w:rPr>
        <w:t>،</w:t>
      </w:r>
      <w:r w:rsidRPr="00F65234">
        <w:rPr>
          <w:rtl/>
        </w:rPr>
        <w:t xml:space="preserve"> بيرو</w:t>
      </w:r>
      <w:r>
        <w:rPr>
          <w:rtl/>
        </w:rPr>
        <w:t>،</w:t>
      </w:r>
      <w:r w:rsidRPr="00F65234">
        <w:rPr>
          <w:rtl/>
        </w:rPr>
        <w:t xml:space="preserve"> البرتغال</w:t>
      </w:r>
      <w:r>
        <w:rPr>
          <w:rtl/>
        </w:rPr>
        <w:t>،</w:t>
      </w:r>
      <w:r w:rsidRPr="00F65234">
        <w:rPr>
          <w:rtl/>
        </w:rPr>
        <w:t xml:space="preserve"> سلوفاكيا</w:t>
      </w:r>
      <w:r>
        <w:rPr>
          <w:rFonts w:hint="eastAsia"/>
          <w:rtl/>
        </w:rPr>
        <w:t> </w:t>
      </w:r>
      <w:r w:rsidRPr="00E5369F">
        <w:rPr>
          <w:rFonts w:hint="cs"/>
          <w:rtl/>
        </w:rPr>
        <w:t>(</w:t>
      </w:r>
      <w:r>
        <w:rPr>
          <w:rFonts w:hint="cs"/>
          <w:rtl/>
        </w:rPr>
        <w:t>13</w:t>
      </w:r>
      <w:r w:rsidRPr="00E5369F">
        <w:rPr>
          <w:rFonts w:hint="cs"/>
          <w:rtl/>
        </w:rPr>
        <w:t>).</w:t>
      </w:r>
    </w:p>
    <w:p w:rsidR="00DB443D" w:rsidRDefault="00DB443D" w:rsidP="00DB443D">
      <w:pPr>
        <w:pStyle w:val="ONUMA"/>
      </w:pPr>
      <w:r w:rsidRPr="00E5369F">
        <w:rPr>
          <w:rFonts w:hint="cs"/>
          <w:rtl/>
        </w:rPr>
        <w:t xml:space="preserve">وكانت الدول التالية ممثَّلة بصفة مراقب: </w:t>
      </w:r>
      <w:r w:rsidRPr="00F65234">
        <w:rPr>
          <w:rtl/>
        </w:rPr>
        <w:t>أفغانستان</w:t>
      </w:r>
      <w:r>
        <w:rPr>
          <w:rFonts w:hint="cs"/>
          <w:rtl/>
        </w:rPr>
        <w:t>،</w:t>
      </w:r>
      <w:r w:rsidRPr="00F65234">
        <w:rPr>
          <w:rtl/>
        </w:rPr>
        <w:t xml:space="preserve"> أستراليا</w:t>
      </w:r>
      <w:r>
        <w:rPr>
          <w:rtl/>
        </w:rPr>
        <w:t>،</w:t>
      </w:r>
      <w:r w:rsidRPr="00F65234">
        <w:rPr>
          <w:rtl/>
        </w:rPr>
        <w:t xml:space="preserve"> فنلندا</w:t>
      </w:r>
      <w:r>
        <w:rPr>
          <w:rtl/>
        </w:rPr>
        <w:t>،</w:t>
      </w:r>
      <w:r w:rsidRPr="00F65234">
        <w:rPr>
          <w:rtl/>
        </w:rPr>
        <w:t xml:space="preserve"> ألمانيا</w:t>
      </w:r>
      <w:r>
        <w:rPr>
          <w:rtl/>
        </w:rPr>
        <w:t>،</w:t>
      </w:r>
      <w:r w:rsidRPr="00F65234">
        <w:rPr>
          <w:rtl/>
        </w:rPr>
        <w:t xml:space="preserve"> غيانا</w:t>
      </w:r>
      <w:r>
        <w:rPr>
          <w:rtl/>
        </w:rPr>
        <w:t>،</w:t>
      </w:r>
      <w:r w:rsidRPr="00F65234">
        <w:rPr>
          <w:rtl/>
        </w:rPr>
        <w:t xml:space="preserve"> هندوراس</w:t>
      </w:r>
      <w:r>
        <w:rPr>
          <w:rtl/>
        </w:rPr>
        <w:t>،</w:t>
      </w:r>
      <w:r w:rsidRPr="00F65234">
        <w:rPr>
          <w:rtl/>
        </w:rPr>
        <w:t xml:space="preserve"> الهند</w:t>
      </w:r>
      <w:r>
        <w:rPr>
          <w:rtl/>
        </w:rPr>
        <w:t>،</w:t>
      </w:r>
      <w:r w:rsidRPr="00F65234">
        <w:rPr>
          <w:rtl/>
        </w:rPr>
        <w:t xml:space="preserve"> أيرلندا</w:t>
      </w:r>
      <w:r>
        <w:rPr>
          <w:rtl/>
        </w:rPr>
        <w:t>،</w:t>
      </w:r>
      <w:r w:rsidRPr="00F65234">
        <w:rPr>
          <w:rtl/>
        </w:rPr>
        <w:t xml:space="preserve"> اليابان</w:t>
      </w:r>
      <w:r>
        <w:rPr>
          <w:rtl/>
        </w:rPr>
        <w:t>،</w:t>
      </w:r>
      <w:r w:rsidRPr="00F65234">
        <w:rPr>
          <w:rtl/>
        </w:rPr>
        <w:t xml:space="preserve"> الكويت</w:t>
      </w:r>
      <w:r>
        <w:rPr>
          <w:rtl/>
        </w:rPr>
        <w:t>،</w:t>
      </w:r>
      <w:r w:rsidRPr="00F65234">
        <w:rPr>
          <w:rtl/>
        </w:rPr>
        <w:t xml:space="preserve"> نيجيريا</w:t>
      </w:r>
      <w:r>
        <w:rPr>
          <w:rtl/>
        </w:rPr>
        <w:t>،</w:t>
      </w:r>
      <w:r w:rsidRPr="00F65234">
        <w:rPr>
          <w:rtl/>
        </w:rPr>
        <w:t xml:space="preserve"> باراغواي</w:t>
      </w:r>
      <w:r>
        <w:rPr>
          <w:rtl/>
        </w:rPr>
        <w:t>،</w:t>
      </w:r>
      <w:r w:rsidRPr="00F65234">
        <w:rPr>
          <w:rtl/>
        </w:rPr>
        <w:t xml:space="preserve"> بولندا</w:t>
      </w:r>
      <w:r>
        <w:rPr>
          <w:rtl/>
        </w:rPr>
        <w:t>،</w:t>
      </w:r>
      <w:r w:rsidRPr="00F65234">
        <w:rPr>
          <w:rtl/>
        </w:rPr>
        <w:t xml:space="preserve"> </w:t>
      </w:r>
      <w:r>
        <w:rPr>
          <w:rFonts w:hint="cs"/>
          <w:rtl/>
        </w:rPr>
        <w:t xml:space="preserve">جمهورية </w:t>
      </w:r>
      <w:r>
        <w:rPr>
          <w:rFonts w:hint="cs"/>
          <w:rtl/>
        </w:rPr>
        <w:lastRenderedPageBreak/>
        <w:t xml:space="preserve">كوريا، </w:t>
      </w:r>
      <w:r w:rsidRPr="00F65234">
        <w:rPr>
          <w:rtl/>
        </w:rPr>
        <w:t>رومانيا</w:t>
      </w:r>
      <w:r>
        <w:rPr>
          <w:rtl/>
        </w:rPr>
        <w:t>،</w:t>
      </w:r>
      <w:r w:rsidRPr="00F65234">
        <w:rPr>
          <w:rtl/>
        </w:rPr>
        <w:t xml:space="preserve"> الاتحاد الروسي</w:t>
      </w:r>
      <w:r>
        <w:rPr>
          <w:rtl/>
        </w:rPr>
        <w:t>،</w:t>
      </w:r>
      <w:r w:rsidRPr="00F65234">
        <w:rPr>
          <w:rtl/>
        </w:rPr>
        <w:t xml:space="preserve"> السنغال</w:t>
      </w:r>
      <w:r>
        <w:rPr>
          <w:rtl/>
        </w:rPr>
        <w:t>،</w:t>
      </w:r>
      <w:r w:rsidRPr="00F65234">
        <w:rPr>
          <w:rtl/>
        </w:rPr>
        <w:t xml:space="preserve"> إسبانيا</w:t>
      </w:r>
      <w:r>
        <w:rPr>
          <w:rtl/>
        </w:rPr>
        <w:t>،</w:t>
      </w:r>
      <w:r w:rsidRPr="00F65234">
        <w:rPr>
          <w:rtl/>
        </w:rPr>
        <w:t xml:space="preserve"> سويسرا</w:t>
      </w:r>
      <w:r>
        <w:rPr>
          <w:rtl/>
        </w:rPr>
        <w:t>،</w:t>
      </w:r>
      <w:r w:rsidRPr="00F65234">
        <w:rPr>
          <w:rtl/>
        </w:rPr>
        <w:t xml:space="preserve"> الولايات</w:t>
      </w:r>
      <w:r>
        <w:rPr>
          <w:rFonts w:hint="cs"/>
          <w:rtl/>
        </w:rPr>
        <w:t> </w:t>
      </w:r>
      <w:r w:rsidRPr="00F65234">
        <w:rPr>
          <w:rtl/>
        </w:rPr>
        <w:t>المتحدة</w:t>
      </w:r>
      <w:r>
        <w:rPr>
          <w:rFonts w:hint="cs"/>
          <w:rtl/>
        </w:rPr>
        <w:t> </w:t>
      </w:r>
      <w:r w:rsidRPr="00F65234">
        <w:rPr>
          <w:rtl/>
        </w:rPr>
        <w:t>الأمريكية</w:t>
      </w:r>
      <w:r w:rsidRPr="00E5369F">
        <w:rPr>
          <w:rFonts w:hint="cs"/>
          <w:rtl/>
        </w:rPr>
        <w:t xml:space="preserve"> (</w:t>
      </w:r>
      <w:r>
        <w:rPr>
          <w:rFonts w:hint="cs"/>
          <w:rtl/>
        </w:rPr>
        <w:t>20</w:t>
      </w:r>
      <w:r w:rsidRPr="00E5369F">
        <w:rPr>
          <w:rFonts w:hint="cs"/>
          <w:rtl/>
        </w:rPr>
        <w:t>).</w:t>
      </w:r>
    </w:p>
    <w:p w:rsidR="00DB443D" w:rsidRPr="00E5369F" w:rsidRDefault="00DB443D" w:rsidP="00DB443D">
      <w:pPr>
        <w:pStyle w:val="ONUMA"/>
      </w:pPr>
      <w:r w:rsidRPr="00E5369F">
        <w:rPr>
          <w:rFonts w:hint="cs"/>
          <w:rtl/>
        </w:rPr>
        <w:t xml:space="preserve">وشارك في الدورة ممثلو المنظمات الحكومية الدولية التالية بصفة مراقب: </w:t>
      </w:r>
      <w:r>
        <w:rPr>
          <w:rFonts w:hint="cs"/>
          <w:rtl/>
        </w:rPr>
        <w:t>الاتحاد الأوروبي، ومنظمة الأغذية والزراعة للأمم المتحدة (الفاو)، ومنظمة التعاون الإسلامي، ومنظمة التجارة العالمية (4).</w:t>
      </w:r>
    </w:p>
    <w:p w:rsidR="00DB443D" w:rsidRPr="00E5369F" w:rsidRDefault="00DB443D" w:rsidP="00DB443D">
      <w:pPr>
        <w:pStyle w:val="ONUMA"/>
      </w:pPr>
      <w:r w:rsidRPr="00E5369F">
        <w:rPr>
          <w:rFonts w:hint="cs"/>
          <w:rtl/>
        </w:rPr>
        <w:t xml:space="preserve">وشارك في الدورة ممثلو المنظمات </w:t>
      </w:r>
      <w:r>
        <w:rPr>
          <w:rFonts w:hint="cs"/>
          <w:rtl/>
        </w:rPr>
        <w:t>الوطنية و</w:t>
      </w:r>
      <w:r w:rsidRPr="00E5369F">
        <w:rPr>
          <w:rFonts w:hint="cs"/>
          <w:rtl/>
        </w:rPr>
        <w:t xml:space="preserve">الدولية غير الحكومية التالية بصفة مراقب: </w:t>
      </w:r>
      <w:r w:rsidRPr="002142A3">
        <w:rPr>
          <w:rtl/>
        </w:rPr>
        <w:t>الرابطة الكونغولية للتنمية الزراعية</w:t>
      </w:r>
      <w:r w:rsidRPr="002142A3">
        <w:rPr>
          <w:rFonts w:hint="cs"/>
          <w:rtl/>
        </w:rPr>
        <w:t xml:space="preserve"> (</w:t>
      </w:r>
      <w:r w:rsidRPr="002142A3">
        <w:t>ACDA</w:t>
      </w:r>
      <w:r w:rsidRPr="002142A3">
        <w:rPr>
          <w:rtl/>
        </w:rPr>
        <w:t>)</w:t>
      </w:r>
      <w:r w:rsidRPr="002142A3">
        <w:rPr>
          <w:rFonts w:hint="cs"/>
          <w:rtl/>
        </w:rPr>
        <w:t xml:space="preserve">، </w:t>
      </w:r>
      <w:r w:rsidRPr="002142A3">
        <w:rPr>
          <w:rtl/>
        </w:rPr>
        <w:t>ومركز الدراسات الدولية للملكية الفكرية (</w:t>
      </w:r>
      <w:r w:rsidRPr="002142A3">
        <w:t>CEIPI</w:t>
      </w:r>
      <w:r w:rsidRPr="002142A3">
        <w:rPr>
          <w:rtl/>
        </w:rPr>
        <w:t>)، وبرنامج الصحة والبيئة (</w:t>
      </w:r>
      <w:r w:rsidRPr="002142A3">
        <w:t>HEP</w:t>
      </w:r>
      <w:r w:rsidRPr="002142A3">
        <w:rPr>
          <w:rtl/>
        </w:rPr>
        <w:t>)</w:t>
      </w:r>
      <w:r w:rsidRPr="002142A3">
        <w:rPr>
          <w:rFonts w:hint="cs"/>
          <w:rtl/>
        </w:rPr>
        <w:t xml:space="preserve">، </w:t>
      </w:r>
      <w:r w:rsidRPr="002142A3">
        <w:rPr>
          <w:rtl/>
        </w:rPr>
        <w:t>والجمعية الدولية لقانون النبيذ (</w:t>
      </w:r>
      <w:r w:rsidRPr="002142A3">
        <w:t>AIDV</w:t>
      </w:r>
      <w:r w:rsidRPr="002142A3">
        <w:rPr>
          <w:rtl/>
        </w:rPr>
        <w:t>)</w:t>
      </w:r>
      <w:r w:rsidRPr="002142A3">
        <w:rPr>
          <w:rFonts w:hint="cs"/>
          <w:rtl/>
        </w:rPr>
        <w:t xml:space="preserve">، </w:t>
      </w:r>
      <w:r w:rsidRPr="002142A3">
        <w:rPr>
          <w:rtl/>
        </w:rPr>
        <w:t>و</w:t>
      </w:r>
      <w:r w:rsidRPr="002142A3">
        <w:t>MARQUES</w:t>
      </w:r>
      <w:r w:rsidRPr="002142A3">
        <w:rPr>
          <w:rtl/>
        </w:rPr>
        <w:t xml:space="preserve"> - جمعية مالكي العلامات التجارية الأوروبيين</w:t>
      </w:r>
      <w:r w:rsidRPr="002142A3">
        <w:rPr>
          <w:rFonts w:hint="cs"/>
          <w:rtl/>
        </w:rPr>
        <w:t xml:space="preserve">، </w:t>
      </w:r>
      <w:r w:rsidRPr="002142A3">
        <w:rPr>
          <w:rtl/>
        </w:rPr>
        <w:t xml:space="preserve">ومنظمة الشبكة الدولية للمؤشرات الجغرافية </w:t>
      </w:r>
      <w:r w:rsidRPr="002142A3">
        <w:t>(oriGIn)</w:t>
      </w:r>
      <w:r w:rsidRPr="002142A3">
        <w:rPr>
          <w:rtl/>
        </w:rPr>
        <w:t xml:space="preserve"> (</w:t>
      </w:r>
      <w:r>
        <w:rPr>
          <w:rFonts w:hint="cs"/>
          <w:rtl/>
        </w:rPr>
        <w:t>6</w:t>
      </w:r>
      <w:r w:rsidRPr="002142A3">
        <w:rPr>
          <w:rtl/>
        </w:rPr>
        <w:t>).</w:t>
      </w:r>
    </w:p>
    <w:p w:rsidR="00DB443D" w:rsidRPr="00E5369F" w:rsidRDefault="00DB443D" w:rsidP="00DB443D">
      <w:pPr>
        <w:pStyle w:val="ONUMA"/>
      </w:pPr>
      <w:r w:rsidRPr="00E5369F">
        <w:rPr>
          <w:rFonts w:hint="cs"/>
          <w:rtl/>
        </w:rPr>
        <w:t xml:space="preserve">وترد قائمة المشاركين في الوثيقة </w:t>
      </w:r>
      <w:r w:rsidRPr="00E5369F">
        <w:t>LI/WG/DEV-SYS/</w:t>
      </w:r>
      <w:r>
        <w:t>2</w:t>
      </w:r>
      <w:r w:rsidRPr="00E5369F">
        <w:t>/INF/1 Prov.</w:t>
      </w:r>
      <w:r w:rsidRPr="00E5369F">
        <w:rPr>
          <w:rFonts w:hint="cs"/>
          <w:rtl/>
        </w:rPr>
        <w:t xml:space="preserve"> </w:t>
      </w:r>
      <w:r w:rsidRPr="00E5369F">
        <w:rPr>
          <w:sz w:val="28"/>
          <w:szCs w:val="28"/>
          <w:vertAlign w:val="superscript"/>
        </w:rPr>
        <w:footnoteReference w:customMarkFollows="1" w:id="1"/>
        <w:sym w:font="Symbol" w:char="F02A"/>
      </w:r>
      <w:r w:rsidRPr="00E5369F">
        <w:rPr>
          <w:rFonts w:hint="cs"/>
          <w:rtl/>
        </w:rPr>
        <w:t>.</w:t>
      </w:r>
    </w:p>
    <w:p w:rsidR="00DB443D" w:rsidRPr="00E5369F" w:rsidRDefault="00DB443D" w:rsidP="00DB443D">
      <w:pPr>
        <w:pStyle w:val="Heading2"/>
        <w:rPr>
          <w:rtl/>
          <w:lang w:val="fr-CH"/>
        </w:rPr>
      </w:pPr>
      <w:r w:rsidRPr="00E5369F">
        <w:rPr>
          <w:rFonts w:hint="cs"/>
          <w:rtl/>
          <w:lang w:val="fr-CH"/>
        </w:rPr>
        <w:t>البند 1 من جدول الأعمال: افتتاح الدورة</w:t>
      </w:r>
    </w:p>
    <w:p w:rsidR="00DB443D" w:rsidRPr="00E5369F" w:rsidRDefault="00DB443D" w:rsidP="00DB443D">
      <w:pPr>
        <w:pStyle w:val="ONUMA"/>
      </w:pPr>
      <w:r w:rsidRPr="00E5369F">
        <w:rPr>
          <w:rFonts w:hint="cs"/>
          <w:rtl/>
        </w:rPr>
        <w:t>افتتح الدورة السيد فرانسس غري</w:t>
      </w:r>
      <w:r>
        <w:rPr>
          <w:rFonts w:hint="cs"/>
          <w:rtl/>
        </w:rPr>
        <w:t>،</w:t>
      </w:r>
      <w:r w:rsidRPr="00E5369F">
        <w:rPr>
          <w:rFonts w:hint="cs"/>
          <w:rtl/>
        </w:rPr>
        <w:t xml:space="preserve"> </w:t>
      </w:r>
      <w:r>
        <w:rPr>
          <w:rFonts w:hint="cs"/>
          <w:rtl/>
        </w:rPr>
        <w:t>المدير العام للمنظمة العالمية للملكية الفكرية (الويبو)</w:t>
      </w:r>
      <w:r w:rsidRPr="00E5369F">
        <w:rPr>
          <w:rFonts w:hint="cs"/>
          <w:rtl/>
        </w:rPr>
        <w:t>.</w:t>
      </w:r>
    </w:p>
    <w:p w:rsidR="00DB443D" w:rsidRPr="00E5369F" w:rsidRDefault="00DB443D" w:rsidP="00DB443D">
      <w:pPr>
        <w:pStyle w:val="Heading2"/>
        <w:rPr>
          <w:rtl/>
          <w:lang w:val="fr-CH"/>
        </w:rPr>
      </w:pPr>
      <w:r w:rsidRPr="00E5369F">
        <w:rPr>
          <w:rFonts w:hint="cs"/>
          <w:rtl/>
          <w:lang w:val="fr-CH"/>
        </w:rPr>
        <w:t>البند 2 من جدول الأعمال: انتخاب الرئيس ونائبي الرئيس</w:t>
      </w:r>
    </w:p>
    <w:p w:rsidR="00DB443D" w:rsidRPr="006A18BB" w:rsidRDefault="00DB443D" w:rsidP="00DB443D">
      <w:pPr>
        <w:pStyle w:val="ONUMA"/>
      </w:pPr>
      <w:r w:rsidRPr="006A18BB">
        <w:rPr>
          <w:rFonts w:hint="cs"/>
          <w:rtl/>
        </w:rPr>
        <w:t xml:space="preserve">انتُخب </w:t>
      </w:r>
      <w:r w:rsidRPr="006A18BB">
        <w:rPr>
          <w:rtl/>
        </w:rPr>
        <w:t xml:space="preserve">السيد </w:t>
      </w:r>
      <w:r w:rsidRPr="006A18BB">
        <w:rPr>
          <w:rFonts w:hint="cs"/>
          <w:rtl/>
        </w:rPr>
        <w:t>تشابا باتيتش (هنغاريا)</w:t>
      </w:r>
      <w:r>
        <w:rPr>
          <w:rFonts w:hint="cs"/>
          <w:rtl/>
        </w:rPr>
        <w:t>، بالإجماع، رئيسا للفريق العامل</w:t>
      </w:r>
      <w:r w:rsidRPr="006A18BB">
        <w:rPr>
          <w:rFonts w:hint="cs"/>
          <w:rtl/>
        </w:rPr>
        <w:t>.</w:t>
      </w:r>
    </w:p>
    <w:p w:rsidR="00DB443D" w:rsidRPr="00E5369F" w:rsidRDefault="00DB443D" w:rsidP="00DB443D">
      <w:pPr>
        <w:pStyle w:val="ONUMA"/>
        <w:rPr>
          <w:rtl/>
        </w:rPr>
      </w:pPr>
      <w:r w:rsidRPr="00E5369F">
        <w:rPr>
          <w:rFonts w:hint="cs"/>
          <w:rtl/>
        </w:rPr>
        <w:lastRenderedPageBreak/>
        <w:t>وتولت السيدة ألكسندرا غرازيولي (الويبو) مهمة أمين الفريق العامل.</w:t>
      </w:r>
    </w:p>
    <w:p w:rsidR="00DB443D" w:rsidRPr="00E5369F" w:rsidRDefault="00DB443D" w:rsidP="00DB443D">
      <w:pPr>
        <w:pStyle w:val="Heading2"/>
        <w:rPr>
          <w:rtl/>
          <w:lang w:val="fr-CH"/>
        </w:rPr>
      </w:pPr>
      <w:r w:rsidRPr="00E5369F">
        <w:rPr>
          <w:rFonts w:hint="cs"/>
          <w:rtl/>
          <w:lang w:val="fr-CH"/>
        </w:rPr>
        <w:t>البند 3 من جدول الأعمال: اعتماد جدول الأعمال</w:t>
      </w:r>
    </w:p>
    <w:p w:rsidR="00DB443D" w:rsidRPr="00E5369F" w:rsidRDefault="00DB443D" w:rsidP="00DB443D">
      <w:pPr>
        <w:pStyle w:val="ONUMA"/>
        <w:ind w:left="566"/>
      </w:pPr>
      <w:r w:rsidRPr="00E5369F">
        <w:rPr>
          <w:rFonts w:hint="cs"/>
          <w:rtl/>
        </w:rPr>
        <w:t>اعتمد الفريق العامل مشروع جدول الأعمال (الوثيقة</w:t>
      </w:r>
      <w:r w:rsidRPr="00E5369F">
        <w:rPr>
          <w:rFonts w:hint="eastAsia"/>
          <w:rtl/>
        </w:rPr>
        <w:t> </w:t>
      </w:r>
      <w:r w:rsidRPr="00E5369F">
        <w:t>LI/WG/DEV-SYS/</w:t>
      </w:r>
      <w:r>
        <w:t>2</w:t>
      </w:r>
      <w:r w:rsidRPr="00E5369F">
        <w:t>/1 Prov.</w:t>
      </w:r>
      <w:r w:rsidRPr="00E5369F">
        <w:rPr>
          <w:rFonts w:hint="cs"/>
          <w:rtl/>
        </w:rPr>
        <w:t>) دون إدخال أي</w:t>
      </w:r>
      <w:r>
        <w:rPr>
          <w:rFonts w:hint="eastAsia"/>
          <w:rtl/>
        </w:rPr>
        <w:t> </w:t>
      </w:r>
      <w:r w:rsidRPr="00E5369F">
        <w:rPr>
          <w:rFonts w:hint="cs"/>
          <w:rtl/>
        </w:rPr>
        <w:t>تعديل.</w:t>
      </w:r>
    </w:p>
    <w:p w:rsidR="00DB443D" w:rsidRPr="00E5369F" w:rsidRDefault="00DB443D" w:rsidP="00DB443D">
      <w:pPr>
        <w:pStyle w:val="Heading2"/>
        <w:rPr>
          <w:rtl/>
          <w:lang w:val="fr-CH"/>
        </w:rPr>
      </w:pPr>
      <w:r w:rsidRPr="00E5369F">
        <w:rPr>
          <w:rFonts w:hint="cs"/>
          <w:rtl/>
          <w:lang w:val="fr-CH"/>
        </w:rPr>
        <w:t xml:space="preserve">البند </w:t>
      </w:r>
      <w:r>
        <w:rPr>
          <w:rFonts w:hint="cs"/>
          <w:rtl/>
          <w:lang w:val="fr-CH"/>
        </w:rPr>
        <w:t>4</w:t>
      </w:r>
      <w:r w:rsidRPr="00E5369F">
        <w:rPr>
          <w:rFonts w:hint="cs"/>
          <w:rtl/>
          <w:lang w:val="fr-CH"/>
        </w:rPr>
        <w:t xml:space="preserve"> من جدول الأعمال: الاستدامة المالية لاتحاد لشبونة</w:t>
      </w:r>
    </w:p>
    <w:p w:rsidR="00DB443D" w:rsidRDefault="00DB443D" w:rsidP="00DB443D">
      <w:pPr>
        <w:pStyle w:val="ONUMA"/>
      </w:pPr>
      <w:r w:rsidRPr="00E5369F">
        <w:rPr>
          <w:rFonts w:hint="cs"/>
          <w:rtl/>
        </w:rPr>
        <w:t>استندت المناقشات إلى الوثيقة</w:t>
      </w:r>
      <w:r w:rsidRPr="00E5369F">
        <w:rPr>
          <w:rFonts w:hint="eastAsia"/>
          <w:rtl/>
        </w:rPr>
        <w:t> </w:t>
      </w:r>
      <w:r w:rsidRPr="00E5369F">
        <w:t>LI/WG/DEV-SYS/</w:t>
      </w:r>
      <w:r>
        <w:t>2</w:t>
      </w:r>
      <w:r w:rsidRPr="00E5369F">
        <w:t>/</w:t>
      </w:r>
      <w:r>
        <w:t>2</w:t>
      </w:r>
      <w:r w:rsidRPr="00E5369F">
        <w:rPr>
          <w:rFonts w:hint="cs"/>
          <w:rtl/>
        </w:rPr>
        <w:t>.</w:t>
      </w:r>
    </w:p>
    <w:p w:rsidR="00DB443D" w:rsidRDefault="00DB443D" w:rsidP="00DB443D">
      <w:pPr>
        <w:pStyle w:val="ONUMA"/>
      </w:pPr>
      <w:r>
        <w:rPr>
          <w:rFonts w:hint="cs"/>
          <w:rtl/>
        </w:rPr>
        <w:t>وأحاط الرئيس علما بالمواقف التي أبدتها كل الوفود، بما في ذلك الوفود المراقِبة. وستُبيَّن تلك المواقف على النحو الكامل في تقرير هذه الدورة.</w:t>
      </w:r>
    </w:p>
    <w:p w:rsidR="00DB443D" w:rsidRPr="00E5369F" w:rsidRDefault="00DB443D" w:rsidP="00DB443D">
      <w:pPr>
        <w:pStyle w:val="ONUMA"/>
      </w:pPr>
      <w:r>
        <w:rPr>
          <w:rFonts w:hint="cs"/>
          <w:rtl/>
        </w:rPr>
        <w:t>وأكّد الفريق العامل أيضا أهمية أنشطة الترويج في زيادة عضوية نظام لشبونة، بما في ذلك وثيقة جنيف، والحاجة إلى تعزيز التنسيق بين أعضاء نظام لشبونة في هذا الصدد.</w:t>
      </w:r>
    </w:p>
    <w:p w:rsidR="00DB443D" w:rsidRPr="0034029D" w:rsidRDefault="00DB443D" w:rsidP="00DB443D">
      <w:pPr>
        <w:pStyle w:val="ONUMA"/>
        <w:ind w:left="535"/>
      </w:pPr>
      <w:r w:rsidRPr="0034029D">
        <w:rPr>
          <w:rFonts w:hint="cs"/>
          <w:rtl/>
        </w:rPr>
        <w:t>وعلى أساس المناقشات التي جرت ضمن البند 4 من جدول الأعمال، قرّر الفريق العامل ما يلي:</w:t>
      </w:r>
    </w:p>
    <w:p w:rsidR="00DB443D" w:rsidRPr="0034029D" w:rsidRDefault="00DB443D" w:rsidP="00DB443D">
      <w:pPr>
        <w:pStyle w:val="ONUMA"/>
        <w:numPr>
          <w:ilvl w:val="1"/>
          <w:numId w:val="24"/>
        </w:numPr>
        <w:ind w:left="1075"/>
      </w:pPr>
      <w:r w:rsidRPr="0034029D">
        <w:rPr>
          <w:rFonts w:hint="cs"/>
          <w:rtl/>
        </w:rPr>
        <w:t>الإحاطة علما بالإعلانات المُقدمة ومختلف الآراء المُعرب عنها ضمن البند 4 من جدول الأعمال؛</w:t>
      </w:r>
    </w:p>
    <w:p w:rsidR="00DB443D" w:rsidRPr="0034029D" w:rsidRDefault="00DB443D" w:rsidP="00DB443D">
      <w:pPr>
        <w:pStyle w:val="ONUMA"/>
        <w:numPr>
          <w:ilvl w:val="1"/>
          <w:numId w:val="24"/>
        </w:numPr>
        <w:ind w:left="1700" w:hanging="625"/>
      </w:pPr>
      <w:r w:rsidRPr="0034029D">
        <w:rPr>
          <w:rFonts w:hint="cs"/>
          <w:rtl/>
        </w:rPr>
        <w:t xml:space="preserve">والاستمرار في مناقشة التدابير المناسبة لضمان الاستدامة المالية لنظام لشبونة في المستقبل، بما في ذلك مراجعة جدول </w:t>
      </w:r>
      <w:r>
        <w:rPr>
          <w:rFonts w:hint="cs"/>
          <w:rtl/>
        </w:rPr>
        <w:t>ال</w:t>
      </w:r>
      <w:r w:rsidRPr="0034029D">
        <w:rPr>
          <w:rFonts w:hint="cs"/>
          <w:rtl/>
        </w:rPr>
        <w:t xml:space="preserve">رسوم بانتظام، مع </w:t>
      </w:r>
      <w:r w:rsidRPr="0034029D">
        <w:rPr>
          <w:rFonts w:hint="cs"/>
          <w:rtl/>
        </w:rPr>
        <w:lastRenderedPageBreak/>
        <w:t>الاعتراف بلزوم تقييم أثر دخول وثيقة جنيف حيز النفاذ على الوضع المالي للاتحاد.</w:t>
      </w:r>
    </w:p>
    <w:p w:rsidR="00DB443D" w:rsidRPr="00E5369F" w:rsidRDefault="00DB443D" w:rsidP="00DB443D">
      <w:pPr>
        <w:pStyle w:val="Heading2"/>
        <w:rPr>
          <w:rtl/>
          <w:lang w:val="fr-CH"/>
        </w:rPr>
      </w:pPr>
      <w:r w:rsidRPr="00E5369F">
        <w:rPr>
          <w:rFonts w:hint="cs"/>
          <w:rtl/>
          <w:lang w:val="fr-CH"/>
        </w:rPr>
        <w:t xml:space="preserve">البند </w:t>
      </w:r>
      <w:r>
        <w:rPr>
          <w:rFonts w:hint="cs"/>
          <w:rtl/>
          <w:lang w:val="fr-CH"/>
        </w:rPr>
        <w:t>5</w:t>
      </w:r>
      <w:r w:rsidRPr="00E5369F">
        <w:rPr>
          <w:rFonts w:hint="cs"/>
          <w:rtl/>
          <w:lang w:val="fr-CH"/>
        </w:rPr>
        <w:t xml:space="preserve"> من جدول الأعمال: اعتماد ملخص الرئيس</w:t>
      </w:r>
    </w:p>
    <w:p w:rsidR="00DB443D" w:rsidRDefault="00DB443D" w:rsidP="00DB443D">
      <w:pPr>
        <w:pStyle w:val="ONUMA"/>
        <w:ind w:left="566"/>
        <w:rPr>
          <w:rtl/>
        </w:rPr>
      </w:pPr>
      <w:r w:rsidRPr="00E5369F">
        <w:rPr>
          <w:rFonts w:hint="cs"/>
          <w:rtl/>
        </w:rPr>
        <w:t>اعتمد الفريق العامل ملخص الرئيس بالصيغة الواردة في هذه الوثيقة.</w:t>
      </w:r>
    </w:p>
    <w:p w:rsidR="00DB443D" w:rsidRPr="00E5369F" w:rsidRDefault="00DB443D" w:rsidP="00DB443D">
      <w:pPr>
        <w:pStyle w:val="Heading2"/>
        <w:rPr>
          <w:rtl/>
          <w:lang w:val="fr-CH"/>
        </w:rPr>
      </w:pPr>
      <w:r w:rsidRPr="00E5369F">
        <w:rPr>
          <w:rFonts w:hint="cs"/>
          <w:rtl/>
          <w:lang w:val="fr-CH"/>
        </w:rPr>
        <w:t xml:space="preserve">البند </w:t>
      </w:r>
      <w:r>
        <w:rPr>
          <w:rFonts w:hint="cs"/>
          <w:rtl/>
          <w:lang w:val="fr-CH"/>
        </w:rPr>
        <w:t>6</w:t>
      </w:r>
      <w:r w:rsidRPr="00E5369F">
        <w:rPr>
          <w:rFonts w:hint="cs"/>
          <w:rtl/>
          <w:lang w:val="fr-CH"/>
        </w:rPr>
        <w:t xml:space="preserve"> من جدول الأعمال: اختتام الدورة</w:t>
      </w:r>
    </w:p>
    <w:p w:rsidR="00DB443D" w:rsidRPr="00E5369F" w:rsidRDefault="00DB443D" w:rsidP="00DB443D">
      <w:pPr>
        <w:pStyle w:val="ONUMA"/>
      </w:pPr>
      <w:r w:rsidRPr="00E5369F">
        <w:rPr>
          <w:rFonts w:hint="cs"/>
          <w:rtl/>
        </w:rPr>
        <w:t xml:space="preserve">اختتم الرئيس الدورة في </w:t>
      </w:r>
      <w:r>
        <w:rPr>
          <w:rFonts w:hint="cs"/>
          <w:rtl/>
        </w:rPr>
        <w:t>28</w:t>
      </w:r>
      <w:r w:rsidRPr="00E5369F">
        <w:rPr>
          <w:rFonts w:hint="eastAsia"/>
          <w:rtl/>
        </w:rPr>
        <w:t> </w:t>
      </w:r>
      <w:r>
        <w:rPr>
          <w:rFonts w:hint="cs"/>
          <w:rtl/>
        </w:rPr>
        <w:t>مايو</w:t>
      </w:r>
      <w:r w:rsidRPr="00E5369F">
        <w:rPr>
          <w:rFonts w:hint="eastAsia"/>
          <w:rtl/>
        </w:rPr>
        <w:t> </w:t>
      </w:r>
      <w:r>
        <w:rPr>
          <w:rFonts w:hint="cs"/>
          <w:rtl/>
        </w:rPr>
        <w:t>2019</w:t>
      </w:r>
      <w:r w:rsidRPr="00E5369F">
        <w:rPr>
          <w:rFonts w:hint="cs"/>
          <w:rtl/>
        </w:rPr>
        <w:t>.</w:t>
      </w:r>
    </w:p>
    <w:p w:rsidR="00DB443D" w:rsidRPr="00E5369F" w:rsidRDefault="00DB443D" w:rsidP="00DB443D">
      <w:pPr>
        <w:pStyle w:val="Endofdocument-Annex"/>
        <w:rPr>
          <w:rtl/>
        </w:rPr>
      </w:pPr>
      <w:r>
        <w:rPr>
          <w:rFonts w:hint="cs"/>
          <w:rtl/>
        </w:rPr>
        <w:t>[نهاية الوثيقة]</w:t>
      </w:r>
    </w:p>
    <w:sectPr w:rsidR="00DB443D" w:rsidRPr="00E5369F" w:rsidSect="00DB443D">
      <w:headerReference w:type="even" r:id="rId13"/>
      <w:headerReference w:type="default" r:id="rId14"/>
      <w:footerReference w:type="even" r:id="rId15"/>
      <w:footerReference w:type="default" r:id="rId16"/>
      <w:headerReference w:type="first" r:id="rId17"/>
      <w:foot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A50" w:rsidRDefault="00A16A50">
      <w:r>
        <w:separator/>
      </w:r>
    </w:p>
  </w:endnote>
  <w:endnote w:type="continuationSeparator" w:id="0">
    <w:p w:rsidR="00A16A50" w:rsidRDefault="00A1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D1" w:rsidRDefault="00B1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D1" w:rsidRDefault="00B10ED1" w:rsidP="00B10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D1" w:rsidRDefault="00B10E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D1" w:rsidRDefault="00B1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A50" w:rsidRDefault="00A16A50" w:rsidP="009622BF">
      <w:bookmarkStart w:id="0" w:name="OLE_LINK1"/>
      <w:bookmarkStart w:id="1" w:name="OLE_LINK2"/>
      <w:r>
        <w:separator/>
      </w:r>
      <w:bookmarkEnd w:id="0"/>
      <w:bookmarkEnd w:id="1"/>
    </w:p>
  </w:footnote>
  <w:footnote w:type="continuationSeparator" w:id="0">
    <w:p w:rsidR="00A16A50" w:rsidRDefault="00A16A50" w:rsidP="009622BF">
      <w:r>
        <w:separator/>
      </w:r>
    </w:p>
  </w:footnote>
  <w:footnote w:id="1">
    <w:p w:rsidR="00DB443D" w:rsidRDefault="00DB443D" w:rsidP="00DB443D">
      <w:pPr>
        <w:pStyle w:val="FootnoteText"/>
      </w:pPr>
      <w:r w:rsidRPr="00385C08">
        <w:rPr>
          <w:rStyle w:val="FootnoteReference"/>
        </w:rPr>
        <w:sym w:font="Symbol" w:char="F02A"/>
      </w:r>
      <w:r>
        <w:rPr>
          <w:rFonts w:hint="cs"/>
          <w:rtl/>
        </w:rPr>
        <w:tab/>
        <w:t>ستُتاح قائمة المشاركين النهائية في مرفق تقرير الدورة.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D1" w:rsidRPr="00C50A61" w:rsidRDefault="00B10ED1" w:rsidP="00B10ED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B10ED1" w:rsidRPr="00C50A61" w:rsidRDefault="00B10ED1" w:rsidP="00B10ED1">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3" w:name="Code3"/>
  <w:bookmarkEnd w:id="13"/>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B0DB1">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D1" w:rsidRDefault="00B10E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D1" w:rsidRPr="00A54AF9" w:rsidRDefault="00B10ED1" w:rsidP="00B10ED1">
    <w:pPr>
      <w:bidi w:val="0"/>
      <w:rPr>
        <w:rFonts w:ascii="Arial" w:hAnsi="Arial" w:cs="Arial"/>
        <w:sz w:val="22"/>
        <w:szCs w:val="22"/>
      </w:rPr>
    </w:pPr>
    <w:r w:rsidRPr="00A54AF9">
      <w:rPr>
        <w:rFonts w:ascii="Arial" w:hAnsi="Arial" w:cs="Arial"/>
        <w:sz w:val="22"/>
        <w:szCs w:val="22"/>
      </w:rPr>
      <w:t>LI/WG/DEV-SYS/2/3</w:t>
    </w:r>
  </w:p>
  <w:p w:rsidR="00B10ED1" w:rsidRPr="00C50A61" w:rsidRDefault="00B10ED1" w:rsidP="00B10ED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B10ED1" w:rsidRPr="00C50A61" w:rsidRDefault="00B10ED1" w:rsidP="00B10ED1">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AF9" w:rsidRPr="00A54AF9" w:rsidRDefault="00A16A50" w:rsidP="006D602F">
    <w:pPr>
      <w:bidi w:val="0"/>
      <w:rPr>
        <w:rFonts w:ascii="Arial" w:hAnsi="Arial" w:cs="Arial"/>
        <w:sz w:val="22"/>
        <w:szCs w:val="22"/>
      </w:rPr>
    </w:pPr>
    <w:r w:rsidRPr="00A54AF9">
      <w:rPr>
        <w:rFonts w:ascii="Arial" w:hAnsi="Arial" w:cs="Arial"/>
        <w:sz w:val="22"/>
        <w:szCs w:val="22"/>
      </w:rPr>
      <w:t>LI/WG/DEV-SYS/2/3</w:t>
    </w:r>
  </w:p>
  <w:p w:rsidR="004C495B" w:rsidRPr="00C50A61" w:rsidRDefault="004C495B" w:rsidP="00A54AF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10ED1">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43D" w:rsidRDefault="00DB4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EB"/>
    <w:rsid w:val="00000B1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8FF"/>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22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227C"/>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1EE"/>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0DB1"/>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16A50"/>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6EB"/>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0ED1"/>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D1E"/>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97D45"/>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43D"/>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457"/>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0F9BF2F-2E86-4002-8089-B3B4D3E3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97D45"/>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LI_A_35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FC71C-7DC5-4DFA-81A9-7C8E1F91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LI_A_35_AR</Template>
  <TotalTime>0</TotalTime>
  <Pages>6</Pages>
  <Words>620</Words>
  <Characters>3429</Characters>
  <Application>Microsoft Office Word</Application>
  <DocSecurity>0</DocSecurity>
  <Lines>131</Lines>
  <Paragraphs>49</Paragraphs>
  <ScaleCrop>false</ScaleCrop>
  <HeadingPairs>
    <vt:vector size="2" baseType="variant">
      <vt:variant>
        <vt:lpstr>Title</vt:lpstr>
      </vt:variant>
      <vt:variant>
        <vt:i4>1</vt:i4>
      </vt:variant>
    </vt:vector>
  </HeadingPairs>
  <TitlesOfParts>
    <vt:vector size="1" baseType="lpstr">
      <vt:lpstr>LI/A/35/_x000d_ (Arabic)</vt:lpstr>
    </vt:vector>
  </TitlesOfParts>
  <Company>World Intellectual Property Organization</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LI/A/35/_x000d_ (Arabic)</dc:title>
  <dc:creator>IHADADENE Soraya</dc:creator>
  <cp:keywords>PUBLIC</cp:keywords>
  <cp:lastModifiedBy>HÄFLIGER Patience</cp:lastModifiedBy>
  <cp:revision>3</cp:revision>
  <cp:lastPrinted>2018-06-12T09:05:00Z</cp:lastPrinted>
  <dcterms:created xsi:type="dcterms:W3CDTF">2019-07-18T07:31:00Z</dcterms:created>
  <dcterms:modified xsi:type="dcterms:W3CDTF">2019-08-14T09:47:00Z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9dbff72e-bf49-4e90-85bc-2694c7c2e42d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