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AD6672">
            <w:pPr>
              <w:keepNext/>
              <w:bidi/>
              <w:rPr>
                <w:rFonts w:ascii="Arabic Typesetting" w:hAnsi="Arabic Typesetting" w:cs="Arabic Typesetting"/>
                <w:sz w:val="36"/>
                <w:szCs w:val="36"/>
              </w:rPr>
            </w:pPr>
            <w:bookmarkStart w:id="2" w:name="_GoBack"/>
            <w:bookmarkEnd w:id="2"/>
          </w:p>
        </w:tc>
        <w:tc>
          <w:tcPr>
            <w:tcW w:w="4223" w:type="dxa"/>
            <w:tcBorders>
              <w:bottom w:val="single" w:sz="4" w:space="0" w:color="auto"/>
            </w:tcBorders>
          </w:tcPr>
          <w:p w:rsidR="001667B6" w:rsidRDefault="00772E46" w:rsidP="00AD6672">
            <w:pPr>
              <w:keepNext/>
              <w:bidi/>
              <w:spacing w:after="20"/>
              <w:rPr>
                <w:rFonts w:ascii="Arabic Typesetting" w:hAnsi="Arabic Typesetting" w:cs="Arabic Typesetting"/>
                <w:sz w:val="36"/>
                <w:szCs w:val="36"/>
                <w:rtl/>
              </w:rPr>
            </w:pPr>
            <w:r>
              <w:rPr>
                <w:noProof/>
              </w:rPr>
              <w:drawing>
                <wp:inline distT="0" distB="0" distL="0" distR="0" wp14:anchorId="7AEEB2D1" wp14:editId="324EF71C">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AD6672">
            <w:pPr>
              <w:keepNext/>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8903BD" w:rsidRDefault="001B2B3E" w:rsidP="00AF4CC6">
            <w:pPr>
              <w:pStyle w:val="DocumentCodeAR"/>
              <w:keepNext/>
              <w:bidi/>
              <w:rPr>
                <w:rtl/>
              </w:rPr>
            </w:pPr>
            <w:r w:rsidRPr="008903BD">
              <w:rPr>
                <w:caps/>
              </w:rPr>
              <w:t>mm/A/</w:t>
            </w:r>
            <w:bookmarkStart w:id="3" w:name="Code"/>
            <w:bookmarkEnd w:id="3"/>
            <w:r w:rsidRPr="008903BD">
              <w:rPr>
                <w:caps/>
              </w:rPr>
              <w:t>50/1</w:t>
            </w:r>
          </w:p>
        </w:tc>
      </w:tr>
      <w:tr w:rsidR="001667B6" w:rsidTr="00BF164F">
        <w:tc>
          <w:tcPr>
            <w:tcW w:w="9571" w:type="dxa"/>
            <w:gridSpan w:val="3"/>
          </w:tcPr>
          <w:p w:rsidR="001667B6" w:rsidRPr="00B6101C" w:rsidRDefault="00044F69" w:rsidP="00AD6672">
            <w:pPr>
              <w:pStyle w:val="DocumentLanguageAR"/>
              <w:keepNext/>
              <w:bidi/>
              <w:rPr>
                <w:rtl/>
                <w:lang w:bidi="ar-AE"/>
              </w:rPr>
            </w:pPr>
            <w:r>
              <w:rPr>
                <w:rFonts w:hint="cs"/>
                <w:rtl/>
              </w:rPr>
              <w:t xml:space="preserve">الأصل: </w:t>
            </w:r>
            <w:r>
              <w:rPr>
                <w:rFonts w:hint="cs"/>
                <w:rtl/>
                <w:lang w:bidi="ar-AE"/>
              </w:rPr>
              <w:t>بالإنكليزية</w:t>
            </w:r>
          </w:p>
        </w:tc>
      </w:tr>
      <w:tr w:rsidR="001667B6" w:rsidTr="00BF164F">
        <w:tc>
          <w:tcPr>
            <w:tcW w:w="9571" w:type="dxa"/>
            <w:gridSpan w:val="3"/>
          </w:tcPr>
          <w:p w:rsidR="001667B6" w:rsidRPr="00B6101C" w:rsidRDefault="00B6101C" w:rsidP="001B2B3E">
            <w:pPr>
              <w:pStyle w:val="DocumentDateAR"/>
              <w:keepNext/>
              <w:bidi/>
              <w:rPr>
                <w:rtl/>
              </w:rPr>
            </w:pPr>
            <w:r w:rsidRPr="00B6101C">
              <w:rPr>
                <w:rFonts w:hint="cs"/>
                <w:rtl/>
              </w:rPr>
              <w:t xml:space="preserve">التاريخ: </w:t>
            </w:r>
            <w:r w:rsidR="001B2B3E">
              <w:rPr>
                <w:rFonts w:hint="cs"/>
                <w:rtl/>
              </w:rPr>
              <w:t>4</w:t>
            </w:r>
            <w:r w:rsidRPr="00B6101C">
              <w:rPr>
                <w:rFonts w:hint="cs"/>
                <w:rtl/>
              </w:rPr>
              <w:t xml:space="preserve"> </w:t>
            </w:r>
            <w:r w:rsidR="001B2B3E">
              <w:rPr>
                <w:rFonts w:hint="cs"/>
                <w:rtl/>
                <w:lang w:bidi="ar-EG"/>
              </w:rPr>
              <w:t>يوليو</w:t>
            </w:r>
            <w:r w:rsidRPr="00B6101C">
              <w:rPr>
                <w:rFonts w:hint="cs"/>
                <w:rtl/>
              </w:rPr>
              <w:t xml:space="preserve"> </w:t>
            </w:r>
            <w:r w:rsidR="00AF4CC6">
              <w:rPr>
                <w:rFonts w:hint="cs"/>
                <w:rtl/>
              </w:rPr>
              <w:t>2015</w:t>
            </w:r>
          </w:p>
        </w:tc>
      </w:tr>
    </w:tbl>
    <w:p w:rsidR="000F5E56" w:rsidRDefault="000F5E56" w:rsidP="000849FE">
      <w:pPr>
        <w:widowControl w:val="0"/>
        <w:bidi/>
        <w:spacing w:line="360" w:lineRule="exact"/>
        <w:rPr>
          <w:rFonts w:ascii="Arabic Typesetting" w:hAnsi="Arabic Typesetting" w:cs="Arabic Typesetting"/>
          <w:sz w:val="36"/>
          <w:szCs w:val="36"/>
          <w:rtl/>
        </w:rPr>
      </w:pPr>
    </w:p>
    <w:p w:rsidR="001667B6" w:rsidRDefault="001667B6" w:rsidP="000849FE">
      <w:pPr>
        <w:widowControl w:val="0"/>
        <w:bidi/>
        <w:spacing w:line="360" w:lineRule="exact"/>
        <w:rPr>
          <w:rFonts w:ascii="Arabic Typesetting" w:hAnsi="Arabic Typesetting" w:cs="Arabic Typesetting"/>
          <w:sz w:val="36"/>
          <w:szCs w:val="36"/>
        </w:rPr>
      </w:pPr>
    </w:p>
    <w:p w:rsidR="000438DD" w:rsidRDefault="000438DD" w:rsidP="000849FE">
      <w:pPr>
        <w:widowControl w:val="0"/>
        <w:bidi/>
        <w:spacing w:line="360" w:lineRule="exact"/>
        <w:rPr>
          <w:rFonts w:ascii="Arabic Typesetting" w:hAnsi="Arabic Typesetting" w:cs="Arabic Typesetting"/>
          <w:sz w:val="36"/>
          <w:szCs w:val="36"/>
          <w:rtl/>
        </w:rPr>
      </w:pPr>
    </w:p>
    <w:p w:rsidR="00E1775E" w:rsidRDefault="00E1775E" w:rsidP="000849FE">
      <w:pPr>
        <w:pStyle w:val="MeetingTitleAR"/>
        <w:widowControl w:val="0"/>
        <w:bidi/>
        <w:rPr>
          <w:rtl/>
        </w:rPr>
      </w:pPr>
      <w:r>
        <w:rPr>
          <w:rFonts w:hint="cs"/>
          <w:rtl/>
        </w:rPr>
        <w:t>الاتحاد الخاص للتسجيل الدولي للعلامات</w:t>
      </w:r>
    </w:p>
    <w:p w:rsidR="00E1775E" w:rsidRPr="00840AF7" w:rsidRDefault="00E1775E" w:rsidP="000849FE">
      <w:pPr>
        <w:pStyle w:val="NormalParaAR"/>
        <w:widowControl w:val="0"/>
        <w:rPr>
          <w:rFonts w:cs="PT Bold Heading"/>
          <w:sz w:val="32"/>
          <w:szCs w:val="32"/>
          <w:rtl/>
        </w:rPr>
      </w:pPr>
      <w:r w:rsidRPr="00840AF7">
        <w:rPr>
          <w:rFonts w:cs="PT Bold Heading" w:hint="cs"/>
          <w:sz w:val="32"/>
          <w:szCs w:val="32"/>
          <w:rtl/>
        </w:rPr>
        <w:t>(اتحاد مدريد)</w:t>
      </w:r>
    </w:p>
    <w:p w:rsidR="00F27305" w:rsidRDefault="00F27305" w:rsidP="000849FE">
      <w:pPr>
        <w:widowControl w:val="0"/>
        <w:bidi/>
        <w:spacing w:line="360" w:lineRule="exact"/>
        <w:rPr>
          <w:rFonts w:ascii="Arabic Typesetting" w:hAnsi="Arabic Typesetting" w:cs="Arabic Typesetting"/>
          <w:sz w:val="36"/>
          <w:szCs w:val="36"/>
          <w:rtl/>
        </w:rPr>
      </w:pPr>
    </w:p>
    <w:p w:rsidR="001667B6" w:rsidRPr="0059089F" w:rsidRDefault="000438DD" w:rsidP="000849FE">
      <w:pPr>
        <w:pStyle w:val="MeetingTitleAR"/>
        <w:widowControl w:val="0"/>
        <w:bidi/>
        <w:ind w:right="550"/>
        <w:rPr>
          <w:rtl/>
          <w:lang w:val="fr-CH"/>
        </w:rPr>
      </w:pPr>
      <w:r>
        <w:rPr>
          <w:rFonts w:hint="cs"/>
          <w:rtl/>
          <w:lang w:val="fr-CH"/>
        </w:rPr>
        <w:t>الجمعية</w:t>
      </w:r>
    </w:p>
    <w:p w:rsidR="001667B6" w:rsidRDefault="001667B6" w:rsidP="000849FE">
      <w:pPr>
        <w:widowControl w:val="0"/>
        <w:bidi/>
        <w:spacing w:line="360" w:lineRule="exact"/>
        <w:rPr>
          <w:rFonts w:ascii="Arabic Typesetting" w:hAnsi="Arabic Typesetting" w:cs="Arabic Typesetting"/>
          <w:sz w:val="36"/>
          <w:szCs w:val="36"/>
          <w:rtl/>
        </w:rPr>
      </w:pPr>
    </w:p>
    <w:p w:rsidR="001667B6" w:rsidRPr="00783D11" w:rsidRDefault="001B2B3E" w:rsidP="006B1E65">
      <w:pPr>
        <w:pStyle w:val="MeetingSessionAR"/>
        <w:widowControl w:val="0"/>
        <w:bidi/>
        <w:rPr>
          <w:rFonts w:ascii="Cambria Math" w:hAnsi="Cambria Math"/>
          <w:rtl/>
        </w:rPr>
      </w:pPr>
      <w:r w:rsidRPr="001B2B3E">
        <w:rPr>
          <w:rFonts w:ascii="Cambria Math" w:hAnsi="Cambria Math"/>
          <w:rtl/>
        </w:rPr>
        <w:t>الدورة الخمسون (الدو</w:t>
      </w:r>
      <w:r>
        <w:rPr>
          <w:rFonts w:ascii="Cambria Math" w:hAnsi="Cambria Math"/>
          <w:rtl/>
        </w:rPr>
        <w:t>رة الاستثنائية التاسعة والعشرون</w:t>
      </w:r>
      <w:r w:rsidR="0059089F" w:rsidRPr="0059089F">
        <w:rPr>
          <w:rFonts w:ascii="Cambria Math" w:hAnsi="Cambria Math"/>
          <w:rtl/>
        </w:rPr>
        <w:t>)</w:t>
      </w:r>
    </w:p>
    <w:p w:rsidR="00D61541" w:rsidRPr="00D61541" w:rsidRDefault="001B2B3E" w:rsidP="00A13266">
      <w:pPr>
        <w:pStyle w:val="MeetingDatesAR"/>
        <w:widowControl w:val="0"/>
        <w:bidi/>
        <w:rPr>
          <w:rtl/>
        </w:rPr>
      </w:pPr>
      <w:r w:rsidRPr="001B2B3E">
        <w:rPr>
          <w:rtl/>
        </w:rPr>
        <w:t>جنيف، من 3 إلى 11 أكتوبر 2016</w:t>
      </w:r>
    </w:p>
    <w:p w:rsidR="00D61541" w:rsidRDefault="00D61541" w:rsidP="000849FE">
      <w:pPr>
        <w:widowControl w:val="0"/>
        <w:bidi/>
        <w:spacing w:line="360" w:lineRule="exact"/>
        <w:rPr>
          <w:rFonts w:ascii="Arabic Typesetting" w:hAnsi="Arabic Typesetting" w:cs="Arabic Typesetting"/>
          <w:sz w:val="36"/>
          <w:szCs w:val="36"/>
          <w:rtl/>
        </w:rPr>
      </w:pPr>
    </w:p>
    <w:p w:rsidR="00D61541" w:rsidRDefault="00D61541" w:rsidP="000849FE">
      <w:pPr>
        <w:widowControl w:val="0"/>
        <w:bidi/>
        <w:spacing w:line="360" w:lineRule="exact"/>
        <w:rPr>
          <w:rFonts w:ascii="Arabic Typesetting" w:hAnsi="Arabic Typesetting" w:cs="Arabic Typesetting"/>
          <w:sz w:val="36"/>
          <w:szCs w:val="36"/>
          <w:rtl/>
        </w:rPr>
      </w:pPr>
    </w:p>
    <w:p w:rsidR="00090597" w:rsidRPr="00C75510" w:rsidRDefault="00E94EBB" w:rsidP="00A93F58">
      <w:pPr>
        <w:pStyle w:val="DocumentTitleAR"/>
        <w:bidi/>
        <w:rPr>
          <w:i/>
          <w:iCs/>
          <w:rtl/>
        </w:rPr>
      </w:pPr>
      <w:r>
        <w:rPr>
          <w:rFonts w:hint="cs"/>
          <w:rtl/>
        </w:rPr>
        <w:t>تقرير مرح</w:t>
      </w:r>
      <w:r w:rsidR="00A93F58">
        <w:rPr>
          <w:rFonts w:hint="cs"/>
          <w:rtl/>
        </w:rPr>
        <w:t xml:space="preserve">لي عن </w:t>
      </w:r>
      <w:r w:rsidR="00090597" w:rsidRPr="00C75510">
        <w:rPr>
          <w:rtl/>
        </w:rPr>
        <w:t>قاعدة بيانات نظام مدريد بشأن السلع والخدمات</w:t>
      </w:r>
    </w:p>
    <w:p w:rsidR="00D61541" w:rsidRDefault="00D61541" w:rsidP="000849FE">
      <w:pPr>
        <w:pStyle w:val="PreparedbyAR"/>
        <w:bidi/>
        <w:rPr>
          <w:rtl/>
        </w:rPr>
      </w:pPr>
      <w:r w:rsidRPr="00D61541">
        <w:rPr>
          <w:rFonts w:hint="cs"/>
          <w:rtl/>
        </w:rPr>
        <w:t xml:space="preserve">من </w:t>
      </w:r>
      <w:r w:rsidRPr="00931859">
        <w:rPr>
          <w:rFonts w:hint="cs"/>
          <w:rtl/>
        </w:rPr>
        <w:t>إعداد</w:t>
      </w:r>
      <w:r w:rsidR="00090597">
        <w:rPr>
          <w:rFonts w:hint="cs"/>
          <w:rtl/>
        </w:rPr>
        <w:t xml:space="preserve"> </w:t>
      </w:r>
      <w:r w:rsidR="00090597" w:rsidRPr="000849FE">
        <w:rPr>
          <w:rFonts w:hint="cs"/>
          <w:rtl/>
        </w:rPr>
        <w:t>المكتب</w:t>
      </w:r>
      <w:r w:rsidR="00090597">
        <w:rPr>
          <w:rFonts w:hint="cs"/>
          <w:rtl/>
        </w:rPr>
        <w:t xml:space="preserve"> الدولي</w:t>
      </w:r>
    </w:p>
    <w:p w:rsidR="00090597" w:rsidRPr="00C75510" w:rsidRDefault="00090597" w:rsidP="000849FE">
      <w:pPr>
        <w:pStyle w:val="Heading1AR"/>
        <w:rPr>
          <w:rtl/>
        </w:rPr>
      </w:pPr>
      <w:r w:rsidRPr="00C75510">
        <w:rPr>
          <w:rtl/>
        </w:rPr>
        <w:t>مقدمة</w:t>
      </w:r>
    </w:p>
    <w:p w:rsidR="001B2B3E" w:rsidRDefault="001B2B3E" w:rsidP="003D143D">
      <w:pPr>
        <w:pStyle w:val="NumberedParaAR"/>
      </w:pPr>
      <w:r>
        <w:rPr>
          <w:rtl/>
        </w:rPr>
        <w:t xml:space="preserve">تستعرض هذه الوثيقة التقدم المحرز </w:t>
      </w:r>
      <w:r w:rsidR="003D143D">
        <w:rPr>
          <w:rFonts w:hint="cs"/>
          <w:rtl/>
        </w:rPr>
        <w:t>في</w:t>
      </w:r>
      <w:r>
        <w:rPr>
          <w:rtl/>
        </w:rPr>
        <w:t xml:space="preserve"> استحداث قاعدة تضم بيانات السلع والخدمات المقبولة لأغراض إجراءات نظام مدريد (والمشار إليها فيما يلي باسم "قاعدة بيانات نظام مدريد بشأن السلع والخدمات" أو "قاعدة بيانات السلع والخدمات"). </w:t>
      </w:r>
    </w:p>
    <w:p w:rsidR="001B2B3E" w:rsidRDefault="001B2B3E" w:rsidP="003D143D">
      <w:pPr>
        <w:pStyle w:val="NumberedParaAR"/>
      </w:pPr>
      <w:r>
        <w:rPr>
          <w:rtl/>
        </w:rPr>
        <w:t xml:space="preserve">وقد وافقت جمعية اتحاد مدريد في سبتمبر 2009 على مشروع مدته سنتان لاستحداث قاعدة بيانات بشأن السلع والخدمات على النحو الموضح في الوثيقة </w:t>
      </w:r>
      <w:r>
        <w:t>MM/A/42/3</w:t>
      </w:r>
      <w:r>
        <w:rPr>
          <w:rtl/>
        </w:rPr>
        <w:t xml:space="preserve">، وخصص الصندوق الاحتياطي لاتحاد مدريد مبلغ </w:t>
      </w:r>
      <w:r w:rsidR="003D143D">
        <w:rPr>
          <w:rFonts w:hint="cs"/>
          <w:rtl/>
        </w:rPr>
        <w:t>1.2</w:t>
      </w:r>
      <w:r>
        <w:rPr>
          <w:rtl/>
        </w:rPr>
        <w:t xml:space="preserve"> مليون فرنك سويسري لتنفيذه خلال الثنائية 2010-2011 (انظر الفقرة 28 من الوثيقة </w:t>
      </w:r>
      <w:r>
        <w:t>MM/A/42/4</w:t>
      </w:r>
      <w:r>
        <w:rPr>
          <w:rtl/>
        </w:rPr>
        <w:t xml:space="preserve">). وقُدمت سبعة تقارير مرحلية سابقة إلى جمعية اتحاد مدريد (انظر الوثائق التالية: </w:t>
      </w:r>
      <w:r>
        <w:t>MM/A/42/3</w:t>
      </w:r>
      <w:r>
        <w:rPr>
          <w:rtl/>
        </w:rPr>
        <w:t xml:space="preserve"> و</w:t>
      </w:r>
      <w:r>
        <w:t>MM/A/43/2</w:t>
      </w:r>
      <w:r>
        <w:rPr>
          <w:rtl/>
        </w:rPr>
        <w:t xml:space="preserve"> و</w:t>
      </w:r>
      <w:r>
        <w:t>MM/A/44/3</w:t>
      </w:r>
      <w:r>
        <w:rPr>
          <w:rtl/>
        </w:rPr>
        <w:t xml:space="preserve"> و</w:t>
      </w:r>
      <w:r>
        <w:t>MM/A/45/2</w:t>
      </w:r>
      <w:r>
        <w:rPr>
          <w:rtl/>
        </w:rPr>
        <w:t xml:space="preserve"> و</w:t>
      </w:r>
      <w:r>
        <w:t>MM/A/48/2</w:t>
      </w:r>
      <w:r>
        <w:rPr>
          <w:rtl/>
        </w:rPr>
        <w:t xml:space="preserve"> و</w:t>
      </w:r>
      <w:r>
        <w:t>MM/A/49/2</w:t>
      </w:r>
      <w:r>
        <w:rPr>
          <w:rtl/>
        </w:rPr>
        <w:t>).</w:t>
      </w:r>
    </w:p>
    <w:p w:rsidR="001B2B3E" w:rsidRDefault="001B2B3E" w:rsidP="003D143D">
      <w:pPr>
        <w:pStyle w:val="NumberedParaAR"/>
      </w:pPr>
      <w:r>
        <w:rPr>
          <w:rtl/>
        </w:rPr>
        <w:t xml:space="preserve">وانتقل المشروع، في 1 يناير 2012، إلى مرحلة التشغيل </w:t>
      </w:r>
      <w:r w:rsidR="003D143D">
        <w:rPr>
          <w:rFonts w:hint="cs"/>
          <w:rtl/>
        </w:rPr>
        <w:t>و</w:t>
      </w:r>
      <w:r>
        <w:rPr>
          <w:rtl/>
        </w:rPr>
        <w:t xml:space="preserve">أصبح </w:t>
      </w:r>
      <w:r w:rsidR="003D143D">
        <w:rPr>
          <w:rFonts w:hint="cs"/>
          <w:rtl/>
        </w:rPr>
        <w:t xml:space="preserve">بالتالي </w:t>
      </w:r>
      <w:r>
        <w:rPr>
          <w:rtl/>
        </w:rPr>
        <w:t>الدعم التشغيلي الجاري مموَّلًا من الميزانية</w:t>
      </w:r>
      <w:r w:rsidR="003D143D">
        <w:rPr>
          <w:rFonts w:hint="cs"/>
          <w:rtl/>
        </w:rPr>
        <w:t> </w:t>
      </w:r>
      <w:r>
        <w:rPr>
          <w:rtl/>
        </w:rPr>
        <w:t>العادية.</w:t>
      </w:r>
    </w:p>
    <w:p w:rsidR="001B2B3E" w:rsidRPr="00734723" w:rsidRDefault="003D143D" w:rsidP="003D143D">
      <w:pPr>
        <w:pStyle w:val="NumberedParaAR"/>
      </w:pPr>
      <w:r>
        <w:rPr>
          <w:rFonts w:hint="cs"/>
          <w:rtl/>
        </w:rPr>
        <w:t>وفي</w:t>
      </w:r>
      <w:r>
        <w:rPr>
          <w:rtl/>
        </w:rPr>
        <w:t xml:space="preserve"> هذه الوثيقة تقرير</w:t>
      </w:r>
      <w:r w:rsidR="001B2B3E">
        <w:rPr>
          <w:rtl/>
        </w:rPr>
        <w:t xml:space="preserve"> عن التقدم المحرز في تنفيذ قاعدة بيانات السلع والخدمات منذ إعداد التقرير المرحلي الأخير (انظر الوثيقة </w:t>
      </w:r>
      <w:r w:rsidR="001B2B3E">
        <w:t>MM/A/49/2</w:t>
      </w:r>
      <w:r w:rsidR="001B2B3E">
        <w:rPr>
          <w:rtl/>
        </w:rPr>
        <w:t>) أي في الفترة الممتدة ما بين 1 يونيو 2015 و30 مايو 2016.</w:t>
      </w:r>
    </w:p>
    <w:p w:rsidR="00EE4DF0" w:rsidRPr="00734723" w:rsidRDefault="00EE4DF0" w:rsidP="000849FE">
      <w:pPr>
        <w:pStyle w:val="Heading1AR"/>
        <w:rPr>
          <w:iCs/>
          <w:rtl/>
        </w:rPr>
      </w:pPr>
      <w:r w:rsidRPr="00734723">
        <w:rPr>
          <w:rtl/>
        </w:rPr>
        <w:lastRenderedPageBreak/>
        <w:t>النتائج المحققة</w:t>
      </w:r>
    </w:p>
    <w:p w:rsidR="00EE4DF0" w:rsidRPr="00734723" w:rsidRDefault="00417207" w:rsidP="00417207">
      <w:pPr>
        <w:pStyle w:val="NumberedParaAR"/>
      </w:pPr>
      <w:r w:rsidRPr="00417207">
        <w:rPr>
          <w:rtl/>
        </w:rPr>
        <w:t>في 1 يونيو 2015، أتيحت نسخة قاعدة بيانات نظام مدريد بشأن السلع والخدمات على الموقع الإلكتروني للمنظمة العالمية للملكية الفكرية (الويبو). وتتضمن هذه النسخة الخاصيات التالية</w:t>
      </w:r>
      <w:r w:rsidR="00EE4DF0" w:rsidRPr="00734723">
        <w:rPr>
          <w:rFonts w:hint="cs"/>
          <w:rtl/>
        </w:rPr>
        <w:t>:</w:t>
      </w:r>
    </w:p>
    <w:p w:rsidR="00417207" w:rsidRDefault="00417207" w:rsidP="003666D2">
      <w:pPr>
        <w:pStyle w:val="NumberedParaAR"/>
        <w:widowControl w:val="0"/>
        <w:numPr>
          <w:ilvl w:val="0"/>
          <w:numId w:val="21"/>
        </w:numPr>
        <w:ind w:left="1133" w:hanging="567"/>
      </w:pPr>
      <w:r>
        <w:rPr>
          <w:rtl/>
        </w:rPr>
        <w:t>واجهات بسبع عشرة لغة وهي العربية والصينية والهولندية والإنكليزية والفرنسية والألمانية والعبرية والإيطالية واليابانية والكورية والنرويجية والبرتغالية والروسية والصربية والإسبانية والتركية والأوكرانية؛</w:t>
      </w:r>
    </w:p>
    <w:p w:rsidR="00D21601" w:rsidRPr="00734723" w:rsidRDefault="00417207" w:rsidP="003666D2">
      <w:pPr>
        <w:pStyle w:val="NumberedParaAR"/>
        <w:widowControl w:val="0"/>
        <w:numPr>
          <w:ilvl w:val="0"/>
          <w:numId w:val="21"/>
        </w:numPr>
        <w:ind w:left="1133" w:hanging="567"/>
      </w:pPr>
      <w:r>
        <w:rPr>
          <w:rtl/>
        </w:rPr>
        <w:t>ومشاركة 20 مكتبا من المكاتب الوطنية أو الإقليمية للملكية الفكرية التي قدمت معلومات عن قبول العرض في قاعدة بيانات السلع والخدمات. وقد قدمت مكاتب البلدان التالية إلى الويبو معلومات عن قبول جزئي على الأقل: النمسا وبيلاروس وبنلوكس والصين والاتحاد الأوروبي وألمانيا وإسرائيل وإيطاليا واليابان والمكسيك والنرويج والبرتغال وجمهورية كوريا وصربيا والاتحاد الروسي وسنغافورة وسويسرا وتركيا وأوكرانيا والولايات المتحدة</w:t>
      </w:r>
      <w:r w:rsidR="003666D2">
        <w:rPr>
          <w:rFonts w:hint="cs"/>
          <w:rtl/>
        </w:rPr>
        <w:t> </w:t>
      </w:r>
      <w:r>
        <w:rPr>
          <w:rtl/>
        </w:rPr>
        <w:t>الأمريكية.</w:t>
      </w:r>
    </w:p>
    <w:p w:rsidR="00E26A61" w:rsidRPr="00734723" w:rsidRDefault="00417207" w:rsidP="00417207">
      <w:pPr>
        <w:pStyle w:val="NumberedParaAR"/>
      </w:pPr>
      <w:r w:rsidRPr="00417207">
        <w:rPr>
          <w:rtl/>
        </w:rPr>
        <w:t>وفي 1 يناير 2016، حُدّثت قاعدة بيانات السلع والخدمات لتتماشى مع نسخة 2016 لقائمة تصنيف نيس في طبعتها العاشرة. وأدرجت التحديثات باللغات السبع عشرة وأتيحت على الموقع الإلكتروني</w:t>
      </w:r>
      <w:r w:rsidR="00E26A61" w:rsidRPr="00734723">
        <w:t>.</w:t>
      </w:r>
    </w:p>
    <w:p w:rsidR="00D21601" w:rsidRPr="00734723" w:rsidRDefault="00D21601" w:rsidP="003666D2">
      <w:pPr>
        <w:pStyle w:val="Heading2AR"/>
        <w:rPr>
          <w:rtl/>
        </w:rPr>
      </w:pPr>
      <w:r w:rsidRPr="00734723">
        <w:rPr>
          <w:rtl/>
        </w:rPr>
        <w:t>التعاون</w:t>
      </w:r>
    </w:p>
    <w:p w:rsidR="00417207" w:rsidRDefault="00417207" w:rsidP="00A74D4B">
      <w:pPr>
        <w:pStyle w:val="NumberedParaAR"/>
      </w:pPr>
      <w:r>
        <w:rPr>
          <w:rtl/>
        </w:rPr>
        <w:t xml:space="preserve">في الفترة ما بين يونيو 2015 ومايو 2016، انضمت </w:t>
      </w:r>
      <w:r w:rsidR="00A74D4B">
        <w:rPr>
          <w:rFonts w:hint="cs"/>
          <w:rtl/>
        </w:rPr>
        <w:t>سبعة</w:t>
      </w:r>
      <w:r>
        <w:rPr>
          <w:rtl/>
        </w:rPr>
        <w:t xml:space="preserve"> بلدان جديدة إلى قائمة البلدان المشاركة في قاعدة بيانات السلع والخدمات، ومن ثم ارتفع عدد الأطراف المتعاقدة في نظام مدريد والتي قدمت معلومات عن القبول في قاعدة ب</w:t>
      </w:r>
      <w:r w:rsidR="00A74D4B">
        <w:rPr>
          <w:rtl/>
        </w:rPr>
        <w:t>يانات السلع والخدمات إلى 27 بلدا إجمالا</w:t>
      </w:r>
      <w:r>
        <w:rPr>
          <w:rtl/>
        </w:rPr>
        <w:t>.</w:t>
      </w:r>
    </w:p>
    <w:p w:rsidR="00417207" w:rsidRDefault="00417207" w:rsidP="00417207">
      <w:pPr>
        <w:pStyle w:val="NumberedParaAR"/>
      </w:pPr>
      <w:r>
        <w:rPr>
          <w:rtl/>
        </w:rPr>
        <w:t>وتستخدم معلومات القبول المقدمة من البلدان المشاركة في قاعدة بيانات السلع والخدمات في الوظيفة الحصرية للويبو المعروفة باسم "التحقق من قبول طرف متعاقد معين". وهذه الوظيفة لا تقتصر فقط على تمكين مودع طلب علامة تجارية من معرفة ما إذا كان طرف من الأطراف المتعاقدة المعيّنة سيرفض مصطلحا قبِله المكتب الدولي، ولكن الأهم من ذلك أنها تسمح له بمعرفة أن بعض الأطراف المتعاقدة رفضت بعض المصطلحات، مما يترتب عليه إخطار بالرفض المؤقت من جانب ذلك الطرف المتعاقد.</w:t>
      </w:r>
    </w:p>
    <w:p w:rsidR="00417207" w:rsidRDefault="00417207" w:rsidP="00417207">
      <w:pPr>
        <w:pStyle w:val="NumberedParaAR"/>
      </w:pPr>
      <w:r>
        <w:rPr>
          <w:rtl/>
        </w:rPr>
        <w:t>ونظرا إلى التغطية العالمية لنظام مدريد، وبالرغم من أن الاستخدام المتزايد لقاعدة بيانات السلع والخدمات ينبغي أن ييسر بعد حين توحيد ممارسات تصنيف العلامات التجارية في الدول الأعضاء، هناك أسباب تؤدي إلى عدم قبول مصطلحات في جميع الأطراف المتعاقدة المعيَّنة في نظام مدريد، مثل متطلبات الخصوصية عند وصف السلع والخدمات في بعض الأنظمة القضائية، أو وجود قوانين وطنية محددة تمنع استخدام مصطلحات بعينها.</w:t>
      </w:r>
    </w:p>
    <w:p w:rsidR="00417207" w:rsidRPr="00417207" w:rsidRDefault="00417207" w:rsidP="00417207">
      <w:pPr>
        <w:pStyle w:val="NumberedParaAR"/>
        <w:rPr>
          <w:rFonts w:eastAsia="Arial"/>
          <w:rtl/>
          <w:lang w:val="ar-SA"/>
        </w:rPr>
      </w:pPr>
      <w:r>
        <w:rPr>
          <w:rtl/>
        </w:rPr>
        <w:t xml:space="preserve"> أما البلدان المشاركة السبع الجديدة التي توفرت بشأنها معلومات قبول في وظيفة قاعدة بيانات السلع والخدمات "التحقق من قبول طرف متعاقد معين" فهي</w:t>
      </w:r>
      <w:r>
        <w:rPr>
          <w:rFonts w:hint="cs"/>
          <w:rtl/>
        </w:rPr>
        <w:t>:</w:t>
      </w:r>
    </w:p>
    <w:p w:rsidR="00417207" w:rsidRPr="00417207" w:rsidRDefault="00A74D4B" w:rsidP="00A74D4B">
      <w:pPr>
        <w:pStyle w:val="NumberedParaAR"/>
        <w:widowControl w:val="0"/>
        <w:numPr>
          <w:ilvl w:val="0"/>
          <w:numId w:val="21"/>
        </w:numPr>
        <w:spacing w:after="0"/>
        <w:ind w:left="1134" w:hanging="567"/>
        <w:rPr>
          <w:rFonts w:eastAsia="Arial"/>
          <w:rtl/>
          <w:lang w:val="ar-SA"/>
        </w:rPr>
      </w:pPr>
      <w:r>
        <w:rPr>
          <w:rFonts w:eastAsia="Arial" w:hint="cs"/>
          <w:rtl/>
          <w:lang w:val="ar-SA"/>
        </w:rPr>
        <w:t>إ</w:t>
      </w:r>
      <w:r w:rsidR="00417207" w:rsidRPr="00417207">
        <w:rPr>
          <w:rFonts w:eastAsia="Arial"/>
          <w:rtl/>
          <w:lang w:val="ar-SA"/>
        </w:rPr>
        <w:t>ستونيا (EE) ـ يونيو 2015</w:t>
      </w:r>
    </w:p>
    <w:p w:rsidR="00417207" w:rsidRPr="00417207" w:rsidRDefault="00417207" w:rsidP="00A74D4B">
      <w:pPr>
        <w:pStyle w:val="NumberedParaAR"/>
        <w:widowControl w:val="0"/>
        <w:numPr>
          <w:ilvl w:val="0"/>
          <w:numId w:val="21"/>
        </w:numPr>
        <w:spacing w:after="0"/>
        <w:ind w:left="1134" w:hanging="567"/>
        <w:rPr>
          <w:rFonts w:eastAsia="Arial"/>
          <w:rtl/>
          <w:lang w:val="ar-SA"/>
        </w:rPr>
      </w:pPr>
      <w:r w:rsidRPr="00417207">
        <w:rPr>
          <w:rFonts w:eastAsia="Arial"/>
          <w:rtl/>
          <w:lang w:val="ar-SA"/>
        </w:rPr>
        <w:t>فنلندا (FI) ـ سبتمبر 2015</w:t>
      </w:r>
    </w:p>
    <w:p w:rsidR="00417207" w:rsidRPr="00417207" w:rsidRDefault="00417207" w:rsidP="00A74D4B">
      <w:pPr>
        <w:pStyle w:val="NumberedParaAR"/>
        <w:widowControl w:val="0"/>
        <w:numPr>
          <w:ilvl w:val="0"/>
          <w:numId w:val="21"/>
        </w:numPr>
        <w:spacing w:after="0"/>
        <w:ind w:left="1134" w:hanging="567"/>
        <w:rPr>
          <w:rFonts w:eastAsia="Arial"/>
          <w:rtl/>
          <w:lang w:val="ar-SA"/>
        </w:rPr>
      </w:pPr>
      <w:r w:rsidRPr="00417207">
        <w:rPr>
          <w:rFonts w:eastAsia="Arial"/>
          <w:rtl/>
          <w:lang w:val="ar-SA"/>
        </w:rPr>
        <w:t>كولومبيا (CO) ـ أكتوبر 2015</w:t>
      </w:r>
    </w:p>
    <w:p w:rsidR="00417207" w:rsidRPr="00417207" w:rsidRDefault="00417207" w:rsidP="00A74D4B">
      <w:pPr>
        <w:pStyle w:val="NumberedParaAR"/>
        <w:widowControl w:val="0"/>
        <w:numPr>
          <w:ilvl w:val="0"/>
          <w:numId w:val="21"/>
        </w:numPr>
        <w:spacing w:after="0"/>
        <w:ind w:left="1134" w:hanging="567"/>
        <w:rPr>
          <w:rFonts w:eastAsia="Arial"/>
          <w:rtl/>
          <w:lang w:val="ar-SA"/>
        </w:rPr>
      </w:pPr>
      <w:r w:rsidRPr="00417207">
        <w:rPr>
          <w:rFonts w:eastAsia="Arial"/>
          <w:rtl/>
          <w:lang w:val="ar-SA"/>
        </w:rPr>
        <w:t>الدانمرك (DK) ـ نوفمبر 2015</w:t>
      </w:r>
    </w:p>
    <w:p w:rsidR="00417207" w:rsidRPr="00417207" w:rsidRDefault="00417207" w:rsidP="00A74D4B">
      <w:pPr>
        <w:pStyle w:val="NumberedParaAR"/>
        <w:widowControl w:val="0"/>
        <w:numPr>
          <w:ilvl w:val="0"/>
          <w:numId w:val="21"/>
        </w:numPr>
        <w:spacing w:after="0"/>
        <w:ind w:left="1134" w:hanging="567"/>
        <w:rPr>
          <w:rFonts w:eastAsia="Arial"/>
          <w:rtl/>
          <w:lang w:val="ar-SA"/>
        </w:rPr>
      </w:pPr>
      <w:r w:rsidRPr="00417207">
        <w:rPr>
          <w:rFonts w:eastAsia="Arial"/>
          <w:rtl/>
          <w:lang w:val="ar-SA"/>
        </w:rPr>
        <w:t>السويد (SE) ـ ديسمبر 2015</w:t>
      </w:r>
    </w:p>
    <w:p w:rsidR="00417207" w:rsidRPr="00417207" w:rsidRDefault="00417207" w:rsidP="00A74D4B">
      <w:pPr>
        <w:pStyle w:val="NumberedParaAR"/>
        <w:widowControl w:val="0"/>
        <w:numPr>
          <w:ilvl w:val="0"/>
          <w:numId w:val="21"/>
        </w:numPr>
        <w:spacing w:after="0"/>
        <w:ind w:left="1134" w:hanging="567"/>
        <w:rPr>
          <w:rFonts w:eastAsia="Arial"/>
          <w:rtl/>
          <w:lang w:val="ar-SA"/>
        </w:rPr>
      </w:pPr>
      <w:r w:rsidRPr="00417207">
        <w:rPr>
          <w:rFonts w:eastAsia="Arial"/>
          <w:rtl/>
          <w:lang w:val="ar-SA"/>
        </w:rPr>
        <w:t>المملكة المتحدة (GB) ـ ديسمبر 2015</w:t>
      </w:r>
    </w:p>
    <w:p w:rsidR="001B2B3E" w:rsidRPr="00417207" w:rsidRDefault="00417207" w:rsidP="00A74D4B">
      <w:pPr>
        <w:pStyle w:val="NumberedParaAR"/>
        <w:widowControl w:val="0"/>
        <w:numPr>
          <w:ilvl w:val="0"/>
          <w:numId w:val="21"/>
        </w:numPr>
        <w:ind w:left="1133" w:hanging="567"/>
        <w:rPr>
          <w:rFonts w:eastAsia="Arial"/>
          <w:rtl/>
          <w:lang w:val="ar-SA"/>
        </w:rPr>
      </w:pPr>
      <w:r w:rsidRPr="00417207">
        <w:rPr>
          <w:rFonts w:eastAsia="Arial"/>
          <w:rtl/>
          <w:lang w:val="ar-SA"/>
        </w:rPr>
        <w:t xml:space="preserve">منغوليا (MN) ـ </w:t>
      </w:r>
      <w:r w:rsidR="00A74D4B">
        <w:rPr>
          <w:rFonts w:eastAsia="Arial" w:hint="cs"/>
          <w:rtl/>
          <w:lang w:val="ar-SA"/>
        </w:rPr>
        <w:t>أ</w:t>
      </w:r>
      <w:r w:rsidRPr="00417207">
        <w:rPr>
          <w:rFonts w:eastAsia="Arial"/>
          <w:rtl/>
          <w:lang w:val="ar-SA"/>
        </w:rPr>
        <w:t>بريل 2016</w:t>
      </w:r>
    </w:p>
    <w:p w:rsidR="00E07149" w:rsidRPr="00734723" w:rsidRDefault="00417207" w:rsidP="00A74D4B">
      <w:pPr>
        <w:pStyle w:val="Heading2AR"/>
        <w:rPr>
          <w:rtl/>
        </w:rPr>
      </w:pPr>
      <w:r w:rsidRPr="00417207">
        <w:rPr>
          <w:rtl/>
        </w:rPr>
        <w:lastRenderedPageBreak/>
        <w:t>التنوع اللغوي</w:t>
      </w:r>
    </w:p>
    <w:p w:rsidR="00417207" w:rsidRDefault="00417207" w:rsidP="001A00E6">
      <w:pPr>
        <w:pStyle w:val="NumberedParaAR"/>
      </w:pPr>
      <w:r>
        <w:rPr>
          <w:rtl/>
        </w:rPr>
        <w:t>في أبريل 2016، وبفضل التعاون مع مكتب الملكية الفكرية في منغوليا،</w:t>
      </w:r>
      <w:r w:rsidR="001A00E6">
        <w:rPr>
          <w:rFonts w:hint="cs"/>
          <w:rtl/>
        </w:rPr>
        <w:t xml:space="preserve"> </w:t>
      </w:r>
      <w:r>
        <w:rPr>
          <w:rtl/>
        </w:rPr>
        <w:t xml:space="preserve">أتيحت واجهة باللغة المنغولية في قاعدة بيانات السلع والخدمات باعتبارها اللغة الثامنة عشرة. </w:t>
      </w:r>
    </w:p>
    <w:p w:rsidR="00417207" w:rsidRDefault="00417207" w:rsidP="00417207">
      <w:pPr>
        <w:pStyle w:val="NumberedParaAR"/>
      </w:pPr>
      <w:r>
        <w:rPr>
          <w:rtl/>
        </w:rPr>
        <w:t>والواجهات المتاحة بثماني عشرة لغة في قاع</w:t>
      </w:r>
      <w:r w:rsidR="001A00E6">
        <w:rPr>
          <w:rtl/>
        </w:rPr>
        <w:t>دة بيانات السلع والخدمات اعتبار</w:t>
      </w:r>
      <w:r>
        <w:rPr>
          <w:rtl/>
        </w:rPr>
        <w:t>ا من أبريل 2016 هي: العربية والصينية والهولندية والإنكليزية والفرنسية والألمانية والعبرية والإيطالية واليابانية والكورية والمنغولية والنرويجية والبرتغالية والروسية والصربية والإسبانية والتركية والأوكرانية.</w:t>
      </w:r>
    </w:p>
    <w:p w:rsidR="00417207" w:rsidRDefault="00417207" w:rsidP="001A00E6">
      <w:pPr>
        <w:pStyle w:val="NumberedParaAR"/>
      </w:pPr>
      <w:r>
        <w:rPr>
          <w:rtl/>
        </w:rPr>
        <w:t>وفي الوقت الحاضر، تتيح الواجهة المنغولية فقط إمكانية النفاذ إلى قاعدة بيانات منغولية مقصورة على القائمة الأبجدية لتصنيف نيس، ولكن مكتب منغوليا أبدى استعداده لمواصلة ترجمة ما تبقى من قاعدة البيانات من أجل زيادة فائدتها للمودعين المنغوليين.</w:t>
      </w:r>
    </w:p>
    <w:p w:rsidR="00AC6312" w:rsidRPr="00734723" w:rsidRDefault="00417207" w:rsidP="00417207">
      <w:pPr>
        <w:pStyle w:val="NumberedParaAR"/>
      </w:pPr>
      <w:r>
        <w:rPr>
          <w:rtl/>
        </w:rPr>
        <w:t>وتجدر الإشارة إلى أن معظم اللغات المتاحة في قاعدة بيانات السلع والخدمات لمساعدة المستخدمين الوطنيين فيما يخص إيداع طلبات العلامات التجارية على الصعيدين الوطني والعالمي لغات غير أوروبية، ويستمر التعاون لإضافة المزيد من اللغات غير الأوروبية مما يدل على عالمية خدمات الويبو</w:t>
      </w:r>
      <w:r w:rsidR="0064668E" w:rsidRPr="00734723">
        <w:rPr>
          <w:rtl/>
        </w:rPr>
        <w:t>.</w:t>
      </w:r>
    </w:p>
    <w:p w:rsidR="00487C47" w:rsidRPr="00734723" w:rsidRDefault="00417207" w:rsidP="001A00E6">
      <w:pPr>
        <w:pStyle w:val="Heading2AR"/>
      </w:pPr>
      <w:r w:rsidRPr="00417207">
        <w:rPr>
          <w:rtl/>
        </w:rPr>
        <w:t>إصدار وظائف جديدة</w:t>
      </w:r>
    </w:p>
    <w:p w:rsidR="00417207" w:rsidRDefault="00417207" w:rsidP="00347C7D">
      <w:pPr>
        <w:pStyle w:val="NumberedParaAR"/>
      </w:pPr>
      <w:r>
        <w:rPr>
          <w:rtl/>
        </w:rPr>
        <w:t>في مارس 2016، أتيحت نسخة جديدة من قاعدة بيانات السلع والخدمات عبر الموقع الإلكتروني للويبو. وتضمنت هذه النسخة تحسينات ووظائف جديدة بغية تعزيز فائدة قاعدة بيانات السلع والخدمات والنفاذ إلى</w:t>
      </w:r>
      <w:r w:rsidR="00347C7D">
        <w:rPr>
          <w:rFonts w:hint="cs"/>
          <w:rtl/>
        </w:rPr>
        <w:t xml:space="preserve"> معلومات تتعلق</w:t>
      </w:r>
      <w:r w:rsidR="00347C7D">
        <w:rPr>
          <w:rFonts w:hint="eastAsia"/>
          <w:rtl/>
        </w:rPr>
        <w:t> </w:t>
      </w:r>
      <w:r w:rsidR="00347C7D">
        <w:rPr>
          <w:rFonts w:hint="cs"/>
          <w:rtl/>
        </w:rPr>
        <w:t>بال</w:t>
      </w:r>
      <w:r w:rsidR="00347C7D">
        <w:rPr>
          <w:rtl/>
        </w:rPr>
        <w:t>تصني</w:t>
      </w:r>
      <w:r w:rsidR="00347C7D">
        <w:rPr>
          <w:rFonts w:hint="cs"/>
          <w:rtl/>
        </w:rPr>
        <w:t>ف</w:t>
      </w:r>
      <w:r>
        <w:rPr>
          <w:rtl/>
        </w:rPr>
        <w:t>.</w:t>
      </w:r>
    </w:p>
    <w:p w:rsidR="00417207" w:rsidRDefault="00417207" w:rsidP="00417207">
      <w:pPr>
        <w:pStyle w:val="NumberedParaAR"/>
      </w:pPr>
      <w:r>
        <w:rPr>
          <w:rtl/>
        </w:rPr>
        <w:t>وأتيح النفاذ إلى الملاحظات التوضيحية لتصنيف نيس لأول مرة في واجهات القاعدة بجميع</w:t>
      </w:r>
      <w:r w:rsidR="00347C7D">
        <w:rPr>
          <w:rtl/>
        </w:rPr>
        <w:t xml:space="preserve"> اللغات، ومن ثم صار النفاذ متاح</w:t>
      </w:r>
      <w:r>
        <w:rPr>
          <w:rtl/>
        </w:rPr>
        <w:t>ا إلى إرشادات هامة بشأن تصنيف العلامات التجارية لمودعي الطلبات بلغاتهم الوطنية. فالملاحظات التوضيحية المتعلقة بالفئات المختلفة تقدم معلومات مفيدة للتأكيد على التصنيف الصحيح للسلعة أو الخدمة وتكملة المعلومات المقدمة في البيانات العامة المستخرجة من عناوين الفئات فيما يخص الفئات المختلفة لتصنيف نيس.</w:t>
      </w:r>
    </w:p>
    <w:p w:rsidR="00417207" w:rsidRDefault="00347C7D" w:rsidP="00347C7D">
      <w:pPr>
        <w:pStyle w:val="NumberedParaAR"/>
      </w:pPr>
      <w:r>
        <w:rPr>
          <w:rtl/>
        </w:rPr>
        <w:t>وأتيحت "رموز المجموع</w:t>
      </w:r>
      <w:r>
        <w:rPr>
          <w:rFonts w:hint="cs"/>
          <w:rtl/>
        </w:rPr>
        <w:t>ات</w:t>
      </w:r>
      <w:r w:rsidR="00417207">
        <w:rPr>
          <w:rtl/>
        </w:rPr>
        <w:t xml:space="preserve"> </w:t>
      </w:r>
      <w:r>
        <w:rPr>
          <w:rFonts w:hint="cs"/>
          <w:rtl/>
        </w:rPr>
        <w:t>المشابهة</w:t>
      </w:r>
      <w:r w:rsidR="00417207">
        <w:rPr>
          <w:rtl/>
        </w:rPr>
        <w:t>" التي يستخدمها كل من مكتب البراءات الياباني ومكتب الملكية الفكرية الكوري  لأول مرة في قاعدة بيانات السلع والخدمات. وتحدد هذه الرموز اليابانية والكورية تصنيفين مفصلين مختلفين يرتبطان بمجموعات من السل</w:t>
      </w:r>
      <w:r>
        <w:rPr>
          <w:rtl/>
        </w:rPr>
        <w:t xml:space="preserve">ع أو الخدمات التي تعتبر مشابهة </w:t>
      </w:r>
      <w:r w:rsidR="00417207">
        <w:rPr>
          <w:rtl/>
        </w:rPr>
        <w:t xml:space="preserve">بعضها لبعض </w:t>
      </w:r>
      <w:r>
        <w:rPr>
          <w:rFonts w:hint="cs"/>
          <w:rtl/>
        </w:rPr>
        <w:t>عند</w:t>
      </w:r>
      <w:r w:rsidR="00417207">
        <w:rPr>
          <w:rtl/>
        </w:rPr>
        <w:t xml:space="preserve"> فحص الأسباب </w:t>
      </w:r>
      <w:r>
        <w:rPr>
          <w:rFonts w:hint="cs"/>
          <w:rtl/>
        </w:rPr>
        <w:t>المنسوبة</w:t>
      </w:r>
      <w:r w:rsidR="00417207">
        <w:rPr>
          <w:rtl/>
        </w:rPr>
        <w:t xml:space="preserve"> للعلامات التجارية. ويُشج</w:t>
      </w:r>
      <w:r>
        <w:rPr>
          <w:rFonts w:hint="cs"/>
          <w:rtl/>
        </w:rPr>
        <w:t>َّ</w:t>
      </w:r>
      <w:r w:rsidR="00417207">
        <w:rPr>
          <w:rtl/>
        </w:rPr>
        <w:t xml:space="preserve">ع مودعو العلامات التجارية في اليابان وجمهورية كوريا على الإشارة إلى تلك الرموز قبل إيداع طلب تسجيل علامة تجارية من أجل التحقق من وجود علامات تجارية مسجلة </w:t>
      </w:r>
      <w:r>
        <w:rPr>
          <w:rFonts w:hint="cs"/>
          <w:rtl/>
        </w:rPr>
        <w:t>مشابهة</w:t>
      </w:r>
      <w:r w:rsidR="00417207">
        <w:rPr>
          <w:rtl/>
        </w:rPr>
        <w:t xml:space="preserve">. </w:t>
      </w:r>
    </w:p>
    <w:p w:rsidR="00417207" w:rsidRPr="00417207" w:rsidRDefault="00347C7D" w:rsidP="00347C7D">
      <w:pPr>
        <w:pStyle w:val="NumberedParaAR"/>
        <w:rPr>
          <w:sz w:val="40"/>
          <w:szCs w:val="40"/>
        </w:rPr>
      </w:pPr>
      <w:r>
        <w:rPr>
          <w:rtl/>
        </w:rPr>
        <w:t>وتجدر الإشارة أيض</w:t>
      </w:r>
      <w:r w:rsidR="00417207">
        <w:rPr>
          <w:rtl/>
        </w:rPr>
        <w:t>ا إلى أن المستخ</w:t>
      </w:r>
      <w:r>
        <w:rPr>
          <w:rtl/>
        </w:rPr>
        <w:t>دمين غير الآسيويين يستفيدون أيض</w:t>
      </w:r>
      <w:r w:rsidR="00417207">
        <w:rPr>
          <w:rtl/>
        </w:rPr>
        <w:t xml:space="preserve">ا من النفاذ إلى رموز المجموعات </w:t>
      </w:r>
      <w:r>
        <w:rPr>
          <w:rFonts w:hint="cs"/>
          <w:rtl/>
        </w:rPr>
        <w:t>المشابهة</w:t>
      </w:r>
      <w:r w:rsidR="00417207">
        <w:rPr>
          <w:rtl/>
        </w:rPr>
        <w:t xml:space="preserve"> الآسيوية بما يسهّل لهم البحث عن العلامات المشابهة قبل إيداع الطلبات الدولية التي تعين فيها اليابان أو جمهورية كوريا.</w:t>
      </w:r>
    </w:p>
    <w:p w:rsidR="00C56CB3" w:rsidRPr="00734723" w:rsidRDefault="00417207" w:rsidP="00347C7D">
      <w:pPr>
        <w:pStyle w:val="Heading2AR"/>
        <w:rPr>
          <w:rtl/>
        </w:rPr>
      </w:pPr>
      <w:r w:rsidRPr="00417207">
        <w:rPr>
          <w:rtl/>
        </w:rPr>
        <w:t xml:space="preserve"> مضمون قاعدة بيانات السلع والخدمات</w:t>
      </w:r>
    </w:p>
    <w:p w:rsidR="00417207" w:rsidRDefault="00417207" w:rsidP="00470A69">
      <w:pPr>
        <w:pStyle w:val="NumberedParaAR"/>
      </w:pPr>
      <w:r>
        <w:rPr>
          <w:rtl/>
        </w:rPr>
        <w:t xml:space="preserve">اللغة الأساسية في قاعدة بيانات السلع والخدمات هي </w:t>
      </w:r>
      <w:r w:rsidR="00347C7D">
        <w:rPr>
          <w:rFonts w:hint="cs"/>
          <w:rtl/>
        </w:rPr>
        <w:t>الإنكليزية</w:t>
      </w:r>
      <w:r>
        <w:rPr>
          <w:rtl/>
        </w:rPr>
        <w:t xml:space="preserve">، حيث تُدرج السلع أو الخدمات الجديدة على أساس أوصافها </w:t>
      </w:r>
      <w:r w:rsidR="00470A69">
        <w:rPr>
          <w:rFonts w:hint="cs"/>
          <w:rtl/>
        </w:rPr>
        <w:t>بالإنكليزية</w:t>
      </w:r>
      <w:r>
        <w:rPr>
          <w:rtl/>
        </w:rPr>
        <w:t xml:space="preserve">. وعلى مر السنين، فُحصت الأوصاف </w:t>
      </w:r>
      <w:r w:rsidR="00347C7D">
        <w:rPr>
          <w:rFonts w:hint="cs"/>
          <w:rtl/>
        </w:rPr>
        <w:t>الإنكليزية</w:t>
      </w:r>
      <w:r w:rsidR="00347C7D">
        <w:rPr>
          <w:rtl/>
        </w:rPr>
        <w:t xml:space="preserve"> </w:t>
      </w:r>
      <w:r>
        <w:rPr>
          <w:rtl/>
        </w:rPr>
        <w:t xml:space="preserve">للسلع والخدمات من المصادر العديدة وأدرجت في قاعدة بيانات السلع والخدمات. </w:t>
      </w:r>
    </w:p>
    <w:p w:rsidR="00625218" w:rsidRDefault="00470A69" w:rsidP="00470A69">
      <w:pPr>
        <w:pStyle w:val="NumberedParaAR"/>
        <w:keepNext/>
      </w:pPr>
      <w:r>
        <w:rPr>
          <w:rtl/>
        </w:rPr>
        <w:lastRenderedPageBreak/>
        <w:t>ويعرض المرفق الأو</w:t>
      </w:r>
      <w:r>
        <w:rPr>
          <w:rFonts w:hint="cs"/>
          <w:rtl/>
        </w:rPr>
        <w:t>ل</w:t>
      </w:r>
      <w:r w:rsidR="00417207">
        <w:rPr>
          <w:rtl/>
        </w:rPr>
        <w:t xml:space="preserve"> مضمون قاعدة بيانات السلع والخدمات من حيث أصل البيانات المدرجة</w:t>
      </w:r>
      <w:r>
        <w:rPr>
          <w:rFonts w:hint="cs"/>
          <w:rtl/>
        </w:rPr>
        <w:t>، حتى</w:t>
      </w:r>
      <w:r>
        <w:rPr>
          <w:rtl/>
        </w:rPr>
        <w:t xml:space="preserve"> أبريل 2016</w:t>
      </w:r>
      <w:r w:rsidR="00417207">
        <w:rPr>
          <w:rtl/>
        </w:rPr>
        <w:t>. والمصادر المختلفة هي</w:t>
      </w:r>
      <w:r w:rsidR="00417207">
        <w:rPr>
          <w:rFonts w:hint="cs"/>
          <w:rtl/>
        </w:rPr>
        <w:t>:</w:t>
      </w:r>
    </w:p>
    <w:p w:rsidR="00417207" w:rsidRPr="00417207" w:rsidRDefault="00417207" w:rsidP="003C7107">
      <w:pPr>
        <w:pStyle w:val="NumberedParaAR"/>
        <w:widowControl w:val="0"/>
        <w:numPr>
          <w:ilvl w:val="0"/>
          <w:numId w:val="21"/>
        </w:numPr>
        <w:ind w:left="1133" w:hanging="567"/>
        <w:rPr>
          <w:rFonts w:eastAsia="Arial"/>
          <w:rtl/>
          <w:lang w:val="ar-SA"/>
        </w:rPr>
      </w:pPr>
      <w:r w:rsidRPr="00417207">
        <w:rPr>
          <w:rFonts w:eastAsia="Arial"/>
          <w:rtl/>
          <w:lang w:val="ar-SA"/>
        </w:rPr>
        <w:t xml:space="preserve">تصنيف نيس، </w:t>
      </w:r>
      <w:r w:rsidR="00470A69">
        <w:rPr>
          <w:rFonts w:eastAsia="Arial" w:hint="cs"/>
          <w:rtl/>
          <w:lang w:val="ar-SA"/>
        </w:rPr>
        <w:t xml:space="preserve">أي </w:t>
      </w:r>
      <w:r w:rsidRPr="00417207">
        <w:rPr>
          <w:rFonts w:eastAsia="Arial"/>
          <w:rtl/>
          <w:lang w:val="ar-SA"/>
        </w:rPr>
        <w:t>أوصاف من القائمة الأبجدية ومن عناوين الفئات؛</w:t>
      </w:r>
    </w:p>
    <w:p w:rsidR="00417207" w:rsidRPr="00417207" w:rsidRDefault="00417207" w:rsidP="00470A69">
      <w:pPr>
        <w:pStyle w:val="NumberedParaAR"/>
        <w:widowControl w:val="0"/>
        <w:numPr>
          <w:ilvl w:val="0"/>
          <w:numId w:val="21"/>
        </w:numPr>
        <w:ind w:left="1133" w:hanging="567"/>
        <w:rPr>
          <w:rFonts w:eastAsia="Arial"/>
          <w:rtl/>
          <w:lang w:val="ar-SA"/>
        </w:rPr>
      </w:pPr>
      <w:r w:rsidRPr="00417207">
        <w:rPr>
          <w:rFonts w:eastAsia="Arial"/>
          <w:rtl/>
          <w:lang w:val="ar-SA"/>
        </w:rPr>
        <w:t xml:space="preserve">قائمة </w:t>
      </w:r>
      <w:r w:rsidR="00665091" w:rsidRPr="00665091">
        <w:rPr>
          <w:rFonts w:eastAsia="Arial"/>
          <w:rtl/>
          <w:lang w:val="ar-SA"/>
        </w:rPr>
        <w:t>TM5-ID</w:t>
      </w:r>
      <w:r w:rsidRPr="00417207">
        <w:rPr>
          <w:rFonts w:eastAsia="Arial"/>
          <w:rtl/>
          <w:lang w:val="ar-SA"/>
        </w:rPr>
        <w:t>، أ</w:t>
      </w:r>
      <w:r w:rsidR="00470A69">
        <w:rPr>
          <w:rFonts w:eastAsia="Arial" w:hint="cs"/>
          <w:rtl/>
          <w:lang w:val="ar-SA"/>
        </w:rPr>
        <w:t>ي</w:t>
      </w:r>
      <w:r w:rsidRPr="00417207">
        <w:rPr>
          <w:rFonts w:eastAsia="Arial"/>
          <w:rtl/>
          <w:lang w:val="ar-SA"/>
        </w:rPr>
        <w:t xml:space="preserve"> الأوصاف المستخرجة من القائمة الموحدة التي تساهم فيها المكاتب الخمسة التالية: مكتب الاتحاد الأوروبي للملكية الفكرية ومكتب اليابان للبراءات، ومكتب كوريا للملكية الفكرية، والإدارة الحكومية للصناعة والتجارة لجمهورية الصين الشعبية، ومكتب الولايات المتحدة للبراءات والعلامات؛</w:t>
      </w:r>
    </w:p>
    <w:p w:rsidR="00417207" w:rsidRPr="00417207" w:rsidRDefault="00417207" w:rsidP="003C7107">
      <w:pPr>
        <w:pStyle w:val="NumberedParaAR"/>
        <w:widowControl w:val="0"/>
        <w:numPr>
          <w:ilvl w:val="0"/>
          <w:numId w:val="21"/>
        </w:numPr>
        <w:ind w:left="1133" w:hanging="567"/>
        <w:rPr>
          <w:rFonts w:eastAsia="Arial"/>
          <w:rtl/>
          <w:lang w:val="ar-SA"/>
        </w:rPr>
      </w:pPr>
      <w:r w:rsidRPr="00417207">
        <w:rPr>
          <w:rFonts w:eastAsia="Arial"/>
          <w:rtl/>
          <w:lang w:val="ar-SA"/>
        </w:rPr>
        <w:t>دليل مكتب الولايات المتحدة للبراءات والعلامات؛</w:t>
      </w:r>
    </w:p>
    <w:p w:rsidR="00417207" w:rsidRPr="00417207" w:rsidRDefault="00417207" w:rsidP="00470A69">
      <w:pPr>
        <w:pStyle w:val="NumberedParaAR"/>
        <w:widowControl w:val="0"/>
        <w:numPr>
          <w:ilvl w:val="0"/>
          <w:numId w:val="21"/>
        </w:numPr>
        <w:ind w:left="1133" w:hanging="567"/>
        <w:rPr>
          <w:rFonts w:eastAsia="Arial"/>
          <w:rtl/>
          <w:lang w:val="ar-SA"/>
        </w:rPr>
      </w:pPr>
      <w:r w:rsidRPr="00417207">
        <w:rPr>
          <w:rFonts w:eastAsia="Arial"/>
          <w:rtl/>
          <w:lang w:val="ar-SA"/>
        </w:rPr>
        <w:t xml:space="preserve">قاعدة البيانات الأوروبية الموحدة المنشورة في أداة التصنيف لمكتب الاتحاد الأوروبي </w:t>
      </w:r>
      <w:proofErr w:type="spellStart"/>
      <w:r w:rsidRPr="00417207">
        <w:rPr>
          <w:rFonts w:eastAsia="Arial"/>
          <w:rtl/>
          <w:lang w:val="ar-SA"/>
        </w:rPr>
        <w:t>TMclass</w:t>
      </w:r>
      <w:proofErr w:type="spellEnd"/>
      <w:r w:rsidRPr="00417207">
        <w:rPr>
          <w:rFonts w:eastAsia="Arial"/>
          <w:rtl/>
          <w:lang w:val="ar-SA"/>
        </w:rPr>
        <w:t>؛</w:t>
      </w:r>
    </w:p>
    <w:p w:rsidR="00417207" w:rsidRPr="00734723" w:rsidRDefault="00417207" w:rsidP="00470A69">
      <w:pPr>
        <w:pStyle w:val="NumberedParaAR"/>
        <w:widowControl w:val="0"/>
        <w:numPr>
          <w:ilvl w:val="0"/>
          <w:numId w:val="21"/>
        </w:numPr>
        <w:ind w:left="1133" w:hanging="567"/>
      </w:pPr>
      <w:r w:rsidRPr="00417207">
        <w:rPr>
          <w:rFonts w:eastAsia="Arial"/>
          <w:rtl/>
          <w:lang w:val="ar-SA"/>
        </w:rPr>
        <w:t xml:space="preserve">"أخرى" ويشمل ذلك البيانات المستخرجة من مصادر أخرى، </w:t>
      </w:r>
      <w:r w:rsidR="00470A69">
        <w:rPr>
          <w:rFonts w:eastAsia="Arial"/>
          <w:rtl/>
          <w:lang w:val="ar-SA"/>
        </w:rPr>
        <w:t>استناد</w:t>
      </w:r>
      <w:r w:rsidRPr="00417207">
        <w:rPr>
          <w:rFonts w:eastAsia="Arial"/>
          <w:rtl/>
          <w:lang w:val="ar-SA"/>
        </w:rPr>
        <w:t>ا إلى تواتر الحدوث</w:t>
      </w:r>
      <w:r w:rsidR="00470A69">
        <w:rPr>
          <w:rFonts w:eastAsia="Arial" w:hint="cs"/>
          <w:rtl/>
          <w:lang w:val="ar-SA"/>
        </w:rPr>
        <w:t xml:space="preserve"> </w:t>
      </w:r>
      <w:r w:rsidR="00470A69">
        <w:rPr>
          <w:rFonts w:eastAsia="Arial"/>
          <w:rtl/>
          <w:lang w:val="ar-SA"/>
        </w:rPr>
        <w:t>بصورة رئيسية</w:t>
      </w:r>
      <w:r w:rsidRPr="00417207">
        <w:rPr>
          <w:rFonts w:eastAsia="Arial"/>
          <w:rtl/>
          <w:lang w:val="ar-SA"/>
        </w:rPr>
        <w:t xml:space="preserve">، </w:t>
      </w:r>
      <w:r w:rsidR="00470A69">
        <w:rPr>
          <w:rFonts w:eastAsia="Arial" w:hint="cs"/>
          <w:rtl/>
          <w:lang w:val="ar-SA"/>
        </w:rPr>
        <w:t>مثل</w:t>
      </w:r>
      <w:r w:rsidRPr="00417207">
        <w:rPr>
          <w:rFonts w:eastAsia="Arial"/>
          <w:rtl/>
          <w:lang w:val="ar-SA"/>
        </w:rPr>
        <w:t xml:space="preserve"> سجل مدريد الدولي أو الطلبات الدولية التي تلقاها المكتب الدولي</w:t>
      </w:r>
      <w:r>
        <w:rPr>
          <w:rFonts w:eastAsia="Arial" w:hint="cs"/>
          <w:rtl/>
          <w:lang w:val="ar-SA"/>
        </w:rPr>
        <w:t>.</w:t>
      </w:r>
    </w:p>
    <w:p w:rsidR="00417207" w:rsidRDefault="00417207" w:rsidP="001F2514">
      <w:pPr>
        <w:pStyle w:val="NumberedParaAR"/>
      </w:pPr>
      <w:r>
        <w:rPr>
          <w:rtl/>
        </w:rPr>
        <w:t>ويجدر التذكير بأن بعض أوصاف السلع أو الخدمات المستخرجة من مصادر خارجية مدرج في قاعدة بيانات السلع والخدمات ولكن</w:t>
      </w:r>
      <w:r w:rsidR="001F2514">
        <w:rPr>
          <w:rFonts w:hint="cs"/>
          <w:rtl/>
        </w:rPr>
        <w:t>ه لا يرد</w:t>
      </w:r>
      <w:r>
        <w:rPr>
          <w:rtl/>
        </w:rPr>
        <w:t xml:space="preserve"> في قائمة انتقاء الأوصاف </w:t>
      </w:r>
      <w:r w:rsidR="001F2514">
        <w:rPr>
          <w:rFonts w:hint="cs"/>
          <w:rtl/>
        </w:rPr>
        <w:t>الواردة في</w:t>
      </w:r>
      <w:r>
        <w:rPr>
          <w:rtl/>
        </w:rPr>
        <w:t xml:space="preserve"> </w:t>
      </w:r>
      <w:r w:rsidR="001F2514">
        <w:rPr>
          <w:rtl/>
        </w:rPr>
        <w:t xml:space="preserve">قاعدة بيانات السلع والخدمات </w:t>
      </w:r>
      <w:r w:rsidR="001F2514">
        <w:rPr>
          <w:rFonts w:hint="cs"/>
          <w:rtl/>
        </w:rPr>
        <w:t>ل</w:t>
      </w:r>
      <w:r>
        <w:rPr>
          <w:rtl/>
        </w:rPr>
        <w:t xml:space="preserve">تجميع قوائم السلع والخدمات. وهذا يعني أنها </w:t>
      </w:r>
      <w:r w:rsidR="001F2514">
        <w:rPr>
          <w:rFonts w:hint="cs"/>
          <w:rtl/>
        </w:rPr>
        <w:t>لا تظهر</w:t>
      </w:r>
      <w:r>
        <w:rPr>
          <w:rtl/>
        </w:rPr>
        <w:t xml:space="preserve"> في نتائج وظائف التصفح والبحث في قاعدة بيانات السلع والخدمات. بل هي مدرجة فقط لبيان أن هذه الأوصاف سيقبلها المكتب الدولي إذا أدرجت في طلب دولي وعرضت على </w:t>
      </w:r>
      <w:r w:rsidR="001F2514">
        <w:rPr>
          <w:rtl/>
        </w:rPr>
        <w:t xml:space="preserve">هذا النحو في وظيفة "التحقق من </w:t>
      </w:r>
      <w:r>
        <w:rPr>
          <w:rtl/>
        </w:rPr>
        <w:t>قبول الويبو"</w:t>
      </w:r>
      <w:r w:rsidR="00F62742">
        <w:rPr>
          <w:rStyle w:val="FootnoteReference"/>
          <w:rtl/>
        </w:rPr>
        <w:footnoteReference w:id="1"/>
      </w:r>
      <w:r>
        <w:rPr>
          <w:rtl/>
        </w:rPr>
        <w:t>. وفي معظم الأوقات، تكون هذه الأوصاف ممثلة بالفعل في قاعدة البيانات من خلال أوصاف مرادفة.</w:t>
      </w:r>
    </w:p>
    <w:p w:rsidR="00417207" w:rsidRDefault="003C7107" w:rsidP="001F2514">
      <w:pPr>
        <w:pStyle w:val="NumberedParaAR"/>
      </w:pPr>
      <w:r>
        <w:rPr>
          <w:rFonts w:hint="cs"/>
          <w:rtl/>
        </w:rPr>
        <w:t>وحتى</w:t>
      </w:r>
      <w:r w:rsidR="001F2514">
        <w:rPr>
          <w:rtl/>
        </w:rPr>
        <w:t xml:space="preserve"> أبريل 2016، روجع 78197 وصفا </w:t>
      </w:r>
      <w:r w:rsidR="001F2514">
        <w:rPr>
          <w:rFonts w:hint="cs"/>
          <w:rtl/>
        </w:rPr>
        <w:t>إنكليزيا</w:t>
      </w:r>
      <w:r w:rsidR="00417207">
        <w:rPr>
          <w:rtl/>
        </w:rPr>
        <w:t xml:space="preserve"> وأدرج في قاعدة بيانات السلع والخدمات، وكان </w:t>
      </w:r>
      <w:r w:rsidR="001F2514">
        <w:rPr>
          <w:rtl/>
        </w:rPr>
        <w:t>78% منها مقترح</w:t>
      </w:r>
      <w:r w:rsidR="00417207">
        <w:rPr>
          <w:rtl/>
        </w:rPr>
        <w:t xml:space="preserve">ا للاختيار في قائمة الانتقاء الخاصة بقاعدة بيانات السلع والخدمات و22% منها عبارة عن أوصاف إضافية مستخدمة </w:t>
      </w:r>
      <w:r w:rsidR="001F2514">
        <w:rPr>
          <w:rtl/>
        </w:rPr>
        <w:t xml:space="preserve">في التحقق في وظيفة "التحقق من </w:t>
      </w:r>
      <w:r w:rsidR="00417207">
        <w:rPr>
          <w:rtl/>
        </w:rPr>
        <w:t>قبول الويبو."</w:t>
      </w:r>
    </w:p>
    <w:p w:rsidR="00417207" w:rsidRDefault="007F7DCE" w:rsidP="007F7DCE">
      <w:pPr>
        <w:pStyle w:val="NumberedParaAR"/>
      </w:pPr>
      <w:r>
        <w:rPr>
          <w:rFonts w:hint="cs"/>
          <w:rtl/>
        </w:rPr>
        <w:t>وفي</w:t>
      </w:r>
      <w:r w:rsidR="00417207">
        <w:rPr>
          <w:rtl/>
        </w:rPr>
        <w:t xml:space="preserve"> المرفق الثاني مضمون قاعدة بيانات السلع والخدمات الإن</w:t>
      </w:r>
      <w:r w:rsidR="00C60A55">
        <w:rPr>
          <w:rFonts w:hint="cs"/>
          <w:rtl/>
        </w:rPr>
        <w:t>ك</w:t>
      </w:r>
      <w:r w:rsidR="00417207">
        <w:rPr>
          <w:rtl/>
        </w:rPr>
        <w:t>ليزية من ناحية التوزيع بين قائمة الانتقاء الخاصة بقاعدة بيانات ال</w:t>
      </w:r>
      <w:r>
        <w:rPr>
          <w:rtl/>
        </w:rPr>
        <w:t xml:space="preserve">سلع والخدمات (الأوصاف المقترحة </w:t>
      </w:r>
      <w:r w:rsidR="00417207">
        <w:rPr>
          <w:rtl/>
        </w:rPr>
        <w:t>لاختيار المودعين) والمجموعة الإضا</w:t>
      </w:r>
      <w:r>
        <w:rPr>
          <w:rtl/>
        </w:rPr>
        <w:t>فية من البيانات المقبولة تشغيلي</w:t>
      </w:r>
      <w:r w:rsidR="00417207">
        <w:rPr>
          <w:rtl/>
        </w:rPr>
        <w:t xml:space="preserve">ا (الأوصاف التي </w:t>
      </w:r>
      <w:r>
        <w:rPr>
          <w:rFonts w:hint="cs"/>
          <w:rtl/>
        </w:rPr>
        <w:t>تبيّن</w:t>
      </w:r>
      <w:r>
        <w:rPr>
          <w:rtl/>
        </w:rPr>
        <w:t xml:space="preserve"> مرونة الفحص التشغيلي </w:t>
      </w:r>
      <w:r>
        <w:rPr>
          <w:rFonts w:hint="cs"/>
          <w:rtl/>
        </w:rPr>
        <w:t>في ا</w:t>
      </w:r>
      <w:r w:rsidR="00417207">
        <w:rPr>
          <w:rtl/>
        </w:rPr>
        <w:t>لمكتب الدولي).</w:t>
      </w:r>
    </w:p>
    <w:p w:rsidR="00417207" w:rsidRDefault="007F7DCE" w:rsidP="007F7DCE">
      <w:pPr>
        <w:pStyle w:val="NumberedParaAR"/>
      </w:pPr>
      <w:r>
        <w:rPr>
          <w:rFonts w:hint="cs"/>
          <w:rtl/>
        </w:rPr>
        <w:t>و</w:t>
      </w:r>
      <w:r w:rsidR="00417207">
        <w:rPr>
          <w:rtl/>
        </w:rPr>
        <w:t xml:space="preserve">للحد من أعمال الترجمة </w:t>
      </w:r>
      <w:r>
        <w:rPr>
          <w:rFonts w:hint="cs"/>
          <w:rtl/>
        </w:rPr>
        <w:t>والتثبيت</w:t>
      </w:r>
      <w:r w:rsidR="00417207">
        <w:rPr>
          <w:rtl/>
        </w:rPr>
        <w:t xml:space="preserve"> </w:t>
      </w:r>
      <w:r>
        <w:rPr>
          <w:rFonts w:hint="cs"/>
          <w:rtl/>
        </w:rPr>
        <w:t>في</w:t>
      </w:r>
      <w:r w:rsidR="00417207">
        <w:rPr>
          <w:rtl/>
        </w:rPr>
        <w:t xml:space="preserve"> المكاتب الوطنية المتعاونة للوصول </w:t>
      </w:r>
      <w:r>
        <w:rPr>
          <w:rtl/>
        </w:rPr>
        <w:t xml:space="preserve">إلى أعلى مستوى لجودة البيانات، </w:t>
      </w:r>
      <w:r>
        <w:rPr>
          <w:rFonts w:hint="cs"/>
          <w:rtl/>
        </w:rPr>
        <w:t>ن</w:t>
      </w:r>
      <w:r w:rsidR="00417207">
        <w:rPr>
          <w:rtl/>
        </w:rPr>
        <w:t xml:space="preserve">رسل فقط الأوصاف المقترحة في قائمة الانتقاء الخاصة بقاعدة بيانات السلع والخدمات إلى المكاتب من أجل الترجمة أو التحقق من القبول أو كليهما. </w:t>
      </w:r>
    </w:p>
    <w:p w:rsidR="00417207" w:rsidRDefault="007F7DCE" w:rsidP="007F7DCE">
      <w:pPr>
        <w:pStyle w:val="NumberedParaAR"/>
      </w:pPr>
      <w:r>
        <w:rPr>
          <w:rFonts w:hint="cs"/>
          <w:rtl/>
        </w:rPr>
        <w:t>وفي</w:t>
      </w:r>
      <w:r w:rsidR="00417207">
        <w:rPr>
          <w:rtl/>
        </w:rPr>
        <w:t xml:space="preserve"> المرفق الثالث لمحة عن </w:t>
      </w:r>
      <w:r>
        <w:rPr>
          <w:rFonts w:hint="cs"/>
          <w:rtl/>
        </w:rPr>
        <w:t>الحصة النسبية</w:t>
      </w:r>
      <w:r w:rsidR="00417207">
        <w:rPr>
          <w:rtl/>
        </w:rPr>
        <w:t xml:space="preserve"> </w:t>
      </w:r>
      <w:r>
        <w:rPr>
          <w:rFonts w:hint="cs"/>
          <w:rtl/>
        </w:rPr>
        <w:t>ل</w:t>
      </w:r>
      <w:r w:rsidR="00417207">
        <w:rPr>
          <w:rtl/>
        </w:rPr>
        <w:t xml:space="preserve">لغات قاعدة بيانات السلع والخدمات المختلفة. </w:t>
      </w:r>
    </w:p>
    <w:p w:rsidR="00417207" w:rsidRDefault="007F7DCE" w:rsidP="00417207">
      <w:pPr>
        <w:pStyle w:val="NumberedParaAR"/>
      </w:pPr>
      <w:r>
        <w:rPr>
          <w:rFonts w:hint="cs"/>
          <w:rtl/>
        </w:rPr>
        <w:t>وفي</w:t>
      </w:r>
      <w:r w:rsidR="00417207">
        <w:rPr>
          <w:rtl/>
        </w:rPr>
        <w:t xml:space="preserve"> المرفق الرابع لمحة عن نسبة قبول الأطراف المتعاقدة لمحتويات قاعدة بيانات السلع والخدمات المبينة من خلال وظيفة "التحقق من قبول طرف متعاقد معيَّن"</w:t>
      </w:r>
      <w:r w:rsidR="00F62742">
        <w:rPr>
          <w:rFonts w:hint="cs"/>
          <w:rtl/>
        </w:rPr>
        <w:t>.</w:t>
      </w:r>
    </w:p>
    <w:p w:rsidR="00AF7FFE" w:rsidRDefault="00417207" w:rsidP="00417207">
      <w:pPr>
        <w:pStyle w:val="Heading2AR"/>
        <w:rPr>
          <w:rtl/>
          <w:lang w:bidi="ar-AE"/>
        </w:rPr>
      </w:pPr>
      <w:r w:rsidRPr="00417207">
        <w:rPr>
          <w:rtl/>
          <w:lang w:bidi="ar-AE"/>
        </w:rPr>
        <w:lastRenderedPageBreak/>
        <w:t>تحديثات قاعدة بيانات السلع والخدمات</w:t>
      </w:r>
    </w:p>
    <w:p w:rsidR="00AF7FFE" w:rsidRPr="00734723" w:rsidRDefault="006A2F6B" w:rsidP="007F7DCE">
      <w:pPr>
        <w:pStyle w:val="NumberedParaAR"/>
        <w:rPr>
          <w:lang w:bidi="ar-AE"/>
        </w:rPr>
      </w:pPr>
      <w:r>
        <w:rPr>
          <w:rFonts w:hint="cs"/>
          <w:rtl/>
          <w:lang w:bidi="ar-AE"/>
        </w:rPr>
        <w:t>ت</w:t>
      </w:r>
      <w:r w:rsidRPr="006A2F6B">
        <w:rPr>
          <w:rtl/>
          <w:lang w:bidi="ar-AE"/>
        </w:rPr>
        <w:t>أتي حال</w:t>
      </w:r>
      <w:r w:rsidR="007F7DCE">
        <w:rPr>
          <w:rFonts w:hint="cs"/>
          <w:rtl/>
          <w:lang w:bidi="ar-AE"/>
        </w:rPr>
        <w:t>ات</w:t>
      </w:r>
      <w:r w:rsidRPr="006A2F6B">
        <w:rPr>
          <w:rtl/>
          <w:lang w:bidi="ar-AE"/>
        </w:rPr>
        <w:t xml:space="preserve"> القبول المتاحة لكل طرف من الأطراف المتعاقدة المشاركة في قاعدة بيانات السلع والخدمات من مصادر مختلفة وهي</w:t>
      </w:r>
      <w:r>
        <w:rPr>
          <w:rFonts w:hint="cs"/>
          <w:rtl/>
          <w:lang w:bidi="ar-AE"/>
        </w:rPr>
        <w:t>:</w:t>
      </w:r>
    </w:p>
    <w:p w:rsidR="006A2F6B" w:rsidRDefault="006A2F6B" w:rsidP="007F7DCE">
      <w:pPr>
        <w:pStyle w:val="NumberedParaAR"/>
        <w:widowControl w:val="0"/>
        <w:numPr>
          <w:ilvl w:val="0"/>
          <w:numId w:val="21"/>
        </w:numPr>
        <w:ind w:left="1133" w:hanging="567"/>
        <w:rPr>
          <w:lang w:bidi="ar-AE"/>
        </w:rPr>
      </w:pPr>
      <w:r w:rsidRPr="006A2F6B">
        <w:rPr>
          <w:rtl/>
          <w:lang w:bidi="ar-AE"/>
        </w:rPr>
        <w:t xml:space="preserve">المعلومات عن حالة القبول </w:t>
      </w:r>
      <w:r w:rsidR="007F7DCE">
        <w:rPr>
          <w:rFonts w:hint="cs"/>
          <w:rtl/>
          <w:lang w:bidi="ar-AE"/>
        </w:rPr>
        <w:t>الواردة</w:t>
      </w:r>
      <w:r w:rsidRPr="006A2F6B">
        <w:rPr>
          <w:rtl/>
          <w:lang w:bidi="ar-AE"/>
        </w:rPr>
        <w:t xml:space="preserve"> مباشرة </w:t>
      </w:r>
      <w:r w:rsidR="007F7DCE">
        <w:rPr>
          <w:rFonts w:hint="cs"/>
          <w:rtl/>
          <w:lang w:bidi="ar-AE"/>
        </w:rPr>
        <w:t xml:space="preserve">من </w:t>
      </w:r>
      <w:r w:rsidRPr="006A2F6B">
        <w:rPr>
          <w:rtl/>
          <w:lang w:bidi="ar-AE"/>
        </w:rPr>
        <w:t>المكاتب الوطنية التي تترجم قاعدة البيانات و/أو تتأكد من قبول أو رفض مضمونها باللغة الإنكليزية؛</w:t>
      </w:r>
    </w:p>
    <w:p w:rsidR="006A2F6B" w:rsidRDefault="006A2F6B" w:rsidP="007132DD">
      <w:pPr>
        <w:pStyle w:val="NumberedParaAR"/>
        <w:widowControl w:val="0"/>
        <w:numPr>
          <w:ilvl w:val="0"/>
          <w:numId w:val="21"/>
        </w:numPr>
        <w:ind w:left="1133" w:hanging="567"/>
        <w:rPr>
          <w:lang w:bidi="ar-AE"/>
        </w:rPr>
      </w:pPr>
      <w:r>
        <w:rPr>
          <w:rtl/>
          <w:lang w:bidi="ar-AE"/>
        </w:rPr>
        <w:t xml:space="preserve">قائمة السلع والخدمات الموحدة </w:t>
      </w:r>
      <w:r>
        <w:rPr>
          <w:lang w:bidi="ar-AE"/>
        </w:rPr>
        <w:t>TM5-ID</w:t>
      </w:r>
      <w:r>
        <w:rPr>
          <w:rtl/>
          <w:lang w:bidi="ar-AE"/>
        </w:rPr>
        <w:t>؛</w:t>
      </w:r>
    </w:p>
    <w:p w:rsidR="006A2F6B" w:rsidRDefault="006A2F6B" w:rsidP="007132DD">
      <w:pPr>
        <w:pStyle w:val="NumberedParaAR"/>
        <w:widowControl w:val="0"/>
        <w:numPr>
          <w:ilvl w:val="0"/>
          <w:numId w:val="21"/>
        </w:numPr>
        <w:ind w:left="1133" w:hanging="567"/>
        <w:rPr>
          <w:lang w:bidi="ar-AE"/>
        </w:rPr>
      </w:pPr>
      <w:r>
        <w:rPr>
          <w:rtl/>
          <w:lang w:bidi="ar-AE"/>
        </w:rPr>
        <w:t>دليل مكتب الولايات المتحدة للبراءات والعلامات بشأن بيانات السلع والخدمات المقبولة؛</w:t>
      </w:r>
    </w:p>
    <w:p w:rsidR="006A2F6B" w:rsidRDefault="006A2F6B" w:rsidP="007132DD">
      <w:pPr>
        <w:pStyle w:val="NumberedParaAR"/>
        <w:widowControl w:val="0"/>
        <w:numPr>
          <w:ilvl w:val="0"/>
          <w:numId w:val="21"/>
        </w:numPr>
        <w:ind w:left="1133" w:hanging="567"/>
        <w:rPr>
          <w:lang w:bidi="ar-AE"/>
        </w:rPr>
      </w:pPr>
      <w:r>
        <w:rPr>
          <w:rtl/>
          <w:lang w:bidi="ar-AE"/>
        </w:rPr>
        <w:t>قاعدة البيانات الأوروبية الموحدة؛</w:t>
      </w:r>
    </w:p>
    <w:p w:rsidR="001B2B3E" w:rsidRPr="00734723" w:rsidRDefault="006A2F6B" w:rsidP="007132DD">
      <w:pPr>
        <w:pStyle w:val="NumberedParaAR"/>
        <w:widowControl w:val="0"/>
        <w:numPr>
          <w:ilvl w:val="0"/>
          <w:numId w:val="21"/>
        </w:numPr>
        <w:ind w:left="1133" w:hanging="567"/>
        <w:rPr>
          <w:lang w:bidi="ar-AE"/>
        </w:rPr>
      </w:pPr>
      <w:r>
        <w:rPr>
          <w:rtl/>
          <w:lang w:bidi="ar-AE"/>
        </w:rPr>
        <w:t>قائمة مكتب كوريا للملكية الفكرية بشأن بيانات السلع والخدمات المقبولة.</w:t>
      </w:r>
    </w:p>
    <w:p w:rsidR="006A2F6B" w:rsidRDefault="006A2F6B" w:rsidP="006A2F6B">
      <w:pPr>
        <w:pStyle w:val="NumberedParaAR"/>
        <w:rPr>
          <w:lang w:bidi="ar-AE"/>
        </w:rPr>
      </w:pPr>
      <w:r w:rsidRPr="006A2F6B">
        <w:rPr>
          <w:rtl/>
          <w:lang w:bidi="ar-AE"/>
        </w:rPr>
        <w:t>وفي 2015، وُسّع نطاق التعاون مع مكتب الاتحاد الأوروبي للملكية الفكرية لكي يتيح النفاذ إلى قاعدة البيانات الأوروبية الموحدة إجراء تحديثات منتظمة لحالة القبول في قاعدة بيانات السلع والخدمات فيما يخص الاتحاد الأوروبي، بالإضافة إلى جميع البلدان الأوروبية المشاركة في وظيفة قاعدة بيانات السلع والخدمات المعروفة باسم "التحقق من قبول طرف متعاقد معين".</w:t>
      </w:r>
    </w:p>
    <w:p w:rsidR="006A2F6B" w:rsidRDefault="006A2F6B" w:rsidP="007132DD">
      <w:pPr>
        <w:pStyle w:val="Heading1AR"/>
        <w:rPr>
          <w:rtl/>
          <w:lang w:bidi="ar-AE"/>
        </w:rPr>
      </w:pPr>
      <w:r w:rsidRPr="006A2F6B">
        <w:rPr>
          <w:rtl/>
          <w:lang w:bidi="ar-AE"/>
        </w:rPr>
        <w:t>إثراء أكثر لقاعدة بيانات السلع والخدمات</w:t>
      </w:r>
    </w:p>
    <w:p w:rsidR="006A2F6B" w:rsidRPr="006A2F6B" w:rsidRDefault="006A2F6B" w:rsidP="007132DD">
      <w:pPr>
        <w:pStyle w:val="Heading2AR"/>
        <w:rPr>
          <w:lang w:bidi="ar-AE"/>
        </w:rPr>
      </w:pPr>
      <w:r w:rsidRPr="006A2F6B">
        <w:rPr>
          <w:rtl/>
          <w:lang w:bidi="ar-AE"/>
        </w:rPr>
        <w:t>التحقق من حالة القبول لدى المكاتب الوطنية</w:t>
      </w:r>
    </w:p>
    <w:p w:rsidR="006A2F6B" w:rsidRPr="006A2F6B" w:rsidRDefault="006A2F6B" w:rsidP="006A2F6B">
      <w:pPr>
        <w:pStyle w:val="NumberedParaAR"/>
        <w:rPr>
          <w:lang w:bidi="ar-AE"/>
        </w:rPr>
      </w:pPr>
      <w:r w:rsidRPr="006A2F6B">
        <w:rPr>
          <w:rtl/>
          <w:lang w:bidi="ar-AE"/>
        </w:rPr>
        <w:t>يستمر التعاون بين المكتب الدولي والأطراف المتعاقدة في نظام مدريد، أو البلدان التي تحضر للانضمام إلى نظام مدريد، وذلك بغية زيادة كمية المعلومات عن حالة القبول المتاحة في قاعدة بيانات السلع والخدمات وذلك من أجل تزويد مودعي طلبات العلامات التجارية بالمعلومات المفيدة لأغراض الإيداع الدولي للطلب، أي المعلومات التي تمكنهم من أن يعرفوا مسبقًا ما إذا كانت بعض المصطلحات في قوائمهم ستؤدي إلى رفض مؤقت من البلدان التي يعينونها</w:t>
      </w:r>
      <w:r w:rsidRPr="006A2F6B">
        <w:rPr>
          <w:rFonts w:hint="eastAsia"/>
          <w:rtl/>
          <w:lang w:bidi="ar-AE"/>
        </w:rPr>
        <w:t>.</w:t>
      </w:r>
    </w:p>
    <w:p w:rsidR="006A2F6B" w:rsidRDefault="006A2F6B" w:rsidP="006A2F6B">
      <w:pPr>
        <w:bidi/>
        <w:rPr>
          <w:rFonts w:ascii="Arabic Typesetting" w:hAnsi="Arabic Typesetting" w:cs="Arabic Typesetting"/>
          <w:sz w:val="40"/>
          <w:szCs w:val="40"/>
          <w:rtl/>
          <w:lang w:bidi="ar-AE"/>
        </w:rPr>
      </w:pPr>
      <w:r w:rsidRPr="006A2F6B">
        <w:rPr>
          <w:rFonts w:ascii="Arabic Typesetting" w:hAnsi="Arabic Typesetting" w:cs="Arabic Typesetting"/>
          <w:sz w:val="40"/>
          <w:szCs w:val="40"/>
          <w:rtl/>
          <w:lang w:bidi="ar-AE"/>
        </w:rPr>
        <w:t>إدراج بيانات جديدة خاصة بالسلع والخدمات</w:t>
      </w:r>
    </w:p>
    <w:p w:rsidR="006A2F6B" w:rsidRDefault="006A2F6B" w:rsidP="006A2F6B">
      <w:pPr>
        <w:pStyle w:val="NumberedParaAR"/>
        <w:rPr>
          <w:rtl/>
          <w:lang w:bidi="ar-AE"/>
        </w:rPr>
      </w:pPr>
      <w:r w:rsidRPr="006A2F6B">
        <w:rPr>
          <w:rtl/>
          <w:lang w:bidi="ar-AE"/>
        </w:rPr>
        <w:t>سعيا إلى جعل قاعدة بيانات السلع والخدمات وجيهةً قدر الإمكان لمودعي طلبات العلامات التجارية لدى الإيداع الوطني والدولي على حد سواء، سيتواصل إثراء قاعدة بيانات السلع والخدمات ببيانات مستمدة من مصادر متنوعة مثل</w:t>
      </w:r>
      <w:r w:rsidRPr="006A2F6B">
        <w:rPr>
          <w:rFonts w:hint="eastAsia"/>
          <w:rtl/>
          <w:lang w:bidi="ar-AE"/>
        </w:rPr>
        <w:t>:</w:t>
      </w:r>
      <w:r w:rsidRPr="006A2F6B">
        <w:rPr>
          <w:rtl/>
          <w:lang w:bidi="ar-AE"/>
        </w:rPr>
        <w:t xml:space="preserve"> </w:t>
      </w:r>
    </w:p>
    <w:p w:rsidR="006A2F6B" w:rsidRPr="006A2F6B" w:rsidRDefault="00EB5184" w:rsidP="007F7DCE">
      <w:pPr>
        <w:pStyle w:val="NumberedParaAR"/>
        <w:widowControl w:val="0"/>
        <w:numPr>
          <w:ilvl w:val="0"/>
          <w:numId w:val="21"/>
        </w:numPr>
        <w:ind w:left="1133" w:hanging="567"/>
        <w:rPr>
          <w:lang w:bidi="ar-AE"/>
        </w:rPr>
      </w:pPr>
      <w:r>
        <w:rPr>
          <w:rtl/>
          <w:lang w:bidi="ar-AE"/>
        </w:rPr>
        <w:t xml:space="preserve">المصطلحات </w:t>
      </w:r>
      <w:r w:rsidR="006A2F6B" w:rsidRPr="006A2F6B">
        <w:rPr>
          <w:rtl/>
          <w:lang w:bidi="ar-AE"/>
        </w:rPr>
        <w:t xml:space="preserve">شائعة الاستخدام والمستخرجة بانتظام من الطلبات الدولية المستلمة في المكتب الدولي ومن السجل الدولي للعلامات التجارية؛ </w:t>
      </w:r>
    </w:p>
    <w:p w:rsidR="006A2F6B" w:rsidRPr="006A2F6B" w:rsidRDefault="006A2F6B" w:rsidP="007F7DCE">
      <w:pPr>
        <w:pStyle w:val="NumberedParaAR"/>
        <w:widowControl w:val="0"/>
        <w:numPr>
          <w:ilvl w:val="0"/>
          <w:numId w:val="21"/>
        </w:numPr>
        <w:ind w:left="1133" w:hanging="567"/>
        <w:rPr>
          <w:lang w:bidi="ar-AE"/>
        </w:rPr>
      </w:pPr>
      <w:r w:rsidRPr="006A2F6B">
        <w:rPr>
          <w:rtl/>
          <w:lang w:bidi="ar-AE"/>
        </w:rPr>
        <w:t xml:space="preserve">قائمة السلع والخدمات الموحدة </w:t>
      </w:r>
      <w:r w:rsidRPr="006A2F6B">
        <w:rPr>
          <w:lang w:bidi="ar-AE"/>
        </w:rPr>
        <w:t>TM5-ID</w:t>
      </w:r>
      <w:r w:rsidRPr="006A2F6B">
        <w:rPr>
          <w:rtl/>
          <w:lang w:bidi="ar-AE"/>
        </w:rPr>
        <w:t>؛</w:t>
      </w:r>
    </w:p>
    <w:p w:rsidR="006A2F6B" w:rsidRPr="006A2F6B" w:rsidRDefault="006A2F6B" w:rsidP="007F7DCE">
      <w:pPr>
        <w:pStyle w:val="NumberedParaAR"/>
        <w:widowControl w:val="0"/>
        <w:numPr>
          <w:ilvl w:val="0"/>
          <w:numId w:val="21"/>
        </w:numPr>
        <w:ind w:left="1133" w:hanging="567"/>
        <w:rPr>
          <w:lang w:bidi="ar-AE"/>
        </w:rPr>
      </w:pPr>
      <w:r w:rsidRPr="006A2F6B">
        <w:rPr>
          <w:rtl/>
          <w:lang w:bidi="ar-AE"/>
        </w:rPr>
        <w:t>قاعدة البيانات الأوروبية الموحدة؛</w:t>
      </w:r>
    </w:p>
    <w:p w:rsidR="006A2F6B" w:rsidRPr="006A2F6B" w:rsidRDefault="006A2F6B" w:rsidP="00EB5184">
      <w:pPr>
        <w:pStyle w:val="NumberedParaAR"/>
        <w:widowControl w:val="0"/>
        <w:numPr>
          <w:ilvl w:val="0"/>
          <w:numId w:val="21"/>
        </w:numPr>
        <w:ind w:left="1133" w:hanging="567"/>
        <w:rPr>
          <w:lang w:bidi="ar-AE"/>
        </w:rPr>
      </w:pPr>
      <w:r w:rsidRPr="006A2F6B">
        <w:rPr>
          <w:rtl/>
          <w:lang w:bidi="ar-AE"/>
        </w:rPr>
        <w:t>قوائم السلع والخدمات الوطنية الواردة من المكاتب الوطنية للملكية الفكرية مثل تلك التي أتاحتها البلدان التالية</w:t>
      </w:r>
      <w:r w:rsidRPr="006A2F6B">
        <w:rPr>
          <w:rFonts w:hint="eastAsia"/>
          <w:rtl/>
          <w:lang w:bidi="ar-AE"/>
        </w:rPr>
        <w:t>:</w:t>
      </w:r>
      <w:r w:rsidRPr="006A2F6B">
        <w:rPr>
          <w:rtl/>
          <w:lang w:bidi="ar-AE"/>
        </w:rPr>
        <w:t xml:space="preserve"> </w:t>
      </w:r>
      <w:r w:rsidR="00EB5184">
        <w:rPr>
          <w:rFonts w:hint="cs"/>
          <w:rtl/>
          <w:lang w:bidi="ar-AE"/>
        </w:rPr>
        <w:t>أ</w:t>
      </w:r>
      <w:r w:rsidRPr="006A2F6B">
        <w:rPr>
          <w:rtl/>
          <w:lang w:bidi="ar-AE"/>
        </w:rPr>
        <w:t>ستراليا والصين وألمانيا واليابان وجمهورية كوريا وسويسرا؛</w:t>
      </w:r>
    </w:p>
    <w:p w:rsidR="006A2F6B" w:rsidRPr="006A2F6B" w:rsidRDefault="006A2F6B" w:rsidP="00CA6633">
      <w:pPr>
        <w:pStyle w:val="NumberedParaAR"/>
        <w:widowControl w:val="0"/>
        <w:numPr>
          <w:ilvl w:val="0"/>
          <w:numId w:val="21"/>
        </w:numPr>
        <w:ind w:left="1133" w:hanging="567"/>
        <w:rPr>
          <w:rtl/>
          <w:lang w:bidi="ar-AE"/>
        </w:rPr>
      </w:pPr>
      <w:r w:rsidRPr="006A2F6B">
        <w:rPr>
          <w:rtl/>
          <w:lang w:bidi="ar-AE"/>
        </w:rPr>
        <w:t xml:space="preserve">السجلات الوطنية للعلامات التجارية للبلدان المتعاونة مع الويبو في مشروع قاعدة بيانات أدوات التوسيم العالمية وسيتم فحص المصطلحات الشائعة الاستخدام فيها، من غير الموجودة في قاعدة بيانات السلع </w:t>
      </w:r>
      <w:r w:rsidRPr="006A2F6B">
        <w:rPr>
          <w:rtl/>
          <w:lang w:bidi="ar-AE"/>
        </w:rPr>
        <w:lastRenderedPageBreak/>
        <w:t>والخدمات، تحضيرًا لإدراجها. وحتى الآن، استُمدت المصطلحات الشائعة الاستخدام من السجلات الوطنية للبلدان التالية</w:t>
      </w:r>
      <w:r w:rsidRPr="006A2F6B">
        <w:rPr>
          <w:rFonts w:hint="eastAsia"/>
          <w:rtl/>
          <w:lang w:bidi="ar-AE"/>
        </w:rPr>
        <w:t>:</w:t>
      </w:r>
      <w:r w:rsidRPr="006A2F6B">
        <w:rPr>
          <w:rtl/>
          <w:lang w:bidi="ar-AE"/>
        </w:rPr>
        <w:t xml:space="preserve"> </w:t>
      </w:r>
      <w:r w:rsidR="00CA6633">
        <w:rPr>
          <w:rFonts w:hint="cs"/>
          <w:rtl/>
          <w:lang w:bidi="ar-AE"/>
        </w:rPr>
        <w:t>أ</w:t>
      </w:r>
      <w:r w:rsidRPr="006A2F6B">
        <w:rPr>
          <w:rtl/>
          <w:lang w:bidi="ar-AE"/>
        </w:rPr>
        <w:t>ستراليا وكندا و</w:t>
      </w:r>
      <w:r w:rsidR="00CA6633">
        <w:rPr>
          <w:rFonts w:hint="cs"/>
          <w:rtl/>
          <w:lang w:bidi="ar-AE"/>
        </w:rPr>
        <w:t>إ</w:t>
      </w:r>
      <w:r w:rsidRPr="006A2F6B">
        <w:rPr>
          <w:rtl/>
          <w:lang w:bidi="ar-AE"/>
        </w:rPr>
        <w:t>سرائيل واليابان والمكسيك ونيوزيلندا والاتحاد الروسي وسنغافورة وسويسرا والولايات المتحدة الأمريكية</w:t>
      </w:r>
      <w:r w:rsidRPr="006A2F6B">
        <w:rPr>
          <w:rFonts w:hint="eastAsia"/>
          <w:rtl/>
          <w:lang w:bidi="ar-AE"/>
        </w:rPr>
        <w:t>.</w:t>
      </w:r>
    </w:p>
    <w:p w:rsidR="000865AF" w:rsidRPr="00CA6633" w:rsidRDefault="000865AF" w:rsidP="000849FE">
      <w:pPr>
        <w:pStyle w:val="Heading1AR"/>
        <w:rPr>
          <w:i/>
          <w:rtl/>
          <w:lang w:bidi="ar-AE"/>
        </w:rPr>
      </w:pPr>
      <w:r w:rsidRPr="00734723">
        <w:rPr>
          <w:rtl/>
          <w:lang w:bidi="ar-AE"/>
        </w:rPr>
        <w:t>الميزانية</w:t>
      </w:r>
    </w:p>
    <w:p w:rsidR="00EA0B4F" w:rsidRPr="00EA0B4F" w:rsidRDefault="00EA0B4F" w:rsidP="00CA6633">
      <w:pPr>
        <w:pStyle w:val="NumberedParaAR"/>
        <w:rPr>
          <w:lang w:bidi="ar-AE"/>
        </w:rPr>
      </w:pPr>
      <w:r w:rsidRPr="00EA0B4F">
        <w:rPr>
          <w:rtl/>
          <w:lang w:bidi="ar-AE"/>
        </w:rPr>
        <w:t xml:space="preserve">وافقت جمعية اتحاد مدريد في سنة </w:t>
      </w:r>
      <w:r w:rsidRPr="00EA0B4F">
        <w:rPr>
          <w:rFonts w:hint="eastAsia"/>
          <w:rtl/>
          <w:lang w:bidi="ar-AE"/>
        </w:rPr>
        <w:t>2015</w:t>
      </w:r>
      <w:r w:rsidRPr="00EA0B4F">
        <w:rPr>
          <w:rtl/>
          <w:lang w:bidi="ar-AE"/>
        </w:rPr>
        <w:t xml:space="preserve"> على استخدام أموال المشروع المتبقية في نهاية </w:t>
      </w:r>
      <w:r w:rsidRPr="00EA0B4F">
        <w:rPr>
          <w:rFonts w:hint="eastAsia"/>
          <w:rtl/>
          <w:lang w:bidi="ar-AE"/>
        </w:rPr>
        <w:t>2015</w:t>
      </w:r>
      <w:r w:rsidRPr="00EA0B4F">
        <w:rPr>
          <w:rtl/>
          <w:lang w:bidi="ar-AE"/>
        </w:rPr>
        <w:t xml:space="preserve"> لمساعدة بعض المكاتب الوطنية على دفع تكاليف ترجمة قاعدة بيانات السلع والخدمات إلى لغاتها الوطنية </w:t>
      </w:r>
      <w:r w:rsidRPr="00EA0B4F">
        <w:rPr>
          <w:rFonts w:hint="eastAsia"/>
          <w:rtl/>
          <w:lang w:bidi="ar-AE"/>
        </w:rPr>
        <w:t>(</w:t>
      </w:r>
      <w:r w:rsidRPr="00EA0B4F">
        <w:rPr>
          <w:rtl/>
          <w:lang w:bidi="ar-AE"/>
        </w:rPr>
        <w:t xml:space="preserve">انظر الفقرة </w:t>
      </w:r>
      <w:r w:rsidRPr="00EA0B4F">
        <w:rPr>
          <w:rFonts w:hint="eastAsia"/>
          <w:rtl/>
          <w:lang w:bidi="ar-AE"/>
        </w:rPr>
        <w:t>28</w:t>
      </w:r>
      <w:r w:rsidRPr="00EA0B4F">
        <w:rPr>
          <w:rtl/>
          <w:lang w:bidi="ar-AE"/>
        </w:rPr>
        <w:t xml:space="preserve"> من الوثيقة</w:t>
      </w:r>
      <w:r w:rsidR="00CA6633">
        <w:rPr>
          <w:rFonts w:hint="cs"/>
          <w:rtl/>
          <w:lang w:bidi="ar-AE"/>
        </w:rPr>
        <w:t> </w:t>
      </w:r>
      <w:r w:rsidRPr="00EA0B4F">
        <w:rPr>
          <w:lang w:bidi="ar-AE"/>
        </w:rPr>
        <w:t>MM/A/49/2</w:t>
      </w:r>
      <w:r w:rsidRPr="00EA0B4F">
        <w:rPr>
          <w:rFonts w:hint="eastAsia"/>
          <w:rtl/>
          <w:lang w:bidi="ar-AE"/>
        </w:rPr>
        <w:t>).</w:t>
      </w:r>
    </w:p>
    <w:p w:rsidR="00EA0B4F" w:rsidRPr="00EA0B4F" w:rsidRDefault="00EA0B4F" w:rsidP="00CA6633">
      <w:pPr>
        <w:pStyle w:val="NumberedParaAR"/>
        <w:rPr>
          <w:lang w:bidi="ar-AE"/>
        </w:rPr>
      </w:pPr>
      <w:r w:rsidRPr="00EA0B4F">
        <w:rPr>
          <w:rtl/>
          <w:lang w:bidi="ar-AE"/>
        </w:rPr>
        <w:t xml:space="preserve">ويرد في المرفق الخامس جدول يبيّن توزيع الأموال </w:t>
      </w:r>
      <w:r w:rsidR="00CA6633">
        <w:rPr>
          <w:rFonts w:hint="cs"/>
          <w:rtl/>
          <w:lang w:bidi="ar-AE"/>
        </w:rPr>
        <w:t>الأصلي</w:t>
      </w:r>
      <w:r w:rsidR="00F62742" w:rsidRPr="00EA0B4F">
        <w:rPr>
          <w:rFonts w:hint="eastAsia"/>
          <w:rtl/>
          <w:lang w:bidi="ar-AE"/>
        </w:rPr>
        <w:t xml:space="preserve"> </w:t>
      </w:r>
      <w:r w:rsidRPr="00EA0B4F">
        <w:rPr>
          <w:rFonts w:hint="eastAsia"/>
          <w:rtl/>
          <w:lang w:bidi="ar-AE"/>
        </w:rPr>
        <w:t>(</w:t>
      </w:r>
      <w:r w:rsidR="00CA6633">
        <w:rPr>
          <w:rFonts w:hint="cs"/>
          <w:rtl/>
          <w:lang w:bidi="ar-AE"/>
        </w:rPr>
        <w:t>بمقدار</w:t>
      </w:r>
      <w:r w:rsidRPr="00EA0B4F">
        <w:rPr>
          <w:rtl/>
          <w:lang w:bidi="ar-AE"/>
        </w:rPr>
        <w:t xml:space="preserve"> </w:t>
      </w:r>
      <w:r w:rsidRPr="00EA0B4F">
        <w:rPr>
          <w:rFonts w:hint="eastAsia"/>
          <w:rtl/>
          <w:lang w:bidi="ar-AE"/>
        </w:rPr>
        <w:t>000</w:t>
      </w:r>
      <w:r w:rsidRPr="00EA0B4F">
        <w:rPr>
          <w:rtl/>
          <w:lang w:bidi="ar-AE"/>
        </w:rPr>
        <w:t xml:space="preserve"> </w:t>
      </w:r>
      <w:r w:rsidRPr="00EA0B4F">
        <w:rPr>
          <w:rFonts w:hint="eastAsia"/>
          <w:rtl/>
          <w:lang w:bidi="ar-AE"/>
        </w:rPr>
        <w:t>232</w:t>
      </w:r>
      <w:r w:rsidRPr="00EA0B4F">
        <w:rPr>
          <w:rtl/>
          <w:lang w:bidi="ar-AE"/>
        </w:rPr>
        <w:t xml:space="preserve"> فرنك سويسري</w:t>
      </w:r>
      <w:r w:rsidRPr="00EA0B4F">
        <w:rPr>
          <w:rFonts w:hint="eastAsia"/>
          <w:rtl/>
          <w:lang w:bidi="ar-AE"/>
        </w:rPr>
        <w:t>)</w:t>
      </w:r>
      <w:r w:rsidRPr="00EA0B4F">
        <w:rPr>
          <w:rtl/>
          <w:lang w:bidi="ar-AE"/>
        </w:rPr>
        <w:t xml:space="preserve"> </w:t>
      </w:r>
      <w:r w:rsidR="00CA6633">
        <w:rPr>
          <w:rFonts w:hint="cs"/>
          <w:rtl/>
          <w:lang w:bidi="ar-AE"/>
        </w:rPr>
        <w:t>كما</w:t>
      </w:r>
      <w:r w:rsidRPr="00EA0B4F">
        <w:rPr>
          <w:rtl/>
          <w:lang w:bidi="ar-AE"/>
        </w:rPr>
        <w:t xml:space="preserve"> خصصتها الويبو لترجمة قاعدة بيانات السلع والخدمات والمدفوعات الفعلية إلى غاية </w:t>
      </w:r>
      <w:r w:rsidRPr="00EA0B4F">
        <w:rPr>
          <w:rFonts w:hint="eastAsia"/>
          <w:rtl/>
          <w:lang w:bidi="ar-AE"/>
        </w:rPr>
        <w:t>30</w:t>
      </w:r>
      <w:r w:rsidRPr="00EA0B4F">
        <w:rPr>
          <w:rtl/>
          <w:lang w:bidi="ar-AE"/>
        </w:rPr>
        <w:t xml:space="preserve"> مايو </w:t>
      </w:r>
      <w:r w:rsidRPr="00EA0B4F">
        <w:rPr>
          <w:rFonts w:hint="eastAsia"/>
          <w:rtl/>
          <w:lang w:bidi="ar-AE"/>
        </w:rPr>
        <w:t>2016</w:t>
      </w:r>
      <w:r w:rsidRPr="00EA0B4F">
        <w:rPr>
          <w:rtl/>
          <w:lang w:bidi="ar-AE"/>
        </w:rPr>
        <w:t xml:space="preserve"> فيما يخص الترجمة التي قامت بها المكاتب الوطنية التي وقع عليها الاختيار</w:t>
      </w:r>
      <w:r w:rsidR="00CA6633">
        <w:rPr>
          <w:rFonts w:hint="cs"/>
          <w:rtl/>
          <w:lang w:bidi="ar-AE"/>
        </w:rPr>
        <w:t xml:space="preserve"> أصلا</w:t>
      </w:r>
      <w:r w:rsidRPr="00EA0B4F">
        <w:rPr>
          <w:rtl/>
          <w:lang w:bidi="ar-AE"/>
        </w:rPr>
        <w:t xml:space="preserve"> أو تلك التي طلبت الحصول على الدعم المالي. ويبيّن الجدول، على وجه الخصوص، </w:t>
      </w:r>
      <w:r w:rsidRPr="00EA0B4F">
        <w:rPr>
          <w:rFonts w:hint="eastAsia"/>
          <w:rtl/>
          <w:lang w:bidi="ar-AE"/>
        </w:rPr>
        <w:t>(</w:t>
      </w:r>
      <w:r w:rsidRPr="00EA0B4F">
        <w:rPr>
          <w:rtl/>
          <w:lang w:bidi="ar-AE"/>
        </w:rPr>
        <w:t xml:space="preserve">تحت باب </w:t>
      </w:r>
      <w:r w:rsidRPr="00EA0B4F">
        <w:rPr>
          <w:rFonts w:hint="eastAsia"/>
          <w:rtl/>
          <w:lang w:bidi="ar-AE"/>
        </w:rPr>
        <w:t>"</w:t>
      </w:r>
      <w:r w:rsidRPr="00EA0B4F">
        <w:rPr>
          <w:rtl/>
          <w:lang w:bidi="ar-AE"/>
        </w:rPr>
        <w:t xml:space="preserve">الرصيد المرحل إلى </w:t>
      </w:r>
      <w:r w:rsidRPr="00EA0B4F">
        <w:rPr>
          <w:rFonts w:hint="eastAsia"/>
          <w:rtl/>
          <w:lang w:bidi="ar-AE"/>
        </w:rPr>
        <w:t>2015")</w:t>
      </w:r>
      <w:r w:rsidRPr="00EA0B4F">
        <w:rPr>
          <w:rtl/>
          <w:lang w:bidi="ar-AE"/>
        </w:rPr>
        <w:t xml:space="preserve"> الموارد التي لا تزال متاحة لكل مكتب مشارك لمواصلة ترجمة قاعدة البيانات</w:t>
      </w:r>
      <w:r w:rsidRPr="00EA0B4F">
        <w:rPr>
          <w:rFonts w:hint="eastAsia"/>
          <w:rtl/>
          <w:lang w:bidi="ar-AE"/>
        </w:rPr>
        <w:t>.</w:t>
      </w:r>
    </w:p>
    <w:p w:rsidR="000865AF" w:rsidRPr="00734723" w:rsidRDefault="00CA6633" w:rsidP="00CA6633">
      <w:pPr>
        <w:pStyle w:val="NumberedParaAR"/>
        <w:rPr>
          <w:lang w:bidi="ar-AE"/>
        </w:rPr>
      </w:pPr>
      <w:r>
        <w:rPr>
          <w:rFonts w:hint="cs"/>
          <w:rtl/>
          <w:lang w:bidi="ar-AE"/>
        </w:rPr>
        <w:t>وفي</w:t>
      </w:r>
      <w:r w:rsidR="00EA0B4F" w:rsidRPr="00EA0B4F">
        <w:rPr>
          <w:rtl/>
          <w:lang w:bidi="ar-AE"/>
        </w:rPr>
        <w:t xml:space="preserve"> مايو </w:t>
      </w:r>
      <w:r w:rsidR="00EA0B4F" w:rsidRPr="00EA0B4F">
        <w:rPr>
          <w:rFonts w:hint="eastAsia"/>
          <w:rtl/>
          <w:lang w:bidi="ar-AE"/>
        </w:rPr>
        <w:t>2016</w:t>
      </w:r>
      <w:r w:rsidR="00EA0B4F" w:rsidRPr="00EA0B4F">
        <w:rPr>
          <w:rtl/>
          <w:lang w:bidi="ar-AE"/>
        </w:rPr>
        <w:t xml:space="preserve">، ظل مبلغ إجمالي قدره </w:t>
      </w:r>
      <w:r>
        <w:rPr>
          <w:rFonts w:hint="cs"/>
          <w:rtl/>
          <w:lang w:bidi="ar-AE"/>
        </w:rPr>
        <w:t xml:space="preserve">987 105 </w:t>
      </w:r>
      <w:r>
        <w:rPr>
          <w:rtl/>
          <w:lang w:bidi="ar-AE"/>
        </w:rPr>
        <w:t>فرنكا سويسريا متاح</w:t>
      </w:r>
      <w:r w:rsidR="00EA0B4F" w:rsidRPr="00EA0B4F">
        <w:rPr>
          <w:rtl/>
          <w:lang w:bidi="ar-AE"/>
        </w:rPr>
        <w:t xml:space="preserve">ا لتمويل ترجمة قاعدة بيانات السلع والخدمات إلى اللغات التي </w:t>
      </w:r>
      <w:r>
        <w:rPr>
          <w:rFonts w:hint="cs"/>
          <w:rtl/>
          <w:lang w:bidi="ar-AE"/>
        </w:rPr>
        <w:t>وقّعت</w:t>
      </w:r>
      <w:r w:rsidR="00EA0B4F" w:rsidRPr="00EA0B4F">
        <w:rPr>
          <w:rtl/>
          <w:lang w:bidi="ar-AE"/>
        </w:rPr>
        <w:t xml:space="preserve"> </w:t>
      </w:r>
      <w:r w:rsidRPr="00EA0B4F">
        <w:rPr>
          <w:rtl/>
          <w:lang w:bidi="ar-AE"/>
        </w:rPr>
        <w:t xml:space="preserve">الويبو </w:t>
      </w:r>
      <w:r w:rsidR="00EA0B4F" w:rsidRPr="00EA0B4F">
        <w:rPr>
          <w:rtl/>
          <w:lang w:bidi="ar-AE"/>
        </w:rPr>
        <w:t xml:space="preserve">بشأنها مذكرة تفاهم </w:t>
      </w:r>
      <w:r>
        <w:rPr>
          <w:rFonts w:hint="cs"/>
          <w:rtl/>
          <w:lang w:bidi="ar-AE"/>
        </w:rPr>
        <w:t>مع</w:t>
      </w:r>
      <w:r w:rsidR="00EA0B4F" w:rsidRPr="00EA0B4F">
        <w:rPr>
          <w:rtl/>
          <w:lang w:bidi="ar-AE"/>
        </w:rPr>
        <w:t xml:space="preserve"> المكتب الوطني المعني</w:t>
      </w:r>
      <w:r w:rsidR="00EA0B4F" w:rsidRPr="00EA0B4F">
        <w:rPr>
          <w:rFonts w:hint="eastAsia"/>
          <w:rtl/>
          <w:lang w:bidi="ar-AE"/>
        </w:rPr>
        <w:t>.</w:t>
      </w:r>
    </w:p>
    <w:p w:rsidR="00271DB5" w:rsidRPr="00734723" w:rsidRDefault="00271DB5" w:rsidP="00A56F39">
      <w:pPr>
        <w:pStyle w:val="DecisionParaAR"/>
        <w:rPr>
          <w:rFonts w:eastAsia="Arial"/>
        </w:rPr>
      </w:pPr>
      <w:r w:rsidRPr="00734723">
        <w:rPr>
          <w:rFonts w:eastAsia="Arial" w:hint="cs"/>
          <w:rtl/>
        </w:rPr>
        <w:t xml:space="preserve">إن </w:t>
      </w:r>
      <w:r w:rsidRPr="00734723">
        <w:rPr>
          <w:rFonts w:eastAsia="Arial"/>
          <w:rtl/>
        </w:rPr>
        <w:t>الجمعية مدعوة إلى</w:t>
      </w:r>
      <w:r w:rsidRPr="00734723">
        <w:rPr>
          <w:rFonts w:eastAsia="Arial" w:hint="cs"/>
          <w:rtl/>
        </w:rPr>
        <w:t xml:space="preserve"> ما يلي</w:t>
      </w:r>
      <w:r w:rsidRPr="00734723">
        <w:rPr>
          <w:rFonts w:eastAsia="Arial"/>
          <w:rtl/>
        </w:rPr>
        <w:t>:</w:t>
      </w:r>
    </w:p>
    <w:p w:rsidR="00271DB5" w:rsidRPr="00734723" w:rsidRDefault="00A56F39" w:rsidP="00CA6633">
      <w:pPr>
        <w:pStyle w:val="DecisionParaAR"/>
        <w:numPr>
          <w:ilvl w:val="0"/>
          <w:numId w:val="0"/>
        </w:numPr>
        <w:ind w:left="6236"/>
        <w:rPr>
          <w:rFonts w:eastAsia="Arial"/>
        </w:rPr>
      </w:pPr>
      <w:r w:rsidRPr="00734723">
        <w:rPr>
          <w:rFonts w:eastAsia="Arial" w:hint="cs"/>
          <w:rtl/>
        </w:rPr>
        <w:t>"1"</w:t>
      </w:r>
      <w:r w:rsidRPr="00734723">
        <w:rPr>
          <w:rFonts w:eastAsia="Arial" w:hint="cs"/>
          <w:rtl/>
        </w:rPr>
        <w:tab/>
      </w:r>
      <w:r w:rsidR="00CA6633">
        <w:rPr>
          <w:rFonts w:eastAsia="Arial"/>
          <w:rtl/>
        </w:rPr>
        <w:t xml:space="preserve">الإحاطة </w:t>
      </w:r>
      <w:r w:rsidR="00CA6633">
        <w:rPr>
          <w:rFonts w:eastAsia="Arial" w:hint="cs"/>
          <w:rtl/>
        </w:rPr>
        <w:t>علما</w:t>
      </w:r>
      <w:r w:rsidR="00F62742" w:rsidRPr="00F62742">
        <w:rPr>
          <w:rFonts w:eastAsia="Arial"/>
          <w:rtl/>
        </w:rPr>
        <w:t xml:space="preserve"> بالتقرير المرحلي عن قاعدة بيانات نظام مدريد بشأن السلع والخدمات (الوثيقة </w:t>
      </w:r>
      <w:r w:rsidR="00F62742" w:rsidRPr="00F62742">
        <w:rPr>
          <w:rFonts w:eastAsia="Arial"/>
        </w:rPr>
        <w:t>MM/A/50/1</w:t>
      </w:r>
      <w:r w:rsidR="00F62742" w:rsidRPr="00F62742">
        <w:rPr>
          <w:rFonts w:eastAsia="Arial"/>
          <w:rtl/>
        </w:rPr>
        <w:t>)، بما في ذلك الفقرة 33 ا</w:t>
      </w:r>
      <w:r w:rsidR="00F62742">
        <w:rPr>
          <w:rFonts w:eastAsia="Arial"/>
          <w:rtl/>
        </w:rPr>
        <w:t>لمتعلقة بأموال المشروع المتبقية</w:t>
      </w:r>
      <w:r w:rsidR="00271DB5" w:rsidRPr="00734723">
        <w:rPr>
          <w:rFonts w:eastAsia="Arial" w:hint="cs"/>
          <w:rtl/>
          <w:lang w:bidi="ar-AE"/>
        </w:rPr>
        <w:t>.</w:t>
      </w:r>
    </w:p>
    <w:p w:rsidR="000438DD" w:rsidRPr="00F62742" w:rsidRDefault="00A56F39" w:rsidP="00F62742">
      <w:pPr>
        <w:pStyle w:val="DecisionParaAR"/>
        <w:numPr>
          <w:ilvl w:val="0"/>
          <w:numId w:val="0"/>
        </w:numPr>
        <w:ind w:left="6236"/>
        <w:rPr>
          <w:rFonts w:eastAsia="Arial"/>
          <w:rtl/>
          <w:lang w:val="ar-SA"/>
        </w:rPr>
      </w:pPr>
      <w:r w:rsidRPr="00734723">
        <w:rPr>
          <w:rFonts w:eastAsia="Arial" w:hint="cs"/>
          <w:rtl/>
          <w:lang w:val="ar-SA"/>
        </w:rPr>
        <w:t>"2"</w:t>
      </w:r>
      <w:r w:rsidRPr="00734723">
        <w:rPr>
          <w:rFonts w:eastAsia="Arial" w:hint="cs"/>
          <w:rtl/>
          <w:lang w:val="ar-SA"/>
        </w:rPr>
        <w:tab/>
      </w:r>
      <w:r w:rsidR="00F62742" w:rsidRPr="00F62742">
        <w:rPr>
          <w:rFonts w:eastAsia="Arial"/>
          <w:rtl/>
          <w:lang w:val="ar-SA"/>
        </w:rPr>
        <w:t>والالتماس من المكتب الدولي للويبو أن يقدّم تقريرا مرحليا جديدا إلى الجمعية في عام 2017 بشأن التقدم المحرز في تنفيذ قاعدة بيانات نظام مدريد بشأن السلع والخدمات، بما في ذلك استخدام أموال المشروع ال</w:t>
      </w:r>
      <w:r w:rsidR="00F62742">
        <w:rPr>
          <w:rFonts w:eastAsia="Arial"/>
          <w:rtl/>
          <w:lang w:val="ar-SA"/>
        </w:rPr>
        <w:t>متبقية</w:t>
      </w:r>
      <w:r w:rsidR="005142B9" w:rsidRPr="00F62742">
        <w:rPr>
          <w:rFonts w:eastAsia="Arial" w:hint="cs"/>
          <w:rtl/>
          <w:lang w:val="ar-SA"/>
        </w:rPr>
        <w:t>.</w:t>
      </w:r>
    </w:p>
    <w:p w:rsidR="00A56F39" w:rsidRPr="00A56F39" w:rsidRDefault="00B771EF" w:rsidP="006B31BE">
      <w:pPr>
        <w:pStyle w:val="EndofDocumentAR"/>
        <w:rPr>
          <w:rFonts w:eastAsia="Arial"/>
          <w:rtl/>
          <w:lang w:val="ar-SA"/>
        </w:rPr>
      </w:pPr>
      <w:r w:rsidRPr="00734723">
        <w:rPr>
          <w:rFonts w:eastAsia="Arial"/>
          <w:rtl/>
          <w:lang w:val="ar-SA"/>
        </w:rPr>
        <w:t>[</w:t>
      </w:r>
      <w:r w:rsidR="00A56F39" w:rsidRPr="00734723">
        <w:rPr>
          <w:rFonts w:eastAsia="Arial" w:hint="cs"/>
          <w:rtl/>
          <w:lang w:val="ar-SA"/>
        </w:rPr>
        <w:t>ت</w:t>
      </w:r>
      <w:r w:rsidRPr="00734723">
        <w:rPr>
          <w:rFonts w:eastAsia="Arial"/>
          <w:rtl/>
          <w:lang w:val="ar-SA"/>
        </w:rPr>
        <w:t>لي ذلك المرفقات</w:t>
      </w:r>
      <w:r w:rsidR="00336150" w:rsidRPr="00734723">
        <w:rPr>
          <w:rFonts w:eastAsia="Arial" w:hint="cs"/>
          <w:rtl/>
          <w:lang w:val="ar-SA"/>
        </w:rPr>
        <w:t>]</w:t>
      </w:r>
    </w:p>
    <w:p w:rsidR="00A56F39" w:rsidRPr="00A56F39" w:rsidRDefault="00A56F39" w:rsidP="00A56F39">
      <w:pPr>
        <w:pStyle w:val="NormalParaAR"/>
        <w:rPr>
          <w:rFonts w:eastAsia="Arial"/>
          <w:rtl/>
          <w:lang w:val="ar-SA"/>
        </w:rPr>
        <w:sectPr w:rsidR="00A56F39" w:rsidRPr="00A56F39" w:rsidSect="006B31BE">
          <w:headerReference w:type="default" r:id="rId10"/>
          <w:pgSz w:w="11907" w:h="16840" w:code="9"/>
          <w:pgMar w:top="567" w:right="1418" w:bottom="993" w:left="1134" w:header="510" w:footer="1021" w:gutter="0"/>
          <w:cols w:space="720"/>
          <w:titlePg/>
          <w:docGrid w:linePitch="299"/>
        </w:sectPr>
      </w:pPr>
    </w:p>
    <w:p w:rsidR="00E94E80" w:rsidRDefault="00E94E80" w:rsidP="007A252D">
      <w:pPr>
        <w:pStyle w:val="NormalParaAR"/>
        <w:spacing w:line="240" w:lineRule="auto"/>
        <w:jc w:val="center"/>
        <w:rPr>
          <w:b/>
          <w:bCs/>
          <w:sz w:val="40"/>
          <w:szCs w:val="40"/>
        </w:rPr>
      </w:pPr>
    </w:p>
    <w:p w:rsidR="00DE548B" w:rsidRPr="007A252D" w:rsidRDefault="00306181" w:rsidP="007A252D">
      <w:pPr>
        <w:pStyle w:val="NormalParaAR"/>
        <w:spacing w:line="240" w:lineRule="auto"/>
        <w:jc w:val="center"/>
        <w:rPr>
          <w:b/>
          <w:bCs/>
          <w:sz w:val="40"/>
          <w:szCs w:val="40"/>
          <w:rtl/>
        </w:rPr>
      </w:pPr>
      <w:r w:rsidRPr="00306181">
        <w:rPr>
          <w:rtl/>
        </w:rPr>
        <w:drawing>
          <wp:inline distT="0" distB="0" distL="0" distR="0" wp14:anchorId="28E0BED5" wp14:editId="5105B5F0">
            <wp:extent cx="5940000" cy="3427200"/>
            <wp:effectExtent l="0" t="953" r="2858" b="285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940000" cy="3427200"/>
                    </a:xfrm>
                    <a:prstGeom prst="rect">
                      <a:avLst/>
                    </a:prstGeom>
                    <a:noFill/>
                    <a:ln>
                      <a:noFill/>
                    </a:ln>
                  </pic:spPr>
                </pic:pic>
              </a:graphicData>
            </a:graphic>
          </wp:inline>
        </w:drawing>
      </w:r>
    </w:p>
    <w:p w:rsidR="004417FC" w:rsidRPr="004417FC" w:rsidRDefault="004417FC" w:rsidP="004417FC">
      <w:pPr>
        <w:rPr>
          <w:rtl/>
        </w:rPr>
      </w:pPr>
    </w:p>
    <w:p w:rsidR="004417FC" w:rsidRPr="004417FC" w:rsidRDefault="004417FC" w:rsidP="00DE548B">
      <w:pPr>
        <w:pStyle w:val="EndofDocumentAR"/>
        <w:rPr>
          <w:rFonts w:eastAsia="Arial"/>
          <w:rtl/>
          <w:lang w:val="ar-SA"/>
        </w:rPr>
      </w:pPr>
      <w:r w:rsidRPr="00543BFA">
        <w:rPr>
          <w:rFonts w:eastAsia="Arial"/>
          <w:rtl/>
          <w:lang w:val="ar-SA"/>
        </w:rPr>
        <w:t xml:space="preserve">[يلي ذلك </w:t>
      </w:r>
      <w:r>
        <w:rPr>
          <w:rFonts w:eastAsia="Arial" w:hint="cs"/>
          <w:rtl/>
          <w:lang w:val="ar-SA"/>
        </w:rPr>
        <w:t>المرفق الثاني</w:t>
      </w:r>
      <w:r w:rsidRPr="00543BFA">
        <w:rPr>
          <w:rFonts w:eastAsia="Arial"/>
          <w:rtl/>
          <w:lang w:val="ar-SA"/>
        </w:rPr>
        <w:t>]</w:t>
      </w:r>
    </w:p>
    <w:p w:rsidR="004417FC" w:rsidRDefault="004417FC" w:rsidP="004417FC">
      <w:pPr>
        <w:tabs>
          <w:tab w:val="left" w:pos="2400"/>
        </w:tabs>
        <w:rPr>
          <w:rtl/>
        </w:rPr>
      </w:pPr>
    </w:p>
    <w:p w:rsidR="004417FC" w:rsidRDefault="004417FC" w:rsidP="004417FC">
      <w:pPr>
        <w:rPr>
          <w:rtl/>
        </w:rPr>
      </w:pPr>
    </w:p>
    <w:p w:rsidR="004417FC" w:rsidRPr="004417FC" w:rsidRDefault="004417FC" w:rsidP="004417FC">
      <w:pPr>
        <w:rPr>
          <w:rtl/>
        </w:rPr>
        <w:sectPr w:rsidR="004417FC" w:rsidRPr="004417FC" w:rsidSect="004417FC">
          <w:headerReference w:type="first" r:id="rId12"/>
          <w:pgSz w:w="11907" w:h="16840" w:code="9"/>
          <w:pgMar w:top="567" w:right="1418" w:bottom="1418" w:left="1134" w:header="510" w:footer="1021" w:gutter="0"/>
          <w:cols w:space="720"/>
          <w:titlePg/>
          <w:docGrid w:linePitch="299"/>
        </w:sectPr>
      </w:pPr>
    </w:p>
    <w:p w:rsidR="00E94E80" w:rsidRDefault="00E94E80" w:rsidP="004E6E6A">
      <w:pPr>
        <w:bidi/>
        <w:jc w:val="center"/>
        <w:rPr>
          <w:rFonts w:ascii="Arabic Typesetting" w:hAnsi="Arabic Typesetting" w:cs="Arabic Typesetting"/>
          <w:sz w:val="36"/>
          <w:szCs w:val="36"/>
        </w:rPr>
      </w:pPr>
    </w:p>
    <w:p w:rsidR="00E94E80" w:rsidRDefault="00E94E80" w:rsidP="00E94E80">
      <w:pPr>
        <w:bidi/>
        <w:jc w:val="center"/>
        <w:rPr>
          <w:rFonts w:ascii="Arabic Typesetting" w:hAnsi="Arabic Typesetting" w:cs="Arabic Typesetting"/>
          <w:sz w:val="36"/>
          <w:szCs w:val="36"/>
        </w:rPr>
      </w:pPr>
    </w:p>
    <w:p w:rsidR="004417FC" w:rsidRDefault="00306181" w:rsidP="00E94E80">
      <w:pPr>
        <w:bidi/>
        <w:jc w:val="center"/>
        <w:rPr>
          <w:rFonts w:ascii="Arabic Typesetting" w:hAnsi="Arabic Typesetting" w:cs="Arabic Typesetting"/>
          <w:sz w:val="36"/>
          <w:szCs w:val="36"/>
          <w:rtl/>
        </w:rPr>
      </w:pPr>
      <w:r w:rsidRPr="00306181">
        <w:rPr>
          <w:szCs w:val="22"/>
          <w:rtl/>
        </w:rPr>
        <w:drawing>
          <wp:inline distT="0" distB="0" distL="0" distR="0" wp14:anchorId="5FED05F6" wp14:editId="230A8FC7">
            <wp:extent cx="5940000" cy="3726000"/>
            <wp:effectExtent l="2222" t="0"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940000" cy="3726000"/>
                    </a:xfrm>
                    <a:prstGeom prst="rect">
                      <a:avLst/>
                    </a:prstGeom>
                    <a:noFill/>
                    <a:ln>
                      <a:noFill/>
                    </a:ln>
                  </pic:spPr>
                </pic:pic>
              </a:graphicData>
            </a:graphic>
          </wp:inline>
        </w:drawing>
      </w:r>
    </w:p>
    <w:p w:rsidR="00E94E80" w:rsidRDefault="00E94E80" w:rsidP="007A252D">
      <w:pPr>
        <w:pStyle w:val="EndofDocumentAR"/>
        <w:rPr>
          <w:rFonts w:eastAsia="Arial"/>
        </w:rPr>
      </w:pPr>
    </w:p>
    <w:p w:rsidR="00E94E80" w:rsidRDefault="00E94E80" w:rsidP="007A252D">
      <w:pPr>
        <w:pStyle w:val="EndofDocumentAR"/>
        <w:rPr>
          <w:rFonts w:eastAsia="Arial"/>
        </w:rPr>
      </w:pPr>
    </w:p>
    <w:p w:rsidR="004417FC" w:rsidRDefault="007A252D" w:rsidP="007A252D">
      <w:pPr>
        <w:pStyle w:val="EndofDocumentAR"/>
        <w:rPr>
          <w:rFonts w:eastAsia="Arial"/>
        </w:rPr>
      </w:pPr>
      <w:r w:rsidRPr="00543BFA">
        <w:rPr>
          <w:rFonts w:eastAsia="Arial"/>
          <w:rtl/>
          <w:lang w:val="ar-SA"/>
        </w:rPr>
        <w:t xml:space="preserve">[يلي ذلك </w:t>
      </w:r>
      <w:r>
        <w:rPr>
          <w:rFonts w:eastAsia="Arial" w:hint="cs"/>
          <w:rtl/>
          <w:lang w:val="ar-SA"/>
        </w:rPr>
        <w:t>المرفق الثالث</w:t>
      </w:r>
      <w:r w:rsidRPr="00543BFA">
        <w:rPr>
          <w:rFonts w:eastAsia="Arial"/>
          <w:rtl/>
          <w:lang w:val="ar-SA"/>
        </w:rPr>
        <w:t>]</w:t>
      </w:r>
    </w:p>
    <w:p w:rsidR="006F474E" w:rsidRPr="006F474E" w:rsidRDefault="006F474E" w:rsidP="006F474E">
      <w:pPr>
        <w:pStyle w:val="NormalParaAR"/>
        <w:rPr>
          <w:rtl/>
        </w:rPr>
      </w:pPr>
    </w:p>
    <w:p w:rsidR="006F474E" w:rsidRDefault="006F474E" w:rsidP="004417FC">
      <w:pPr>
        <w:pStyle w:val="EndofDocumentAR"/>
        <w:spacing w:line="240" w:lineRule="auto"/>
        <w:ind w:left="-29"/>
        <w:jc w:val="center"/>
        <w:rPr>
          <w:rFonts w:eastAsia="Arial"/>
          <w:rtl/>
          <w:lang w:val="ar-SA"/>
        </w:rPr>
        <w:sectPr w:rsidR="006F474E" w:rsidSect="00DE548B">
          <w:headerReference w:type="default" r:id="rId14"/>
          <w:headerReference w:type="first" r:id="rId15"/>
          <w:pgSz w:w="11907" w:h="16840" w:code="9"/>
          <w:pgMar w:top="567" w:right="1418" w:bottom="1418" w:left="1134" w:header="510" w:footer="1021" w:gutter="0"/>
          <w:cols w:space="720"/>
          <w:titlePg/>
          <w:docGrid w:linePitch="299"/>
        </w:sectPr>
      </w:pPr>
    </w:p>
    <w:p w:rsidR="00306181" w:rsidRDefault="00306181" w:rsidP="00306181">
      <w:pPr>
        <w:pStyle w:val="NormalParaAR"/>
        <w:spacing w:line="240" w:lineRule="auto"/>
        <w:jc w:val="center"/>
        <w:rPr>
          <w:rFonts w:eastAsia="Arial"/>
        </w:rPr>
      </w:pPr>
      <w:r w:rsidRPr="00306181">
        <w:rPr>
          <w:rFonts w:eastAsia="Arial"/>
          <w:rtl/>
        </w:rPr>
        <w:lastRenderedPageBreak/>
        <w:drawing>
          <wp:inline distT="0" distB="0" distL="0" distR="0" wp14:anchorId="306D2807" wp14:editId="66A56996">
            <wp:extent cx="7388887" cy="434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376471" cy="433380"/>
                    </a:xfrm>
                    <a:prstGeom prst="rect">
                      <a:avLst/>
                    </a:prstGeom>
                    <a:noFill/>
                    <a:ln>
                      <a:noFill/>
                    </a:ln>
                  </pic:spPr>
                </pic:pic>
              </a:graphicData>
            </a:graphic>
          </wp:inline>
        </w:drawing>
      </w:r>
      <w:r w:rsidR="00E94E80" w:rsidRPr="00E94E80">
        <w:rPr>
          <w:rFonts w:eastAsia="Arial"/>
        </w:rPr>
        <w:t xml:space="preserve"> </w:t>
      </w:r>
      <w:r w:rsidR="00E94E80" w:rsidRPr="00E94E80">
        <w:rPr>
          <w:rFonts w:eastAsia="Arial"/>
          <w:rtl/>
        </w:rPr>
        <w:drawing>
          <wp:inline distT="0" distB="0" distL="0" distR="0" wp14:anchorId="40B29B42" wp14:editId="1EFAF9A3">
            <wp:extent cx="7387179" cy="4606914"/>
            <wp:effectExtent l="0" t="317" r="4127" b="412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398877" cy="4614209"/>
                    </a:xfrm>
                    <a:prstGeom prst="rect">
                      <a:avLst/>
                    </a:prstGeom>
                    <a:noFill/>
                    <a:ln>
                      <a:noFill/>
                    </a:ln>
                  </pic:spPr>
                </pic:pic>
              </a:graphicData>
            </a:graphic>
          </wp:inline>
        </w:drawing>
      </w:r>
    </w:p>
    <w:p w:rsidR="007A252D" w:rsidRPr="007A252D" w:rsidRDefault="007A252D" w:rsidP="006F474E">
      <w:pPr>
        <w:pStyle w:val="EndofDocumentAR"/>
        <w:rPr>
          <w:rFonts w:eastAsia="Arial"/>
          <w:rtl/>
          <w:lang w:val="ar-SA"/>
        </w:rPr>
      </w:pPr>
      <w:r w:rsidRPr="00543BFA">
        <w:rPr>
          <w:rFonts w:eastAsia="Arial"/>
          <w:rtl/>
          <w:lang w:val="ar-SA"/>
        </w:rPr>
        <w:t xml:space="preserve">[يلي ذلك </w:t>
      </w:r>
      <w:r>
        <w:rPr>
          <w:rFonts w:eastAsia="Arial" w:hint="cs"/>
          <w:rtl/>
          <w:lang w:val="ar-SA"/>
        </w:rPr>
        <w:t>المرفق الرابع</w:t>
      </w:r>
      <w:r w:rsidRPr="00543BFA">
        <w:rPr>
          <w:rFonts w:eastAsia="Arial"/>
          <w:rtl/>
          <w:lang w:val="ar-SA"/>
        </w:rPr>
        <w:t>]</w:t>
      </w:r>
    </w:p>
    <w:p w:rsidR="004417FC" w:rsidRDefault="004417FC" w:rsidP="007A252D">
      <w:pPr>
        <w:pStyle w:val="EndofDocumentAR"/>
        <w:spacing w:line="240" w:lineRule="auto"/>
        <w:ind w:left="-29"/>
        <w:jc w:val="center"/>
        <w:rPr>
          <w:rtl/>
        </w:rPr>
        <w:sectPr w:rsidR="004417FC" w:rsidSect="00DE548B">
          <w:headerReference w:type="first" r:id="rId18"/>
          <w:pgSz w:w="11907" w:h="16840" w:code="9"/>
          <w:pgMar w:top="567" w:right="1418" w:bottom="1418" w:left="1134" w:header="510" w:footer="1021" w:gutter="0"/>
          <w:cols w:space="720"/>
          <w:titlePg/>
          <w:docGrid w:linePitch="299"/>
        </w:sectPr>
      </w:pPr>
    </w:p>
    <w:p w:rsidR="00D01605" w:rsidRDefault="00D01605" w:rsidP="00D01605">
      <w:pPr>
        <w:pStyle w:val="NormalParaAR"/>
        <w:spacing w:after="0" w:line="240" w:lineRule="auto"/>
        <w:jc w:val="center"/>
        <w:rPr>
          <w:sz w:val="40"/>
          <w:szCs w:val="40"/>
          <w:rtl/>
        </w:rPr>
      </w:pPr>
    </w:p>
    <w:p w:rsidR="00D01605" w:rsidRDefault="00306181" w:rsidP="00D01605">
      <w:pPr>
        <w:pStyle w:val="NormalParaAR"/>
        <w:spacing w:after="0" w:line="240" w:lineRule="auto"/>
        <w:jc w:val="center"/>
        <w:rPr>
          <w:sz w:val="40"/>
          <w:szCs w:val="40"/>
          <w:rtl/>
        </w:rPr>
      </w:pPr>
      <w:r w:rsidRPr="00306181">
        <w:rPr>
          <w:rtl/>
        </w:rPr>
        <w:drawing>
          <wp:inline distT="0" distB="0" distL="0" distR="0" wp14:anchorId="5B002DAB" wp14:editId="30E4EFF5">
            <wp:extent cx="7474120" cy="59993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478714" cy="600304"/>
                    </a:xfrm>
                    <a:prstGeom prst="rect">
                      <a:avLst/>
                    </a:prstGeom>
                    <a:noFill/>
                    <a:ln>
                      <a:noFill/>
                    </a:ln>
                  </pic:spPr>
                </pic:pic>
              </a:graphicData>
            </a:graphic>
          </wp:inline>
        </w:drawing>
      </w:r>
      <w:r w:rsidRPr="00306181">
        <w:rPr>
          <w:rtl/>
        </w:rPr>
        <w:drawing>
          <wp:inline distT="0" distB="0" distL="0" distR="0" wp14:anchorId="5381CED3" wp14:editId="35E864E5">
            <wp:extent cx="7478180" cy="4677262"/>
            <wp:effectExtent l="0" t="920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484242" cy="4681053"/>
                    </a:xfrm>
                    <a:prstGeom prst="rect">
                      <a:avLst/>
                    </a:prstGeom>
                    <a:noFill/>
                    <a:ln>
                      <a:noFill/>
                    </a:ln>
                  </pic:spPr>
                </pic:pic>
              </a:graphicData>
            </a:graphic>
          </wp:inline>
        </w:drawing>
      </w:r>
    </w:p>
    <w:p w:rsidR="00D01605" w:rsidRPr="00D01605" w:rsidRDefault="00D01605" w:rsidP="00D01605">
      <w:pPr>
        <w:pStyle w:val="NormalParaAR"/>
        <w:spacing w:after="0" w:line="240" w:lineRule="auto"/>
        <w:jc w:val="center"/>
        <w:rPr>
          <w:sz w:val="40"/>
          <w:szCs w:val="40"/>
          <w:rtl/>
        </w:rPr>
      </w:pPr>
    </w:p>
    <w:p w:rsidR="009F2342" w:rsidRDefault="007A252D" w:rsidP="009F2342">
      <w:pPr>
        <w:pStyle w:val="EndofDocumentAR"/>
        <w:spacing w:after="0"/>
        <w:rPr>
          <w:rFonts w:eastAsia="Arial"/>
          <w:rtl/>
          <w:lang w:val="ar-SA"/>
        </w:rPr>
        <w:sectPr w:rsidR="009F2342" w:rsidSect="00644C86">
          <w:headerReference w:type="default" r:id="rId21"/>
          <w:headerReference w:type="first" r:id="rId22"/>
          <w:pgSz w:w="11907" w:h="16840" w:code="9"/>
          <w:pgMar w:top="567" w:right="1418" w:bottom="907" w:left="1134" w:header="510" w:footer="1021" w:gutter="0"/>
          <w:cols w:space="720"/>
          <w:titlePg/>
          <w:docGrid w:linePitch="299"/>
        </w:sectPr>
      </w:pPr>
      <w:r w:rsidRPr="00543BFA">
        <w:rPr>
          <w:rFonts w:eastAsia="Arial"/>
          <w:rtl/>
          <w:lang w:val="ar-SA"/>
        </w:rPr>
        <w:t xml:space="preserve">[يلي ذلك </w:t>
      </w:r>
      <w:r>
        <w:rPr>
          <w:rFonts w:eastAsia="Arial" w:hint="cs"/>
          <w:rtl/>
          <w:lang w:val="ar-SA"/>
        </w:rPr>
        <w:t>المرفق الخامس</w:t>
      </w:r>
      <w:r w:rsidRPr="00543BFA">
        <w:rPr>
          <w:rFonts w:eastAsia="Arial"/>
          <w:rtl/>
          <w:lang w:val="ar-SA"/>
        </w:rPr>
        <w:t>]</w:t>
      </w:r>
    </w:p>
    <w:p w:rsidR="007A252D" w:rsidRDefault="00B86512" w:rsidP="00C84D1F">
      <w:pPr>
        <w:pStyle w:val="NormalParaAR"/>
        <w:spacing w:line="240" w:lineRule="auto"/>
        <w:jc w:val="center"/>
        <w:rPr>
          <w:rFonts w:eastAsia="Arial"/>
        </w:rPr>
      </w:pPr>
      <w:r w:rsidRPr="00B86512">
        <w:rPr>
          <w:rFonts w:eastAsia="Arial"/>
          <w:rtl/>
        </w:rPr>
        <w:lastRenderedPageBreak/>
        <w:drawing>
          <wp:inline distT="0" distB="0" distL="0" distR="0" wp14:anchorId="325EB96B" wp14:editId="76FBFCE2">
            <wp:extent cx="7579080" cy="5213488"/>
            <wp:effectExtent l="0" t="0" r="4762" b="476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588959" cy="5220284"/>
                    </a:xfrm>
                    <a:prstGeom prst="rect">
                      <a:avLst/>
                    </a:prstGeom>
                    <a:noFill/>
                    <a:ln>
                      <a:noFill/>
                    </a:ln>
                  </pic:spPr>
                </pic:pic>
              </a:graphicData>
            </a:graphic>
          </wp:inline>
        </w:drawing>
      </w:r>
    </w:p>
    <w:p w:rsidR="009F2342" w:rsidRPr="009F2342" w:rsidRDefault="009F2342" w:rsidP="009F2342">
      <w:pPr>
        <w:pStyle w:val="NormalParaAR"/>
        <w:rPr>
          <w:rtl/>
        </w:rPr>
      </w:pPr>
    </w:p>
    <w:p w:rsidR="00FC7671" w:rsidRPr="007A252D" w:rsidRDefault="009F2342" w:rsidP="009F2342">
      <w:pPr>
        <w:pStyle w:val="EndofDocumentAR"/>
        <w:rPr>
          <w:rtl/>
        </w:rPr>
      </w:pPr>
      <w:r>
        <w:rPr>
          <w:rFonts w:hint="cs"/>
          <w:rtl/>
        </w:rPr>
        <w:t>[</w:t>
      </w:r>
      <w:r w:rsidR="007A252D" w:rsidRPr="007A252D">
        <w:rPr>
          <w:rtl/>
        </w:rPr>
        <w:t>نهاية المرفق</w:t>
      </w:r>
      <w:r w:rsidR="007A252D">
        <w:rPr>
          <w:rFonts w:hint="cs"/>
          <w:rtl/>
        </w:rPr>
        <w:t xml:space="preserve"> الخامس</w:t>
      </w:r>
      <w:r w:rsidR="007A252D" w:rsidRPr="007A252D">
        <w:rPr>
          <w:rtl/>
        </w:rPr>
        <w:t xml:space="preserve"> والوثيقة</w:t>
      </w:r>
      <w:r>
        <w:rPr>
          <w:rFonts w:hint="cs"/>
          <w:rtl/>
        </w:rPr>
        <w:t>]</w:t>
      </w:r>
    </w:p>
    <w:sectPr w:rsidR="00FC7671" w:rsidRPr="007A252D" w:rsidSect="00FC7671">
      <w:headerReference w:type="first" r:id="rId24"/>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D5B" w:rsidRDefault="00652D5B">
      <w:r>
        <w:separator/>
      </w:r>
    </w:p>
  </w:endnote>
  <w:endnote w:type="continuationSeparator" w:id="0">
    <w:p w:rsidR="00652D5B" w:rsidRDefault="00652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D5B" w:rsidRDefault="00652D5B" w:rsidP="009622BF">
      <w:pPr>
        <w:bidi/>
      </w:pPr>
      <w:bookmarkStart w:id="0" w:name="OLE_LINK1"/>
      <w:bookmarkStart w:id="1" w:name="OLE_LINK2"/>
      <w:r>
        <w:separator/>
      </w:r>
      <w:bookmarkEnd w:id="0"/>
      <w:bookmarkEnd w:id="1"/>
    </w:p>
  </w:footnote>
  <w:footnote w:type="continuationSeparator" w:id="0">
    <w:p w:rsidR="00652D5B" w:rsidRDefault="00652D5B" w:rsidP="009622BF">
      <w:pPr>
        <w:bidi/>
      </w:pPr>
      <w:r>
        <w:separator/>
      </w:r>
    </w:p>
  </w:footnote>
  <w:footnote w:id="1">
    <w:p w:rsidR="00F62742" w:rsidRDefault="00F62742" w:rsidP="00F62742">
      <w:pPr>
        <w:pStyle w:val="FootnoteText"/>
        <w:rPr>
          <w:lang w:bidi="ar-EG"/>
        </w:rPr>
      </w:pPr>
      <w:r>
        <w:rPr>
          <w:rStyle w:val="FootnoteReference"/>
        </w:rPr>
        <w:footnoteRef/>
      </w:r>
      <w:r>
        <w:rPr>
          <w:rtl/>
        </w:rPr>
        <w:t xml:space="preserve"> </w:t>
      </w:r>
      <w:r>
        <w:rPr>
          <w:rFonts w:hint="cs"/>
          <w:rtl/>
          <w:lang w:bidi="ar-EG"/>
        </w:rPr>
        <w:t>بسبب بعض المشكلات التقنية فيما يخص العلاقة بين قاعدة بيانات السلع والخدمات وبيئة الفحص التشغيلي، قد تظهر اختلافات في حالات استث</w:t>
      </w:r>
      <w:r w:rsidR="001F2514">
        <w:rPr>
          <w:rFonts w:hint="cs"/>
          <w:rtl/>
          <w:lang w:bidi="ar-EG"/>
        </w:rPr>
        <w:t>نائية. ويتخذ المكتب الدولي حالي</w:t>
      </w:r>
      <w:r>
        <w:rPr>
          <w:rFonts w:hint="cs"/>
          <w:rtl/>
          <w:lang w:bidi="ar-EG"/>
        </w:rPr>
        <w:t>ا إجراءات لحل هذه المشكلات.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99" w:rsidRDefault="00F62742" w:rsidP="00E94EBB">
    <w:r>
      <w:rPr>
        <w:lang w:val="fr-FR"/>
      </w:rPr>
      <w:t>MM/A/50/1</w:t>
    </w:r>
  </w:p>
  <w:p w:rsidR="009A4F99" w:rsidRDefault="009A4F99" w:rsidP="009A4F99">
    <w:r>
      <w:fldChar w:fldCharType="begin"/>
    </w:r>
    <w:r>
      <w:instrText xml:space="preserve"> PAGE  \* MERGEFORMAT </w:instrText>
    </w:r>
    <w:r>
      <w:fldChar w:fldCharType="separate"/>
    </w:r>
    <w:r w:rsidR="003D2E84">
      <w:rPr>
        <w:noProof/>
      </w:rPr>
      <w:t>6</w:t>
    </w:r>
    <w:r>
      <w:fldChar w:fldCharType="end"/>
    </w:r>
  </w:p>
  <w:p w:rsidR="0029014C" w:rsidRPr="009A4F99" w:rsidRDefault="0029014C" w:rsidP="009A4F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E8" w:rsidRDefault="006167E8" w:rsidP="006167E8">
    <w:pPr>
      <w:pStyle w:val="Header"/>
    </w:pPr>
    <w:r>
      <w:t>MM/A/50/1</w:t>
    </w:r>
  </w:p>
  <w:p w:rsidR="00241CA4" w:rsidRDefault="006167E8" w:rsidP="006167E8">
    <w:pPr>
      <w:pStyle w:val="Header"/>
    </w:pPr>
    <w:r>
      <w:t>ANNEX I</w:t>
    </w:r>
  </w:p>
  <w:p w:rsidR="00241CA4" w:rsidRPr="00A65C37" w:rsidRDefault="00241CA4" w:rsidP="00241CA4">
    <w:pPr>
      <w:pStyle w:val="Header"/>
      <w:rPr>
        <w:rFonts w:ascii="Arabic Typesetting" w:hAnsi="Arabic Typesetting" w:cs="Arabic Typesetting"/>
        <w:sz w:val="36"/>
        <w:szCs w:val="36"/>
      </w:rPr>
    </w:pPr>
    <w:r w:rsidRPr="00A65C37">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الأول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CA4" w:rsidRDefault="00241CA4" w:rsidP="0029014C">
    <w:pPr>
      <w:pStyle w:val="Header"/>
    </w:pPr>
    <w:r>
      <w:t>MM/A/48/2</w:t>
    </w:r>
  </w:p>
  <w:p w:rsidR="00241CA4" w:rsidRDefault="00241CA4" w:rsidP="00241CA4">
    <w:pPr>
      <w:pStyle w:val="Header"/>
    </w:pPr>
    <w:r>
      <w:t>ANNEX III</w:t>
    </w:r>
  </w:p>
  <w:p w:rsidR="00241CA4" w:rsidRDefault="00241CA4" w:rsidP="00241CA4">
    <w:pPr>
      <w:pStyle w:val="Header"/>
    </w:pPr>
    <w:r w:rsidRPr="00A65C37">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الثالث</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CA4" w:rsidRDefault="00912457" w:rsidP="008173C1">
    <w:pPr>
      <w:pStyle w:val="Header"/>
    </w:pPr>
    <w:r>
      <w:t>MM/A/50/1</w:t>
    </w:r>
  </w:p>
  <w:p w:rsidR="00241CA4" w:rsidRDefault="00241CA4" w:rsidP="00241CA4">
    <w:pPr>
      <w:pStyle w:val="Header"/>
    </w:pPr>
    <w:r>
      <w:t>ANNEX II</w:t>
    </w:r>
  </w:p>
  <w:p w:rsidR="00241CA4" w:rsidRPr="00A65C37" w:rsidRDefault="00241CA4" w:rsidP="00241CA4">
    <w:pPr>
      <w:pStyle w:val="Header"/>
      <w:rPr>
        <w:rFonts w:ascii="Arabic Typesetting" w:hAnsi="Arabic Typesetting" w:cs="Arabic Typesetting"/>
        <w:sz w:val="36"/>
        <w:szCs w:val="36"/>
      </w:rPr>
    </w:pPr>
    <w:r w:rsidRPr="00A65C37">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الثاني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74E" w:rsidRDefault="00912457" w:rsidP="008173C1">
    <w:pPr>
      <w:pStyle w:val="Header"/>
    </w:pPr>
    <w:r>
      <w:t>MM/A/50/1</w:t>
    </w:r>
  </w:p>
  <w:p w:rsidR="006F474E" w:rsidRDefault="006F474E" w:rsidP="00241CA4">
    <w:pPr>
      <w:pStyle w:val="Header"/>
    </w:pPr>
    <w:r>
      <w:t>ANNEX III</w:t>
    </w:r>
  </w:p>
  <w:p w:rsidR="006F474E" w:rsidRPr="00A65C37" w:rsidRDefault="006F474E" w:rsidP="006F474E">
    <w:pPr>
      <w:pStyle w:val="Header"/>
      <w:rPr>
        <w:rFonts w:ascii="Arabic Typesetting" w:hAnsi="Arabic Typesetting" w:cs="Arabic Typesetting"/>
        <w:sz w:val="36"/>
        <w:szCs w:val="36"/>
      </w:rPr>
    </w:pPr>
    <w:r w:rsidRPr="00A65C37">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الثالث</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CA4" w:rsidRDefault="00241CA4" w:rsidP="008173C1">
    <w:pPr>
      <w:pStyle w:val="Header"/>
    </w:pPr>
    <w:r>
      <w:t>MM/A/</w:t>
    </w:r>
    <w:r w:rsidR="008173C1">
      <w:t>49</w:t>
    </w:r>
    <w:r>
      <w:t>/2</w:t>
    </w:r>
  </w:p>
  <w:p w:rsidR="00241CA4" w:rsidRDefault="00241CA4" w:rsidP="00241CA4">
    <w:pPr>
      <w:pStyle w:val="Header"/>
    </w:pPr>
    <w:r>
      <w:t>ANNEX V</w:t>
    </w:r>
  </w:p>
  <w:p w:rsidR="00241CA4" w:rsidRDefault="00241CA4" w:rsidP="00241CA4">
    <w:pPr>
      <w:pStyle w:val="Header"/>
    </w:pPr>
    <w:r w:rsidRPr="00A65C37">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الخامس</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CA4" w:rsidRDefault="00912457" w:rsidP="008173C1">
    <w:pPr>
      <w:pStyle w:val="Header"/>
    </w:pPr>
    <w:r>
      <w:t>MM/A/50/1</w:t>
    </w:r>
  </w:p>
  <w:p w:rsidR="00241CA4" w:rsidRDefault="00241CA4" w:rsidP="00241CA4">
    <w:pPr>
      <w:pStyle w:val="Header"/>
    </w:pPr>
    <w:r>
      <w:t>ANNEX IV</w:t>
    </w:r>
  </w:p>
  <w:p w:rsidR="00241CA4" w:rsidRPr="00A65C37" w:rsidRDefault="00241CA4" w:rsidP="00241CA4">
    <w:pPr>
      <w:pStyle w:val="Header"/>
      <w:rPr>
        <w:rFonts w:ascii="Arabic Typesetting" w:hAnsi="Arabic Typesetting" w:cs="Arabic Typesetting"/>
        <w:sz w:val="36"/>
        <w:szCs w:val="36"/>
      </w:rPr>
    </w:pPr>
    <w:r w:rsidRPr="00A65C37">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الرابع</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342" w:rsidRDefault="00912457" w:rsidP="008173C1">
    <w:pPr>
      <w:pStyle w:val="Header"/>
    </w:pPr>
    <w:r>
      <w:t>MM/A/50/1</w:t>
    </w:r>
  </w:p>
  <w:p w:rsidR="009F2342" w:rsidRDefault="009F2342" w:rsidP="009F2342">
    <w:pPr>
      <w:pStyle w:val="Header"/>
    </w:pPr>
    <w:r>
      <w:t>ANNEX V</w:t>
    </w:r>
  </w:p>
  <w:p w:rsidR="009F2342" w:rsidRPr="00A65C37" w:rsidRDefault="009F2342" w:rsidP="009F2342">
    <w:pPr>
      <w:pStyle w:val="Header"/>
      <w:rPr>
        <w:rFonts w:ascii="Arabic Typesetting" w:hAnsi="Arabic Typesetting" w:cs="Arabic Typesetting"/>
        <w:sz w:val="36"/>
        <w:szCs w:val="36"/>
      </w:rPr>
    </w:pPr>
    <w:r w:rsidRPr="00A65C37">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الخامس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177D5000"/>
    <w:multiLevelType w:val="singleLevel"/>
    <w:tmpl w:val="0409000F"/>
    <w:lvl w:ilvl="0">
      <w:start w:val="1"/>
      <w:numFmt w:val="decimal"/>
      <w:lvlText w:val="%1."/>
      <w:lvlJc w:val="left"/>
      <w:pPr>
        <w:tabs>
          <w:tab w:val="num" w:pos="360"/>
        </w:tabs>
        <w:ind w:left="360" w:hanging="360"/>
      </w:pPr>
    </w:lvl>
  </w:abstractNum>
  <w:abstractNum w:abstractNumId="12">
    <w:nsid w:val="25E87973"/>
    <w:multiLevelType w:val="hybridMultilevel"/>
    <w:tmpl w:val="9ECEC926"/>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AD015C"/>
    <w:multiLevelType w:val="hybridMultilevel"/>
    <w:tmpl w:val="2C481698"/>
    <w:lvl w:ilvl="0" w:tplc="4740B2B4">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F7D1C"/>
    <w:multiLevelType w:val="hybridMultilevel"/>
    <w:tmpl w:val="D638E3DE"/>
    <w:lvl w:ilvl="0" w:tplc="A68835C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3F1D0E6F"/>
    <w:multiLevelType w:val="hybridMultilevel"/>
    <w:tmpl w:val="087A6B3E"/>
    <w:lvl w:ilvl="0" w:tplc="9A4A9434">
      <w:start w:val="1"/>
      <w:numFmt w:val="decimal"/>
      <w:lvlText w:val="(%1)"/>
      <w:lvlJc w:val="left"/>
      <w:pPr>
        <w:ind w:left="5894" w:hanging="360"/>
      </w:pPr>
      <w:rPr>
        <w:rFonts w:hint="default"/>
      </w:rPr>
    </w:lvl>
    <w:lvl w:ilvl="1" w:tplc="04090019" w:tentative="1">
      <w:start w:val="1"/>
      <w:numFmt w:val="lowerLetter"/>
      <w:lvlText w:val="%2."/>
      <w:lvlJc w:val="left"/>
      <w:pPr>
        <w:ind w:left="6614" w:hanging="360"/>
      </w:pPr>
    </w:lvl>
    <w:lvl w:ilvl="2" w:tplc="0409001B" w:tentative="1">
      <w:start w:val="1"/>
      <w:numFmt w:val="lowerRoman"/>
      <w:lvlText w:val="%3."/>
      <w:lvlJc w:val="right"/>
      <w:pPr>
        <w:ind w:left="7334" w:hanging="180"/>
      </w:pPr>
    </w:lvl>
    <w:lvl w:ilvl="3" w:tplc="0409000F" w:tentative="1">
      <w:start w:val="1"/>
      <w:numFmt w:val="decimal"/>
      <w:lvlText w:val="%4."/>
      <w:lvlJc w:val="left"/>
      <w:pPr>
        <w:ind w:left="8054" w:hanging="360"/>
      </w:pPr>
    </w:lvl>
    <w:lvl w:ilvl="4" w:tplc="04090019" w:tentative="1">
      <w:start w:val="1"/>
      <w:numFmt w:val="lowerLetter"/>
      <w:lvlText w:val="%5."/>
      <w:lvlJc w:val="left"/>
      <w:pPr>
        <w:ind w:left="8774" w:hanging="360"/>
      </w:pPr>
    </w:lvl>
    <w:lvl w:ilvl="5" w:tplc="0409001B" w:tentative="1">
      <w:start w:val="1"/>
      <w:numFmt w:val="lowerRoman"/>
      <w:lvlText w:val="%6."/>
      <w:lvlJc w:val="right"/>
      <w:pPr>
        <w:ind w:left="9494" w:hanging="180"/>
      </w:pPr>
    </w:lvl>
    <w:lvl w:ilvl="6" w:tplc="0409000F" w:tentative="1">
      <w:start w:val="1"/>
      <w:numFmt w:val="decimal"/>
      <w:lvlText w:val="%7."/>
      <w:lvlJc w:val="left"/>
      <w:pPr>
        <w:ind w:left="10214" w:hanging="360"/>
      </w:pPr>
    </w:lvl>
    <w:lvl w:ilvl="7" w:tplc="04090019" w:tentative="1">
      <w:start w:val="1"/>
      <w:numFmt w:val="lowerLetter"/>
      <w:lvlText w:val="%8."/>
      <w:lvlJc w:val="left"/>
      <w:pPr>
        <w:ind w:left="10934" w:hanging="360"/>
      </w:pPr>
    </w:lvl>
    <w:lvl w:ilvl="8" w:tplc="0409001B" w:tentative="1">
      <w:start w:val="1"/>
      <w:numFmt w:val="lowerRoman"/>
      <w:lvlText w:val="%9."/>
      <w:lvlJc w:val="right"/>
      <w:pPr>
        <w:ind w:left="11654" w:hanging="180"/>
      </w:pPr>
    </w:lvl>
  </w:abstractNum>
  <w:abstractNum w:abstractNumId="1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750E7D0E"/>
    <w:multiLevelType w:val="hybridMultilevel"/>
    <w:tmpl w:val="3AC05476"/>
    <w:lvl w:ilvl="0" w:tplc="E3A6118A">
      <w:start w:val="1"/>
      <w:numFmt w:val="decimal"/>
      <w:lvlText w:val="(%1)"/>
      <w:lvlJc w:val="left"/>
      <w:pPr>
        <w:ind w:left="5894" w:hanging="360"/>
      </w:pPr>
      <w:rPr>
        <w:rFonts w:hint="default"/>
      </w:rPr>
    </w:lvl>
    <w:lvl w:ilvl="1" w:tplc="04090019" w:tentative="1">
      <w:start w:val="1"/>
      <w:numFmt w:val="lowerLetter"/>
      <w:lvlText w:val="%2."/>
      <w:lvlJc w:val="left"/>
      <w:pPr>
        <w:ind w:left="6614" w:hanging="360"/>
      </w:pPr>
    </w:lvl>
    <w:lvl w:ilvl="2" w:tplc="0409001B" w:tentative="1">
      <w:start w:val="1"/>
      <w:numFmt w:val="lowerRoman"/>
      <w:lvlText w:val="%3."/>
      <w:lvlJc w:val="right"/>
      <w:pPr>
        <w:ind w:left="7334" w:hanging="180"/>
      </w:pPr>
    </w:lvl>
    <w:lvl w:ilvl="3" w:tplc="0409000F" w:tentative="1">
      <w:start w:val="1"/>
      <w:numFmt w:val="decimal"/>
      <w:lvlText w:val="%4."/>
      <w:lvlJc w:val="left"/>
      <w:pPr>
        <w:ind w:left="8054" w:hanging="360"/>
      </w:pPr>
    </w:lvl>
    <w:lvl w:ilvl="4" w:tplc="04090019" w:tentative="1">
      <w:start w:val="1"/>
      <w:numFmt w:val="lowerLetter"/>
      <w:lvlText w:val="%5."/>
      <w:lvlJc w:val="left"/>
      <w:pPr>
        <w:ind w:left="8774" w:hanging="360"/>
      </w:pPr>
    </w:lvl>
    <w:lvl w:ilvl="5" w:tplc="0409001B" w:tentative="1">
      <w:start w:val="1"/>
      <w:numFmt w:val="lowerRoman"/>
      <w:lvlText w:val="%6."/>
      <w:lvlJc w:val="right"/>
      <w:pPr>
        <w:ind w:left="9494" w:hanging="180"/>
      </w:pPr>
    </w:lvl>
    <w:lvl w:ilvl="6" w:tplc="0409000F" w:tentative="1">
      <w:start w:val="1"/>
      <w:numFmt w:val="decimal"/>
      <w:lvlText w:val="%7."/>
      <w:lvlJc w:val="left"/>
      <w:pPr>
        <w:ind w:left="10214" w:hanging="360"/>
      </w:pPr>
    </w:lvl>
    <w:lvl w:ilvl="7" w:tplc="04090019" w:tentative="1">
      <w:start w:val="1"/>
      <w:numFmt w:val="lowerLetter"/>
      <w:lvlText w:val="%8."/>
      <w:lvlJc w:val="left"/>
      <w:pPr>
        <w:ind w:left="10934" w:hanging="360"/>
      </w:pPr>
    </w:lvl>
    <w:lvl w:ilvl="8" w:tplc="0409001B" w:tentative="1">
      <w:start w:val="1"/>
      <w:numFmt w:val="lowerRoman"/>
      <w:lvlText w:val="%9."/>
      <w:lvlJc w:val="right"/>
      <w:pPr>
        <w:ind w:left="11654" w:hanging="180"/>
      </w:pPr>
    </w:lvl>
  </w:abstractNum>
  <w:abstractNum w:abstractNumId="2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7"/>
  </w:num>
  <w:num w:numId="3">
    <w:abstractNumId w:val="10"/>
  </w:num>
  <w:num w:numId="4">
    <w:abstractNumId w:val="20"/>
  </w:num>
  <w:num w:numId="5">
    <w:abstractNumId w:val="8"/>
  </w:num>
  <w:num w:numId="6">
    <w:abstractNumId w:val="22"/>
  </w:num>
  <w:num w:numId="7">
    <w:abstractNumId w:val="13"/>
  </w:num>
  <w:num w:numId="8">
    <w:abstractNumId w:val="19"/>
  </w:num>
  <w:num w:numId="9">
    <w:abstractNumId w:val="18"/>
  </w:num>
  <w:num w:numId="10">
    <w:abstractNumId w:val="23"/>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4"/>
  </w:num>
  <w:num w:numId="22">
    <w:abstractNumId w:val="12"/>
    <w:lvlOverride w:ilvl="0">
      <w:startOverride w:val="1"/>
    </w:lvlOverride>
  </w:num>
  <w:num w:numId="23">
    <w:abstractNumId w:val="16"/>
  </w:num>
  <w:num w:numId="24">
    <w:abstractNumId w:val="21"/>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2"/>
  </w:num>
  <w:num w:numId="39">
    <w:abstractNumId w:val="12"/>
  </w:num>
  <w:num w:numId="40">
    <w:abstractNumId w:val="15"/>
  </w:num>
  <w:num w:numId="41">
    <w:abstractNumId w:val="12"/>
  </w:num>
  <w:num w:numId="42">
    <w:abstractNumId w:val="12"/>
  </w:num>
  <w:num w:numId="43">
    <w:abstractNumId w:val="12"/>
  </w:num>
  <w:num w:numId="44">
    <w:abstractNumId w:val="12"/>
  </w:num>
  <w:num w:numId="45">
    <w:abstractNumId w:val="12"/>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F69"/>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846"/>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38DD"/>
    <w:rsid w:val="00044AC0"/>
    <w:rsid w:val="00044F69"/>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4F32"/>
    <w:rsid w:val="00066DC7"/>
    <w:rsid w:val="0006794A"/>
    <w:rsid w:val="00067F31"/>
    <w:rsid w:val="00071138"/>
    <w:rsid w:val="000717BF"/>
    <w:rsid w:val="00073402"/>
    <w:rsid w:val="00075745"/>
    <w:rsid w:val="00075A04"/>
    <w:rsid w:val="00075D39"/>
    <w:rsid w:val="000760C3"/>
    <w:rsid w:val="000763A4"/>
    <w:rsid w:val="00076901"/>
    <w:rsid w:val="00076B5B"/>
    <w:rsid w:val="00081C87"/>
    <w:rsid w:val="0008237C"/>
    <w:rsid w:val="000833C3"/>
    <w:rsid w:val="0008421F"/>
    <w:rsid w:val="0008451C"/>
    <w:rsid w:val="000849FE"/>
    <w:rsid w:val="00085A0B"/>
    <w:rsid w:val="000863B7"/>
    <w:rsid w:val="000865AF"/>
    <w:rsid w:val="00087DB6"/>
    <w:rsid w:val="00090139"/>
    <w:rsid w:val="0009024C"/>
    <w:rsid w:val="00090597"/>
    <w:rsid w:val="00090ADD"/>
    <w:rsid w:val="000913C0"/>
    <w:rsid w:val="00091F52"/>
    <w:rsid w:val="0009230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156"/>
    <w:rsid w:val="000D1A1D"/>
    <w:rsid w:val="000D2366"/>
    <w:rsid w:val="000D5FB7"/>
    <w:rsid w:val="000D7090"/>
    <w:rsid w:val="000D7BA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0DF"/>
    <w:rsid w:val="001007AB"/>
    <w:rsid w:val="00100F97"/>
    <w:rsid w:val="001012E0"/>
    <w:rsid w:val="001016F2"/>
    <w:rsid w:val="001024C1"/>
    <w:rsid w:val="0010385D"/>
    <w:rsid w:val="001042E0"/>
    <w:rsid w:val="001044A0"/>
    <w:rsid w:val="00104C51"/>
    <w:rsid w:val="0010597B"/>
    <w:rsid w:val="00106DB4"/>
    <w:rsid w:val="00110107"/>
    <w:rsid w:val="00110531"/>
    <w:rsid w:val="00110794"/>
    <w:rsid w:val="00112524"/>
    <w:rsid w:val="00113769"/>
    <w:rsid w:val="00114141"/>
    <w:rsid w:val="00114827"/>
    <w:rsid w:val="00115266"/>
    <w:rsid w:val="001154FB"/>
    <w:rsid w:val="00115B51"/>
    <w:rsid w:val="001171EF"/>
    <w:rsid w:val="001173C5"/>
    <w:rsid w:val="001173D2"/>
    <w:rsid w:val="00121092"/>
    <w:rsid w:val="00121AA0"/>
    <w:rsid w:val="00121FE6"/>
    <w:rsid w:val="00122AC9"/>
    <w:rsid w:val="00123F16"/>
    <w:rsid w:val="0012405D"/>
    <w:rsid w:val="001252B1"/>
    <w:rsid w:val="00126897"/>
    <w:rsid w:val="0012696D"/>
    <w:rsid w:val="001304D0"/>
    <w:rsid w:val="00130FC9"/>
    <w:rsid w:val="001310EE"/>
    <w:rsid w:val="0013191A"/>
    <w:rsid w:val="00131BF4"/>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4CC6"/>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33D"/>
    <w:rsid w:val="00177DBF"/>
    <w:rsid w:val="0018131E"/>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0E6"/>
    <w:rsid w:val="001A098F"/>
    <w:rsid w:val="001A10CB"/>
    <w:rsid w:val="001A110B"/>
    <w:rsid w:val="001A149A"/>
    <w:rsid w:val="001A15E7"/>
    <w:rsid w:val="001A2AB7"/>
    <w:rsid w:val="001A4A9C"/>
    <w:rsid w:val="001A6B88"/>
    <w:rsid w:val="001A6C33"/>
    <w:rsid w:val="001A6E68"/>
    <w:rsid w:val="001A743A"/>
    <w:rsid w:val="001B2B3E"/>
    <w:rsid w:val="001B2F16"/>
    <w:rsid w:val="001B3131"/>
    <w:rsid w:val="001B31A7"/>
    <w:rsid w:val="001B4B2F"/>
    <w:rsid w:val="001B655E"/>
    <w:rsid w:val="001B7C00"/>
    <w:rsid w:val="001C09D2"/>
    <w:rsid w:val="001C1620"/>
    <w:rsid w:val="001C18B2"/>
    <w:rsid w:val="001C1994"/>
    <w:rsid w:val="001C2933"/>
    <w:rsid w:val="001C5EEE"/>
    <w:rsid w:val="001C6A73"/>
    <w:rsid w:val="001C73C2"/>
    <w:rsid w:val="001D0474"/>
    <w:rsid w:val="001D141D"/>
    <w:rsid w:val="001D1EBD"/>
    <w:rsid w:val="001D206F"/>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2514"/>
    <w:rsid w:val="001F3A75"/>
    <w:rsid w:val="001F3A9D"/>
    <w:rsid w:val="001F3FDB"/>
    <w:rsid w:val="001F4287"/>
    <w:rsid w:val="001F6545"/>
    <w:rsid w:val="001F66B5"/>
    <w:rsid w:val="001F6F36"/>
    <w:rsid w:val="001F76FD"/>
    <w:rsid w:val="002004C0"/>
    <w:rsid w:val="002011F8"/>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1947"/>
    <w:rsid w:val="00213213"/>
    <w:rsid w:val="0021457F"/>
    <w:rsid w:val="0021505D"/>
    <w:rsid w:val="0021604B"/>
    <w:rsid w:val="00216545"/>
    <w:rsid w:val="002178E7"/>
    <w:rsid w:val="00220227"/>
    <w:rsid w:val="0022176B"/>
    <w:rsid w:val="00222760"/>
    <w:rsid w:val="00222782"/>
    <w:rsid w:val="0022360A"/>
    <w:rsid w:val="002263F1"/>
    <w:rsid w:val="00226B82"/>
    <w:rsid w:val="00227103"/>
    <w:rsid w:val="00230249"/>
    <w:rsid w:val="00230D5F"/>
    <w:rsid w:val="00231BE3"/>
    <w:rsid w:val="00232C51"/>
    <w:rsid w:val="00233414"/>
    <w:rsid w:val="00233D69"/>
    <w:rsid w:val="00234E82"/>
    <w:rsid w:val="00235C9D"/>
    <w:rsid w:val="002412D4"/>
    <w:rsid w:val="00241CA4"/>
    <w:rsid w:val="0024220D"/>
    <w:rsid w:val="00242BD3"/>
    <w:rsid w:val="00242C02"/>
    <w:rsid w:val="00243155"/>
    <w:rsid w:val="00246E87"/>
    <w:rsid w:val="00247783"/>
    <w:rsid w:val="002516C8"/>
    <w:rsid w:val="0025172C"/>
    <w:rsid w:val="00252CF8"/>
    <w:rsid w:val="00252E2E"/>
    <w:rsid w:val="00253210"/>
    <w:rsid w:val="0025353E"/>
    <w:rsid w:val="00253DE1"/>
    <w:rsid w:val="0025425F"/>
    <w:rsid w:val="00254468"/>
    <w:rsid w:val="00254DE4"/>
    <w:rsid w:val="002559DA"/>
    <w:rsid w:val="00256955"/>
    <w:rsid w:val="0026071A"/>
    <w:rsid w:val="00261B27"/>
    <w:rsid w:val="0026213B"/>
    <w:rsid w:val="00262B5A"/>
    <w:rsid w:val="0026520E"/>
    <w:rsid w:val="002654A4"/>
    <w:rsid w:val="002661B3"/>
    <w:rsid w:val="00266486"/>
    <w:rsid w:val="00266B0A"/>
    <w:rsid w:val="00266C61"/>
    <w:rsid w:val="0026749A"/>
    <w:rsid w:val="00270E72"/>
    <w:rsid w:val="0027167E"/>
    <w:rsid w:val="00271DB5"/>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14C"/>
    <w:rsid w:val="002909B9"/>
    <w:rsid w:val="00292CEE"/>
    <w:rsid w:val="00292D22"/>
    <w:rsid w:val="00292E6C"/>
    <w:rsid w:val="0029470D"/>
    <w:rsid w:val="00297B80"/>
    <w:rsid w:val="002A076C"/>
    <w:rsid w:val="002A1059"/>
    <w:rsid w:val="002A3C9D"/>
    <w:rsid w:val="002A5403"/>
    <w:rsid w:val="002A5702"/>
    <w:rsid w:val="002A6C9F"/>
    <w:rsid w:val="002A77F3"/>
    <w:rsid w:val="002B14F0"/>
    <w:rsid w:val="002B1CE7"/>
    <w:rsid w:val="002B1F0F"/>
    <w:rsid w:val="002B312B"/>
    <w:rsid w:val="002B401C"/>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181"/>
    <w:rsid w:val="0030641B"/>
    <w:rsid w:val="003067C8"/>
    <w:rsid w:val="003070C6"/>
    <w:rsid w:val="00311453"/>
    <w:rsid w:val="003114C9"/>
    <w:rsid w:val="0031229D"/>
    <w:rsid w:val="00314E12"/>
    <w:rsid w:val="003155C0"/>
    <w:rsid w:val="003166A5"/>
    <w:rsid w:val="00316C8C"/>
    <w:rsid w:val="003174C2"/>
    <w:rsid w:val="00317CE4"/>
    <w:rsid w:val="00320DF4"/>
    <w:rsid w:val="003219A9"/>
    <w:rsid w:val="00321B00"/>
    <w:rsid w:val="00321C54"/>
    <w:rsid w:val="00321DCD"/>
    <w:rsid w:val="0032261F"/>
    <w:rsid w:val="003237A2"/>
    <w:rsid w:val="00324729"/>
    <w:rsid w:val="00325C8B"/>
    <w:rsid w:val="00325DF0"/>
    <w:rsid w:val="00327011"/>
    <w:rsid w:val="00331B72"/>
    <w:rsid w:val="00334127"/>
    <w:rsid w:val="00334185"/>
    <w:rsid w:val="00335CA6"/>
    <w:rsid w:val="00336150"/>
    <w:rsid w:val="003365F0"/>
    <w:rsid w:val="00336C50"/>
    <w:rsid w:val="00337388"/>
    <w:rsid w:val="0034007D"/>
    <w:rsid w:val="00340634"/>
    <w:rsid w:val="003433E5"/>
    <w:rsid w:val="00344082"/>
    <w:rsid w:val="0034582C"/>
    <w:rsid w:val="00345916"/>
    <w:rsid w:val="00345CAC"/>
    <w:rsid w:val="0034789E"/>
    <w:rsid w:val="00347C7D"/>
    <w:rsid w:val="003501DA"/>
    <w:rsid w:val="003503E2"/>
    <w:rsid w:val="0035082B"/>
    <w:rsid w:val="00351DC1"/>
    <w:rsid w:val="003534EE"/>
    <w:rsid w:val="00355060"/>
    <w:rsid w:val="00356660"/>
    <w:rsid w:val="003600A2"/>
    <w:rsid w:val="003612D8"/>
    <w:rsid w:val="003637B6"/>
    <w:rsid w:val="00363F89"/>
    <w:rsid w:val="00363FB0"/>
    <w:rsid w:val="003646D6"/>
    <w:rsid w:val="00364FC6"/>
    <w:rsid w:val="0036541D"/>
    <w:rsid w:val="00365DA1"/>
    <w:rsid w:val="003666D2"/>
    <w:rsid w:val="00370504"/>
    <w:rsid w:val="003708E8"/>
    <w:rsid w:val="00371814"/>
    <w:rsid w:val="00372BAE"/>
    <w:rsid w:val="00372EE9"/>
    <w:rsid w:val="00373F07"/>
    <w:rsid w:val="00374A60"/>
    <w:rsid w:val="00375181"/>
    <w:rsid w:val="003764C0"/>
    <w:rsid w:val="003767A4"/>
    <w:rsid w:val="003774F6"/>
    <w:rsid w:val="003818B3"/>
    <w:rsid w:val="00382463"/>
    <w:rsid w:val="0038356A"/>
    <w:rsid w:val="0038382F"/>
    <w:rsid w:val="0038443F"/>
    <w:rsid w:val="00385427"/>
    <w:rsid w:val="00387542"/>
    <w:rsid w:val="00387C6B"/>
    <w:rsid w:val="00390FC0"/>
    <w:rsid w:val="003911B2"/>
    <w:rsid w:val="00391AFE"/>
    <w:rsid w:val="0039259F"/>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A25"/>
    <w:rsid w:val="003C4B42"/>
    <w:rsid w:val="003C4C77"/>
    <w:rsid w:val="003C4E91"/>
    <w:rsid w:val="003C6D76"/>
    <w:rsid w:val="003C7107"/>
    <w:rsid w:val="003C72F6"/>
    <w:rsid w:val="003D073C"/>
    <w:rsid w:val="003D0791"/>
    <w:rsid w:val="003D1130"/>
    <w:rsid w:val="003D143D"/>
    <w:rsid w:val="003D2E84"/>
    <w:rsid w:val="003D37D4"/>
    <w:rsid w:val="003D47A7"/>
    <w:rsid w:val="003D56B5"/>
    <w:rsid w:val="003D5DCC"/>
    <w:rsid w:val="003D6B84"/>
    <w:rsid w:val="003E1A49"/>
    <w:rsid w:val="003E2D01"/>
    <w:rsid w:val="003E330E"/>
    <w:rsid w:val="003E3AE3"/>
    <w:rsid w:val="003E5733"/>
    <w:rsid w:val="003E5960"/>
    <w:rsid w:val="003E5E27"/>
    <w:rsid w:val="003E6A38"/>
    <w:rsid w:val="003E6FD2"/>
    <w:rsid w:val="003E788F"/>
    <w:rsid w:val="003E7A97"/>
    <w:rsid w:val="003E7D3A"/>
    <w:rsid w:val="003F0950"/>
    <w:rsid w:val="003F09C9"/>
    <w:rsid w:val="003F1FE1"/>
    <w:rsid w:val="003F4C37"/>
    <w:rsid w:val="003F525E"/>
    <w:rsid w:val="003F67AE"/>
    <w:rsid w:val="003F6BBB"/>
    <w:rsid w:val="003F719F"/>
    <w:rsid w:val="003F79CC"/>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4FD0"/>
    <w:rsid w:val="00417207"/>
    <w:rsid w:val="00417E93"/>
    <w:rsid w:val="00422A2A"/>
    <w:rsid w:val="00424BB4"/>
    <w:rsid w:val="004258CD"/>
    <w:rsid w:val="004261D2"/>
    <w:rsid w:val="004303D1"/>
    <w:rsid w:val="00433C0A"/>
    <w:rsid w:val="004349FA"/>
    <w:rsid w:val="004406BD"/>
    <w:rsid w:val="004409B9"/>
    <w:rsid w:val="004417FC"/>
    <w:rsid w:val="00442FBE"/>
    <w:rsid w:val="004433B1"/>
    <w:rsid w:val="00443571"/>
    <w:rsid w:val="004444E3"/>
    <w:rsid w:val="004447FD"/>
    <w:rsid w:val="00445032"/>
    <w:rsid w:val="004450CB"/>
    <w:rsid w:val="00446801"/>
    <w:rsid w:val="00446967"/>
    <w:rsid w:val="00446990"/>
    <w:rsid w:val="00446AB6"/>
    <w:rsid w:val="00450EEE"/>
    <w:rsid w:val="004512B2"/>
    <w:rsid w:val="004528EE"/>
    <w:rsid w:val="00453360"/>
    <w:rsid w:val="00454669"/>
    <w:rsid w:val="00456409"/>
    <w:rsid w:val="004569C6"/>
    <w:rsid w:val="00456ADC"/>
    <w:rsid w:val="00456FB5"/>
    <w:rsid w:val="0045768F"/>
    <w:rsid w:val="00457769"/>
    <w:rsid w:val="004627AE"/>
    <w:rsid w:val="0046298E"/>
    <w:rsid w:val="004647BB"/>
    <w:rsid w:val="0046482B"/>
    <w:rsid w:val="004648E0"/>
    <w:rsid w:val="00470A69"/>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87C47"/>
    <w:rsid w:val="00490ED4"/>
    <w:rsid w:val="00491B91"/>
    <w:rsid w:val="00491C21"/>
    <w:rsid w:val="00491C66"/>
    <w:rsid w:val="004935D6"/>
    <w:rsid w:val="00494195"/>
    <w:rsid w:val="004945FB"/>
    <w:rsid w:val="004946ED"/>
    <w:rsid w:val="004961DC"/>
    <w:rsid w:val="00497356"/>
    <w:rsid w:val="004A076F"/>
    <w:rsid w:val="004A1DC1"/>
    <w:rsid w:val="004A31A2"/>
    <w:rsid w:val="004A48A7"/>
    <w:rsid w:val="004A655D"/>
    <w:rsid w:val="004B01B1"/>
    <w:rsid w:val="004B08D1"/>
    <w:rsid w:val="004B10E6"/>
    <w:rsid w:val="004B198F"/>
    <w:rsid w:val="004B357D"/>
    <w:rsid w:val="004B46D0"/>
    <w:rsid w:val="004B57B0"/>
    <w:rsid w:val="004B60CE"/>
    <w:rsid w:val="004B61C9"/>
    <w:rsid w:val="004C02B1"/>
    <w:rsid w:val="004C0B26"/>
    <w:rsid w:val="004C12FE"/>
    <w:rsid w:val="004C1D57"/>
    <w:rsid w:val="004C2F7C"/>
    <w:rsid w:val="004C34F8"/>
    <w:rsid w:val="004C375F"/>
    <w:rsid w:val="004C482F"/>
    <w:rsid w:val="004C49C9"/>
    <w:rsid w:val="004C627F"/>
    <w:rsid w:val="004C76C1"/>
    <w:rsid w:val="004C7DDE"/>
    <w:rsid w:val="004D0D1A"/>
    <w:rsid w:val="004D169F"/>
    <w:rsid w:val="004D16A8"/>
    <w:rsid w:val="004D18CF"/>
    <w:rsid w:val="004D30CE"/>
    <w:rsid w:val="004D4071"/>
    <w:rsid w:val="004D421A"/>
    <w:rsid w:val="004D4D0C"/>
    <w:rsid w:val="004D6144"/>
    <w:rsid w:val="004D678F"/>
    <w:rsid w:val="004E0091"/>
    <w:rsid w:val="004E0695"/>
    <w:rsid w:val="004E0BE4"/>
    <w:rsid w:val="004E1264"/>
    <w:rsid w:val="004E2CBC"/>
    <w:rsid w:val="004E3DD4"/>
    <w:rsid w:val="004E5C1A"/>
    <w:rsid w:val="004E6C8C"/>
    <w:rsid w:val="004E6CC7"/>
    <w:rsid w:val="004E6E6A"/>
    <w:rsid w:val="004E776F"/>
    <w:rsid w:val="004F111D"/>
    <w:rsid w:val="004F1843"/>
    <w:rsid w:val="004F1EEC"/>
    <w:rsid w:val="004F2381"/>
    <w:rsid w:val="004F24C8"/>
    <w:rsid w:val="004F30D6"/>
    <w:rsid w:val="004F34A5"/>
    <w:rsid w:val="004F40D6"/>
    <w:rsid w:val="004F6925"/>
    <w:rsid w:val="00503AE1"/>
    <w:rsid w:val="00503CA6"/>
    <w:rsid w:val="00503FAE"/>
    <w:rsid w:val="00504DC1"/>
    <w:rsid w:val="00505332"/>
    <w:rsid w:val="00505A57"/>
    <w:rsid w:val="00505D37"/>
    <w:rsid w:val="00507074"/>
    <w:rsid w:val="005104E8"/>
    <w:rsid w:val="005107DB"/>
    <w:rsid w:val="00510DB0"/>
    <w:rsid w:val="005119F6"/>
    <w:rsid w:val="00511B7D"/>
    <w:rsid w:val="00511D00"/>
    <w:rsid w:val="005137E7"/>
    <w:rsid w:val="005142B9"/>
    <w:rsid w:val="00515A56"/>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373F1"/>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608"/>
    <w:rsid w:val="00560C6A"/>
    <w:rsid w:val="00560F85"/>
    <w:rsid w:val="005610A0"/>
    <w:rsid w:val="0056248F"/>
    <w:rsid w:val="00564985"/>
    <w:rsid w:val="00565379"/>
    <w:rsid w:val="005674C3"/>
    <w:rsid w:val="00567990"/>
    <w:rsid w:val="00567C4C"/>
    <w:rsid w:val="00570B8B"/>
    <w:rsid w:val="0057193D"/>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78A"/>
    <w:rsid w:val="00585A16"/>
    <w:rsid w:val="00585B98"/>
    <w:rsid w:val="005863D8"/>
    <w:rsid w:val="005865B2"/>
    <w:rsid w:val="00586812"/>
    <w:rsid w:val="00587BC2"/>
    <w:rsid w:val="0059089F"/>
    <w:rsid w:val="005918E4"/>
    <w:rsid w:val="00591C6D"/>
    <w:rsid w:val="00591C71"/>
    <w:rsid w:val="00592392"/>
    <w:rsid w:val="00592484"/>
    <w:rsid w:val="0059283D"/>
    <w:rsid w:val="005928D3"/>
    <w:rsid w:val="00592D5D"/>
    <w:rsid w:val="00592DD4"/>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276"/>
    <w:rsid w:val="005D0AE3"/>
    <w:rsid w:val="005D1103"/>
    <w:rsid w:val="005D276D"/>
    <w:rsid w:val="005D4BDC"/>
    <w:rsid w:val="005D5912"/>
    <w:rsid w:val="005D794C"/>
    <w:rsid w:val="005D7A9F"/>
    <w:rsid w:val="005D7AA2"/>
    <w:rsid w:val="005E2154"/>
    <w:rsid w:val="005E2FC7"/>
    <w:rsid w:val="005E37B9"/>
    <w:rsid w:val="005E3885"/>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2A"/>
    <w:rsid w:val="00603B68"/>
    <w:rsid w:val="00605297"/>
    <w:rsid w:val="00605CB9"/>
    <w:rsid w:val="006065BF"/>
    <w:rsid w:val="00607C00"/>
    <w:rsid w:val="00610430"/>
    <w:rsid w:val="00611858"/>
    <w:rsid w:val="00614EB1"/>
    <w:rsid w:val="00614F67"/>
    <w:rsid w:val="00615277"/>
    <w:rsid w:val="00615519"/>
    <w:rsid w:val="00615CED"/>
    <w:rsid w:val="00615CFC"/>
    <w:rsid w:val="006167E8"/>
    <w:rsid w:val="00617880"/>
    <w:rsid w:val="00617A92"/>
    <w:rsid w:val="00620CEE"/>
    <w:rsid w:val="00622558"/>
    <w:rsid w:val="00622D5F"/>
    <w:rsid w:val="00622EAE"/>
    <w:rsid w:val="0062334E"/>
    <w:rsid w:val="00623A4F"/>
    <w:rsid w:val="00624D17"/>
    <w:rsid w:val="00624F56"/>
    <w:rsid w:val="00625218"/>
    <w:rsid w:val="00626594"/>
    <w:rsid w:val="006270CA"/>
    <w:rsid w:val="00630442"/>
    <w:rsid w:val="0063048C"/>
    <w:rsid w:val="00630FCD"/>
    <w:rsid w:val="006319C2"/>
    <w:rsid w:val="00631FF6"/>
    <w:rsid w:val="006326AB"/>
    <w:rsid w:val="0063292C"/>
    <w:rsid w:val="0063312C"/>
    <w:rsid w:val="00633DBC"/>
    <w:rsid w:val="00634CA3"/>
    <w:rsid w:val="006351AD"/>
    <w:rsid w:val="00635A2A"/>
    <w:rsid w:val="00635B6F"/>
    <w:rsid w:val="00636A63"/>
    <w:rsid w:val="00636C79"/>
    <w:rsid w:val="00636DCB"/>
    <w:rsid w:val="00636DE3"/>
    <w:rsid w:val="00636F89"/>
    <w:rsid w:val="0063700D"/>
    <w:rsid w:val="00637470"/>
    <w:rsid w:val="00637E13"/>
    <w:rsid w:val="00640D89"/>
    <w:rsid w:val="00640F58"/>
    <w:rsid w:val="00641203"/>
    <w:rsid w:val="00641776"/>
    <w:rsid w:val="00642E40"/>
    <w:rsid w:val="00644C86"/>
    <w:rsid w:val="0064656E"/>
    <w:rsid w:val="0064668E"/>
    <w:rsid w:val="00646DF5"/>
    <w:rsid w:val="00650397"/>
    <w:rsid w:val="006507E8"/>
    <w:rsid w:val="00650C73"/>
    <w:rsid w:val="00651143"/>
    <w:rsid w:val="00651959"/>
    <w:rsid w:val="00651C92"/>
    <w:rsid w:val="00652D5B"/>
    <w:rsid w:val="00653149"/>
    <w:rsid w:val="006531E4"/>
    <w:rsid w:val="00654505"/>
    <w:rsid w:val="006575ED"/>
    <w:rsid w:val="006578FD"/>
    <w:rsid w:val="00660060"/>
    <w:rsid w:val="006609AA"/>
    <w:rsid w:val="00660AB6"/>
    <w:rsid w:val="00662EDE"/>
    <w:rsid w:val="00664C9F"/>
    <w:rsid w:val="00665091"/>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1EFC"/>
    <w:rsid w:val="00692777"/>
    <w:rsid w:val="00692BE0"/>
    <w:rsid w:val="00692C98"/>
    <w:rsid w:val="0069324E"/>
    <w:rsid w:val="00694487"/>
    <w:rsid w:val="00695815"/>
    <w:rsid w:val="0069581B"/>
    <w:rsid w:val="00696601"/>
    <w:rsid w:val="006977FA"/>
    <w:rsid w:val="006A20FB"/>
    <w:rsid w:val="006A2F6B"/>
    <w:rsid w:val="006A339D"/>
    <w:rsid w:val="006A4462"/>
    <w:rsid w:val="006A4BCB"/>
    <w:rsid w:val="006A5B59"/>
    <w:rsid w:val="006A6A14"/>
    <w:rsid w:val="006A753A"/>
    <w:rsid w:val="006A777C"/>
    <w:rsid w:val="006A7C46"/>
    <w:rsid w:val="006B0F76"/>
    <w:rsid w:val="006B1DF9"/>
    <w:rsid w:val="006B1E65"/>
    <w:rsid w:val="006B1F20"/>
    <w:rsid w:val="006B31BE"/>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31AF"/>
    <w:rsid w:val="006D6E46"/>
    <w:rsid w:val="006D7FA8"/>
    <w:rsid w:val="006E4601"/>
    <w:rsid w:val="006E5B86"/>
    <w:rsid w:val="006E63FF"/>
    <w:rsid w:val="006E652D"/>
    <w:rsid w:val="006E7572"/>
    <w:rsid w:val="006F2F22"/>
    <w:rsid w:val="006F434A"/>
    <w:rsid w:val="006F474E"/>
    <w:rsid w:val="006F7974"/>
    <w:rsid w:val="00700A60"/>
    <w:rsid w:val="00705027"/>
    <w:rsid w:val="00710494"/>
    <w:rsid w:val="007117BD"/>
    <w:rsid w:val="007132DD"/>
    <w:rsid w:val="00715129"/>
    <w:rsid w:val="007153BC"/>
    <w:rsid w:val="007154CE"/>
    <w:rsid w:val="00715B25"/>
    <w:rsid w:val="00716020"/>
    <w:rsid w:val="007168B3"/>
    <w:rsid w:val="00717849"/>
    <w:rsid w:val="00720860"/>
    <w:rsid w:val="00721087"/>
    <w:rsid w:val="00721530"/>
    <w:rsid w:val="00723422"/>
    <w:rsid w:val="0072364E"/>
    <w:rsid w:val="0072506D"/>
    <w:rsid w:val="007260FE"/>
    <w:rsid w:val="00726DD6"/>
    <w:rsid w:val="0073076E"/>
    <w:rsid w:val="00733416"/>
    <w:rsid w:val="0073377E"/>
    <w:rsid w:val="00733E05"/>
    <w:rsid w:val="00734723"/>
    <w:rsid w:val="007352B9"/>
    <w:rsid w:val="00735C8A"/>
    <w:rsid w:val="00735FE2"/>
    <w:rsid w:val="0073719A"/>
    <w:rsid w:val="00737C62"/>
    <w:rsid w:val="00737C91"/>
    <w:rsid w:val="0074130E"/>
    <w:rsid w:val="00743937"/>
    <w:rsid w:val="00744889"/>
    <w:rsid w:val="00744910"/>
    <w:rsid w:val="00745631"/>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0433"/>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2E46"/>
    <w:rsid w:val="007730CF"/>
    <w:rsid w:val="00774756"/>
    <w:rsid w:val="00775181"/>
    <w:rsid w:val="007751B6"/>
    <w:rsid w:val="00775345"/>
    <w:rsid w:val="00775F71"/>
    <w:rsid w:val="00776A33"/>
    <w:rsid w:val="00776F15"/>
    <w:rsid w:val="007779ED"/>
    <w:rsid w:val="00780B1A"/>
    <w:rsid w:val="007810D3"/>
    <w:rsid w:val="0078264A"/>
    <w:rsid w:val="00783D11"/>
    <w:rsid w:val="007852C2"/>
    <w:rsid w:val="00785E46"/>
    <w:rsid w:val="00787917"/>
    <w:rsid w:val="00791489"/>
    <w:rsid w:val="00791683"/>
    <w:rsid w:val="00792F0C"/>
    <w:rsid w:val="00795460"/>
    <w:rsid w:val="00796CF7"/>
    <w:rsid w:val="007A0313"/>
    <w:rsid w:val="007A0A83"/>
    <w:rsid w:val="007A252D"/>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398B"/>
    <w:rsid w:val="007C4079"/>
    <w:rsid w:val="007C4827"/>
    <w:rsid w:val="007C4A20"/>
    <w:rsid w:val="007C5EE8"/>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7F7DCE"/>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3C1"/>
    <w:rsid w:val="008174D1"/>
    <w:rsid w:val="008178B2"/>
    <w:rsid w:val="00821418"/>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377F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258F"/>
    <w:rsid w:val="00855CA6"/>
    <w:rsid w:val="00855CF4"/>
    <w:rsid w:val="0086020E"/>
    <w:rsid w:val="00860323"/>
    <w:rsid w:val="00860F4F"/>
    <w:rsid w:val="008610B9"/>
    <w:rsid w:val="00862656"/>
    <w:rsid w:val="00863013"/>
    <w:rsid w:val="00863F67"/>
    <w:rsid w:val="0086483A"/>
    <w:rsid w:val="00864F59"/>
    <w:rsid w:val="0087049C"/>
    <w:rsid w:val="00870AAD"/>
    <w:rsid w:val="00870EDE"/>
    <w:rsid w:val="00871DA0"/>
    <w:rsid w:val="00872030"/>
    <w:rsid w:val="00873973"/>
    <w:rsid w:val="0087452B"/>
    <w:rsid w:val="00875C28"/>
    <w:rsid w:val="00875E75"/>
    <w:rsid w:val="0087658F"/>
    <w:rsid w:val="0087762E"/>
    <w:rsid w:val="00877823"/>
    <w:rsid w:val="008803F5"/>
    <w:rsid w:val="0088112F"/>
    <w:rsid w:val="008812BF"/>
    <w:rsid w:val="00881341"/>
    <w:rsid w:val="00882931"/>
    <w:rsid w:val="008836BD"/>
    <w:rsid w:val="00884939"/>
    <w:rsid w:val="008853E0"/>
    <w:rsid w:val="00885A8F"/>
    <w:rsid w:val="00885BE2"/>
    <w:rsid w:val="008863C8"/>
    <w:rsid w:val="00886D40"/>
    <w:rsid w:val="00887A0E"/>
    <w:rsid w:val="008903BD"/>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1910"/>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3EE9"/>
    <w:rsid w:val="00904671"/>
    <w:rsid w:val="00905BC5"/>
    <w:rsid w:val="009064AA"/>
    <w:rsid w:val="00912257"/>
    <w:rsid w:val="009124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487B"/>
    <w:rsid w:val="00945DBF"/>
    <w:rsid w:val="00946042"/>
    <w:rsid w:val="00946AB3"/>
    <w:rsid w:val="00947074"/>
    <w:rsid w:val="00947432"/>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3610"/>
    <w:rsid w:val="009A41C7"/>
    <w:rsid w:val="009A4F5A"/>
    <w:rsid w:val="009A4F99"/>
    <w:rsid w:val="009A5C82"/>
    <w:rsid w:val="009B010D"/>
    <w:rsid w:val="009B0AAB"/>
    <w:rsid w:val="009B0D3E"/>
    <w:rsid w:val="009B2AD1"/>
    <w:rsid w:val="009B31D8"/>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342"/>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266"/>
    <w:rsid w:val="00A13947"/>
    <w:rsid w:val="00A13E2B"/>
    <w:rsid w:val="00A14D7B"/>
    <w:rsid w:val="00A1562A"/>
    <w:rsid w:val="00A15901"/>
    <w:rsid w:val="00A1618E"/>
    <w:rsid w:val="00A161A1"/>
    <w:rsid w:val="00A1784A"/>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53A"/>
    <w:rsid w:val="00A51DF1"/>
    <w:rsid w:val="00A52AFB"/>
    <w:rsid w:val="00A53967"/>
    <w:rsid w:val="00A5455C"/>
    <w:rsid w:val="00A545EC"/>
    <w:rsid w:val="00A54C5F"/>
    <w:rsid w:val="00A54D3B"/>
    <w:rsid w:val="00A5578A"/>
    <w:rsid w:val="00A56F39"/>
    <w:rsid w:val="00A61365"/>
    <w:rsid w:val="00A61759"/>
    <w:rsid w:val="00A61B88"/>
    <w:rsid w:val="00A62C70"/>
    <w:rsid w:val="00A636F8"/>
    <w:rsid w:val="00A63982"/>
    <w:rsid w:val="00A65845"/>
    <w:rsid w:val="00A65A41"/>
    <w:rsid w:val="00A65C37"/>
    <w:rsid w:val="00A666AA"/>
    <w:rsid w:val="00A671FC"/>
    <w:rsid w:val="00A71670"/>
    <w:rsid w:val="00A72874"/>
    <w:rsid w:val="00A72E48"/>
    <w:rsid w:val="00A7359C"/>
    <w:rsid w:val="00A73616"/>
    <w:rsid w:val="00A74A57"/>
    <w:rsid w:val="00A74D4B"/>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3F58"/>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68FF"/>
    <w:rsid w:val="00AB7348"/>
    <w:rsid w:val="00AC1281"/>
    <w:rsid w:val="00AC13B0"/>
    <w:rsid w:val="00AC22B2"/>
    <w:rsid w:val="00AC2FD0"/>
    <w:rsid w:val="00AC3DBD"/>
    <w:rsid w:val="00AC3E1F"/>
    <w:rsid w:val="00AC4D30"/>
    <w:rsid w:val="00AC5E85"/>
    <w:rsid w:val="00AC6312"/>
    <w:rsid w:val="00AD03D8"/>
    <w:rsid w:val="00AD0D5F"/>
    <w:rsid w:val="00AD34CF"/>
    <w:rsid w:val="00AD36C8"/>
    <w:rsid w:val="00AD37C9"/>
    <w:rsid w:val="00AD47D3"/>
    <w:rsid w:val="00AD652F"/>
    <w:rsid w:val="00AD6672"/>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CC6"/>
    <w:rsid w:val="00AF4D6A"/>
    <w:rsid w:val="00AF5D2C"/>
    <w:rsid w:val="00AF5D6E"/>
    <w:rsid w:val="00AF6318"/>
    <w:rsid w:val="00AF6FC7"/>
    <w:rsid w:val="00AF7FFE"/>
    <w:rsid w:val="00B0072E"/>
    <w:rsid w:val="00B03B63"/>
    <w:rsid w:val="00B0513A"/>
    <w:rsid w:val="00B0620B"/>
    <w:rsid w:val="00B072A3"/>
    <w:rsid w:val="00B07FCD"/>
    <w:rsid w:val="00B1149C"/>
    <w:rsid w:val="00B11AD7"/>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0D02"/>
    <w:rsid w:val="00B3398B"/>
    <w:rsid w:val="00B33B1E"/>
    <w:rsid w:val="00B33FAC"/>
    <w:rsid w:val="00B362D9"/>
    <w:rsid w:val="00B36B99"/>
    <w:rsid w:val="00B36D20"/>
    <w:rsid w:val="00B36F67"/>
    <w:rsid w:val="00B40633"/>
    <w:rsid w:val="00B410FE"/>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5FE2"/>
    <w:rsid w:val="00B672E3"/>
    <w:rsid w:val="00B675F9"/>
    <w:rsid w:val="00B70849"/>
    <w:rsid w:val="00B72C1C"/>
    <w:rsid w:val="00B73BB7"/>
    <w:rsid w:val="00B751C3"/>
    <w:rsid w:val="00B76C0D"/>
    <w:rsid w:val="00B771EF"/>
    <w:rsid w:val="00B77D0D"/>
    <w:rsid w:val="00B80817"/>
    <w:rsid w:val="00B827E6"/>
    <w:rsid w:val="00B82A28"/>
    <w:rsid w:val="00B82B8D"/>
    <w:rsid w:val="00B82C97"/>
    <w:rsid w:val="00B851D5"/>
    <w:rsid w:val="00B85B06"/>
    <w:rsid w:val="00B86512"/>
    <w:rsid w:val="00B90558"/>
    <w:rsid w:val="00B92958"/>
    <w:rsid w:val="00B93957"/>
    <w:rsid w:val="00B9404A"/>
    <w:rsid w:val="00B94877"/>
    <w:rsid w:val="00B9491F"/>
    <w:rsid w:val="00B96043"/>
    <w:rsid w:val="00B96F5D"/>
    <w:rsid w:val="00BA02F9"/>
    <w:rsid w:val="00BA1987"/>
    <w:rsid w:val="00BA24E4"/>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6E29"/>
    <w:rsid w:val="00BC7120"/>
    <w:rsid w:val="00BC76A3"/>
    <w:rsid w:val="00BD00D1"/>
    <w:rsid w:val="00BD07A2"/>
    <w:rsid w:val="00BD0E4C"/>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3C24"/>
    <w:rsid w:val="00BF4D03"/>
    <w:rsid w:val="00BF4E85"/>
    <w:rsid w:val="00BF54BD"/>
    <w:rsid w:val="00BF5892"/>
    <w:rsid w:val="00C01804"/>
    <w:rsid w:val="00C01EA8"/>
    <w:rsid w:val="00C026BC"/>
    <w:rsid w:val="00C02AD4"/>
    <w:rsid w:val="00C03869"/>
    <w:rsid w:val="00C05C9E"/>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6CB3"/>
    <w:rsid w:val="00C57ED3"/>
    <w:rsid w:val="00C60A55"/>
    <w:rsid w:val="00C61640"/>
    <w:rsid w:val="00C61AA7"/>
    <w:rsid w:val="00C61B8E"/>
    <w:rsid w:val="00C668DE"/>
    <w:rsid w:val="00C7044F"/>
    <w:rsid w:val="00C720F8"/>
    <w:rsid w:val="00C7294B"/>
    <w:rsid w:val="00C747DE"/>
    <w:rsid w:val="00C75139"/>
    <w:rsid w:val="00C7525C"/>
    <w:rsid w:val="00C75510"/>
    <w:rsid w:val="00C76CF7"/>
    <w:rsid w:val="00C83A4C"/>
    <w:rsid w:val="00C84D1F"/>
    <w:rsid w:val="00C8533B"/>
    <w:rsid w:val="00C858BA"/>
    <w:rsid w:val="00C8682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6633"/>
    <w:rsid w:val="00CA796A"/>
    <w:rsid w:val="00CB2575"/>
    <w:rsid w:val="00CB3677"/>
    <w:rsid w:val="00CB368F"/>
    <w:rsid w:val="00CB4C42"/>
    <w:rsid w:val="00CB4DFA"/>
    <w:rsid w:val="00CB57CD"/>
    <w:rsid w:val="00CB65F1"/>
    <w:rsid w:val="00CB79E4"/>
    <w:rsid w:val="00CB7BD7"/>
    <w:rsid w:val="00CC1F59"/>
    <w:rsid w:val="00CC4CB6"/>
    <w:rsid w:val="00CC4DB0"/>
    <w:rsid w:val="00CC5038"/>
    <w:rsid w:val="00CC5326"/>
    <w:rsid w:val="00CC7426"/>
    <w:rsid w:val="00CC7910"/>
    <w:rsid w:val="00CD01EF"/>
    <w:rsid w:val="00CD0C20"/>
    <w:rsid w:val="00CD297A"/>
    <w:rsid w:val="00CD3DB0"/>
    <w:rsid w:val="00CD4129"/>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2F7"/>
    <w:rsid w:val="00CE64A5"/>
    <w:rsid w:val="00CE669E"/>
    <w:rsid w:val="00CE66B5"/>
    <w:rsid w:val="00CE6BFE"/>
    <w:rsid w:val="00CE7031"/>
    <w:rsid w:val="00CE7258"/>
    <w:rsid w:val="00CF0B9B"/>
    <w:rsid w:val="00CF0F7C"/>
    <w:rsid w:val="00CF13B8"/>
    <w:rsid w:val="00CF18BB"/>
    <w:rsid w:val="00CF285E"/>
    <w:rsid w:val="00CF3739"/>
    <w:rsid w:val="00CF5597"/>
    <w:rsid w:val="00CF57B4"/>
    <w:rsid w:val="00CF5CA5"/>
    <w:rsid w:val="00CF658A"/>
    <w:rsid w:val="00CF66B6"/>
    <w:rsid w:val="00D007D6"/>
    <w:rsid w:val="00D01605"/>
    <w:rsid w:val="00D01A9F"/>
    <w:rsid w:val="00D01CED"/>
    <w:rsid w:val="00D01E38"/>
    <w:rsid w:val="00D022B5"/>
    <w:rsid w:val="00D039B5"/>
    <w:rsid w:val="00D03AD8"/>
    <w:rsid w:val="00D04AA9"/>
    <w:rsid w:val="00D04F76"/>
    <w:rsid w:val="00D053D2"/>
    <w:rsid w:val="00D07D07"/>
    <w:rsid w:val="00D10F87"/>
    <w:rsid w:val="00D1149D"/>
    <w:rsid w:val="00D11B8E"/>
    <w:rsid w:val="00D11D8D"/>
    <w:rsid w:val="00D12B12"/>
    <w:rsid w:val="00D12DD7"/>
    <w:rsid w:val="00D13A8C"/>
    <w:rsid w:val="00D149E1"/>
    <w:rsid w:val="00D14A44"/>
    <w:rsid w:val="00D155A5"/>
    <w:rsid w:val="00D15BCC"/>
    <w:rsid w:val="00D1628F"/>
    <w:rsid w:val="00D21601"/>
    <w:rsid w:val="00D21D89"/>
    <w:rsid w:val="00D22522"/>
    <w:rsid w:val="00D22657"/>
    <w:rsid w:val="00D228DF"/>
    <w:rsid w:val="00D23557"/>
    <w:rsid w:val="00D2427F"/>
    <w:rsid w:val="00D24BB7"/>
    <w:rsid w:val="00D2506D"/>
    <w:rsid w:val="00D263AE"/>
    <w:rsid w:val="00D27855"/>
    <w:rsid w:val="00D27E5A"/>
    <w:rsid w:val="00D27E9B"/>
    <w:rsid w:val="00D31021"/>
    <w:rsid w:val="00D3253C"/>
    <w:rsid w:val="00D329B9"/>
    <w:rsid w:val="00D33412"/>
    <w:rsid w:val="00D33529"/>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1797"/>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3B73"/>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030"/>
    <w:rsid w:val="00DE4905"/>
    <w:rsid w:val="00DE510C"/>
    <w:rsid w:val="00DE548B"/>
    <w:rsid w:val="00DE7822"/>
    <w:rsid w:val="00DF081A"/>
    <w:rsid w:val="00DF087A"/>
    <w:rsid w:val="00DF265D"/>
    <w:rsid w:val="00DF2EB0"/>
    <w:rsid w:val="00DF31C1"/>
    <w:rsid w:val="00DF427A"/>
    <w:rsid w:val="00DF45C5"/>
    <w:rsid w:val="00DF5A8C"/>
    <w:rsid w:val="00DF71D8"/>
    <w:rsid w:val="00E00CCA"/>
    <w:rsid w:val="00E01623"/>
    <w:rsid w:val="00E03FE3"/>
    <w:rsid w:val="00E06951"/>
    <w:rsid w:val="00E07149"/>
    <w:rsid w:val="00E10C94"/>
    <w:rsid w:val="00E10EC4"/>
    <w:rsid w:val="00E118D7"/>
    <w:rsid w:val="00E12C02"/>
    <w:rsid w:val="00E13F46"/>
    <w:rsid w:val="00E15BD4"/>
    <w:rsid w:val="00E16458"/>
    <w:rsid w:val="00E16FB6"/>
    <w:rsid w:val="00E17001"/>
    <w:rsid w:val="00E1775E"/>
    <w:rsid w:val="00E17814"/>
    <w:rsid w:val="00E17CEF"/>
    <w:rsid w:val="00E20FBC"/>
    <w:rsid w:val="00E244CA"/>
    <w:rsid w:val="00E2512D"/>
    <w:rsid w:val="00E2548C"/>
    <w:rsid w:val="00E2662B"/>
    <w:rsid w:val="00E26736"/>
    <w:rsid w:val="00E26811"/>
    <w:rsid w:val="00E268AC"/>
    <w:rsid w:val="00E26A61"/>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3451"/>
    <w:rsid w:val="00E445C9"/>
    <w:rsid w:val="00E447C5"/>
    <w:rsid w:val="00E450C1"/>
    <w:rsid w:val="00E4547F"/>
    <w:rsid w:val="00E4574F"/>
    <w:rsid w:val="00E46852"/>
    <w:rsid w:val="00E46B7D"/>
    <w:rsid w:val="00E5091C"/>
    <w:rsid w:val="00E50E42"/>
    <w:rsid w:val="00E51009"/>
    <w:rsid w:val="00E511AB"/>
    <w:rsid w:val="00E51350"/>
    <w:rsid w:val="00E5144E"/>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D73"/>
    <w:rsid w:val="00E63E99"/>
    <w:rsid w:val="00E6428E"/>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3A4C"/>
    <w:rsid w:val="00E94468"/>
    <w:rsid w:val="00E94A0E"/>
    <w:rsid w:val="00E94E80"/>
    <w:rsid w:val="00E94EBB"/>
    <w:rsid w:val="00E96226"/>
    <w:rsid w:val="00E96DDE"/>
    <w:rsid w:val="00EA04AE"/>
    <w:rsid w:val="00EA062F"/>
    <w:rsid w:val="00EA0B4F"/>
    <w:rsid w:val="00EA17A9"/>
    <w:rsid w:val="00EA311B"/>
    <w:rsid w:val="00EA36CA"/>
    <w:rsid w:val="00EA3D9C"/>
    <w:rsid w:val="00EA43C0"/>
    <w:rsid w:val="00EA4CB0"/>
    <w:rsid w:val="00EA566F"/>
    <w:rsid w:val="00EB2857"/>
    <w:rsid w:val="00EB2F0C"/>
    <w:rsid w:val="00EB30B7"/>
    <w:rsid w:val="00EB3F8A"/>
    <w:rsid w:val="00EB416F"/>
    <w:rsid w:val="00EB43B9"/>
    <w:rsid w:val="00EB4482"/>
    <w:rsid w:val="00EB4C01"/>
    <w:rsid w:val="00EB4D59"/>
    <w:rsid w:val="00EB4E58"/>
    <w:rsid w:val="00EB5184"/>
    <w:rsid w:val="00EB573D"/>
    <w:rsid w:val="00EB583A"/>
    <w:rsid w:val="00EB7752"/>
    <w:rsid w:val="00EC0725"/>
    <w:rsid w:val="00EC0889"/>
    <w:rsid w:val="00EC0C13"/>
    <w:rsid w:val="00EC148C"/>
    <w:rsid w:val="00EC18AB"/>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4DF0"/>
    <w:rsid w:val="00EE6989"/>
    <w:rsid w:val="00EE6C77"/>
    <w:rsid w:val="00EE7604"/>
    <w:rsid w:val="00EE7912"/>
    <w:rsid w:val="00EE7915"/>
    <w:rsid w:val="00EF0465"/>
    <w:rsid w:val="00EF13C5"/>
    <w:rsid w:val="00EF16D8"/>
    <w:rsid w:val="00EF192B"/>
    <w:rsid w:val="00EF28EF"/>
    <w:rsid w:val="00EF2EB9"/>
    <w:rsid w:val="00EF40E7"/>
    <w:rsid w:val="00EF4529"/>
    <w:rsid w:val="00EF5A56"/>
    <w:rsid w:val="00EF5B34"/>
    <w:rsid w:val="00EF657C"/>
    <w:rsid w:val="00F004D1"/>
    <w:rsid w:val="00F00C0D"/>
    <w:rsid w:val="00F0128B"/>
    <w:rsid w:val="00F02663"/>
    <w:rsid w:val="00F03369"/>
    <w:rsid w:val="00F04E62"/>
    <w:rsid w:val="00F050AA"/>
    <w:rsid w:val="00F05E6D"/>
    <w:rsid w:val="00F11800"/>
    <w:rsid w:val="00F11A9F"/>
    <w:rsid w:val="00F11B61"/>
    <w:rsid w:val="00F135D6"/>
    <w:rsid w:val="00F13922"/>
    <w:rsid w:val="00F13DBC"/>
    <w:rsid w:val="00F15FCF"/>
    <w:rsid w:val="00F16613"/>
    <w:rsid w:val="00F1738D"/>
    <w:rsid w:val="00F20534"/>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4E6D"/>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217"/>
    <w:rsid w:val="00F60996"/>
    <w:rsid w:val="00F60B5D"/>
    <w:rsid w:val="00F611E4"/>
    <w:rsid w:val="00F613D4"/>
    <w:rsid w:val="00F61FE7"/>
    <w:rsid w:val="00F62742"/>
    <w:rsid w:val="00F62AFE"/>
    <w:rsid w:val="00F633E5"/>
    <w:rsid w:val="00F64A3A"/>
    <w:rsid w:val="00F64F35"/>
    <w:rsid w:val="00F64FC4"/>
    <w:rsid w:val="00F65DE3"/>
    <w:rsid w:val="00F67E6A"/>
    <w:rsid w:val="00F70472"/>
    <w:rsid w:val="00F71430"/>
    <w:rsid w:val="00F71A8A"/>
    <w:rsid w:val="00F72E90"/>
    <w:rsid w:val="00F75896"/>
    <w:rsid w:val="00F76666"/>
    <w:rsid w:val="00F76ECB"/>
    <w:rsid w:val="00F76EF7"/>
    <w:rsid w:val="00F76F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10"/>
    <w:rsid w:val="00F937AF"/>
    <w:rsid w:val="00F94494"/>
    <w:rsid w:val="00F96483"/>
    <w:rsid w:val="00F9648C"/>
    <w:rsid w:val="00F96671"/>
    <w:rsid w:val="00F9680E"/>
    <w:rsid w:val="00F96E21"/>
    <w:rsid w:val="00FA00AF"/>
    <w:rsid w:val="00FA0A0A"/>
    <w:rsid w:val="00FA0C9D"/>
    <w:rsid w:val="00FA169B"/>
    <w:rsid w:val="00FA1D6E"/>
    <w:rsid w:val="00FA2C4B"/>
    <w:rsid w:val="00FA50BE"/>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C7671"/>
    <w:rsid w:val="00FD01CC"/>
    <w:rsid w:val="00FD08AF"/>
    <w:rsid w:val="00FD1E7A"/>
    <w:rsid w:val="00FD21ED"/>
    <w:rsid w:val="00FD2672"/>
    <w:rsid w:val="00FD28F4"/>
    <w:rsid w:val="00FD2CE2"/>
    <w:rsid w:val="00FD4A1E"/>
    <w:rsid w:val="00FD66A9"/>
    <w:rsid w:val="00FD6712"/>
    <w:rsid w:val="00FD6853"/>
    <w:rsid w:val="00FD6E54"/>
    <w:rsid w:val="00FE01B5"/>
    <w:rsid w:val="00FE03BB"/>
    <w:rsid w:val="00FE0BF0"/>
    <w:rsid w:val="00FE15A2"/>
    <w:rsid w:val="00FE1B4C"/>
    <w:rsid w:val="00FE3B37"/>
    <w:rsid w:val="00FE4B40"/>
    <w:rsid w:val="00FE5DC4"/>
    <w:rsid w:val="00FE6E94"/>
    <w:rsid w:val="00FE76CB"/>
    <w:rsid w:val="00FE7BD8"/>
    <w:rsid w:val="00FF00DD"/>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styleId="ListParagraph">
    <w:name w:val="List Paragraph"/>
    <w:basedOn w:val="Normal"/>
    <w:uiPriority w:val="34"/>
    <w:qFormat/>
    <w:rsid w:val="006A2F6B"/>
    <w:pPr>
      <w:snapToGrid w:val="0"/>
      <w:ind w:left="720"/>
    </w:pPr>
    <w:rPr>
      <w:rFonts w:eastAsia="SimSun"/>
    </w:rPr>
  </w:style>
  <w:style w:type="paragraph" w:customStyle="1" w:styleId="Endofdocument-Annex">
    <w:name w:val="[End of document - Annex]"/>
    <w:basedOn w:val="Normal"/>
    <w:rsid w:val="006167E8"/>
    <w:pPr>
      <w:ind w:left="5534"/>
    </w:pPr>
    <w:rPr>
      <w:rFonts w:eastAsia="SimSu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styleId="ListParagraph">
    <w:name w:val="List Paragraph"/>
    <w:basedOn w:val="Normal"/>
    <w:uiPriority w:val="34"/>
    <w:qFormat/>
    <w:rsid w:val="006A2F6B"/>
    <w:pPr>
      <w:snapToGrid w:val="0"/>
      <w:ind w:left="720"/>
    </w:pPr>
    <w:rPr>
      <w:rFonts w:eastAsia="SimSun"/>
    </w:rPr>
  </w:style>
  <w:style w:type="paragraph" w:customStyle="1" w:styleId="Endofdocument-Annex">
    <w:name w:val="[End of document - Annex]"/>
    <w:basedOn w:val="Normal"/>
    <w:rsid w:val="006167E8"/>
    <w:pPr>
      <w:ind w:left="5534"/>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89763">
      <w:bodyDiv w:val="1"/>
      <w:marLeft w:val="0"/>
      <w:marRight w:val="0"/>
      <w:marTop w:val="0"/>
      <w:marBottom w:val="0"/>
      <w:divBdr>
        <w:top w:val="none" w:sz="0" w:space="0" w:color="auto"/>
        <w:left w:val="none" w:sz="0" w:space="0" w:color="auto"/>
        <w:bottom w:val="none" w:sz="0" w:space="0" w:color="auto"/>
        <w:right w:val="none" w:sz="0" w:space="0" w:color="auto"/>
      </w:divBdr>
    </w:div>
    <w:div w:id="438526787">
      <w:bodyDiv w:val="1"/>
      <w:marLeft w:val="0"/>
      <w:marRight w:val="0"/>
      <w:marTop w:val="0"/>
      <w:marBottom w:val="0"/>
      <w:divBdr>
        <w:top w:val="none" w:sz="0" w:space="0" w:color="auto"/>
        <w:left w:val="none" w:sz="0" w:space="0" w:color="auto"/>
        <w:bottom w:val="none" w:sz="0" w:space="0" w:color="auto"/>
        <w:right w:val="none" w:sz="0" w:space="0" w:color="auto"/>
      </w:divBdr>
    </w:div>
    <w:div w:id="540092671">
      <w:bodyDiv w:val="1"/>
      <w:marLeft w:val="0"/>
      <w:marRight w:val="0"/>
      <w:marTop w:val="0"/>
      <w:marBottom w:val="0"/>
      <w:divBdr>
        <w:top w:val="none" w:sz="0" w:space="0" w:color="auto"/>
        <w:left w:val="none" w:sz="0" w:space="0" w:color="auto"/>
        <w:bottom w:val="none" w:sz="0" w:space="0" w:color="auto"/>
        <w:right w:val="none" w:sz="0" w:space="0" w:color="auto"/>
      </w:divBdr>
    </w:div>
    <w:div w:id="556404965">
      <w:bodyDiv w:val="1"/>
      <w:marLeft w:val="0"/>
      <w:marRight w:val="0"/>
      <w:marTop w:val="0"/>
      <w:marBottom w:val="0"/>
      <w:divBdr>
        <w:top w:val="none" w:sz="0" w:space="0" w:color="auto"/>
        <w:left w:val="none" w:sz="0" w:space="0" w:color="auto"/>
        <w:bottom w:val="none" w:sz="0" w:space="0" w:color="auto"/>
        <w:right w:val="none" w:sz="0" w:space="0" w:color="auto"/>
      </w:divBdr>
    </w:div>
    <w:div w:id="703940059">
      <w:bodyDiv w:val="1"/>
      <w:marLeft w:val="0"/>
      <w:marRight w:val="0"/>
      <w:marTop w:val="0"/>
      <w:marBottom w:val="0"/>
      <w:divBdr>
        <w:top w:val="none" w:sz="0" w:space="0" w:color="auto"/>
        <w:left w:val="none" w:sz="0" w:space="0" w:color="auto"/>
        <w:bottom w:val="none" w:sz="0" w:space="0" w:color="auto"/>
        <w:right w:val="none" w:sz="0" w:space="0" w:color="auto"/>
      </w:divBdr>
    </w:div>
    <w:div w:id="1136147447">
      <w:bodyDiv w:val="1"/>
      <w:marLeft w:val="0"/>
      <w:marRight w:val="0"/>
      <w:marTop w:val="0"/>
      <w:marBottom w:val="0"/>
      <w:divBdr>
        <w:top w:val="none" w:sz="0" w:space="0" w:color="auto"/>
        <w:left w:val="none" w:sz="0" w:space="0" w:color="auto"/>
        <w:bottom w:val="none" w:sz="0" w:space="0" w:color="auto"/>
        <w:right w:val="none" w:sz="0" w:space="0" w:color="auto"/>
      </w:divBdr>
    </w:div>
    <w:div w:id="1221671065">
      <w:bodyDiv w:val="1"/>
      <w:marLeft w:val="0"/>
      <w:marRight w:val="0"/>
      <w:marTop w:val="0"/>
      <w:marBottom w:val="0"/>
      <w:divBdr>
        <w:top w:val="none" w:sz="0" w:space="0" w:color="auto"/>
        <w:left w:val="none" w:sz="0" w:space="0" w:color="auto"/>
        <w:bottom w:val="none" w:sz="0" w:space="0" w:color="auto"/>
        <w:right w:val="none" w:sz="0" w:space="0" w:color="auto"/>
      </w:divBdr>
    </w:div>
    <w:div w:id="1296988918">
      <w:bodyDiv w:val="1"/>
      <w:marLeft w:val="0"/>
      <w:marRight w:val="0"/>
      <w:marTop w:val="0"/>
      <w:marBottom w:val="0"/>
      <w:divBdr>
        <w:top w:val="none" w:sz="0" w:space="0" w:color="auto"/>
        <w:left w:val="none" w:sz="0" w:space="0" w:color="auto"/>
        <w:bottom w:val="none" w:sz="0" w:space="0" w:color="auto"/>
        <w:right w:val="none" w:sz="0" w:space="0" w:color="auto"/>
      </w:divBdr>
    </w:div>
    <w:div w:id="1735809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A63F4-D724-438B-845F-44B52BE2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1954</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MM/A/46/-- (Arabic)</vt:lpstr>
    </vt:vector>
  </TitlesOfParts>
  <Company>World Intellectual Property Organization</Company>
  <LinksUpToDate>false</LinksUpToDate>
  <CharactersWithSpaces>12306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MM/A/46/-- (Arabic)</dc:title>
  <dc:creator>AHMIDOUCH Noureddine</dc:creator>
  <cp:lastModifiedBy>AHMIDOUCH Noureddine</cp:lastModifiedBy>
  <cp:revision>7</cp:revision>
  <cp:lastPrinted>2016-06-28T10:28:00Z</cp:lastPrinted>
  <dcterms:created xsi:type="dcterms:W3CDTF">2016-06-27T10:04:00Z</dcterms:created>
  <dcterms:modified xsi:type="dcterms:W3CDTF">2016-06-28T10:28:00Z</dcterms:modified>
</cp:coreProperties>
</file>