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C3E1F" w:rsidP="008A5F73">
            <w:pPr>
              <w:pStyle w:val="DocumentCodeAR"/>
              <w:bidi/>
              <w:rPr>
                <w:rtl/>
              </w:rPr>
            </w:pPr>
            <w:r>
              <w:t>MM</w:t>
            </w:r>
            <w:r w:rsidR="00772E46">
              <w:t>/</w:t>
            </w:r>
            <w:r w:rsidR="0059089F">
              <w:t>A</w:t>
            </w:r>
            <w:r w:rsidR="00100F97">
              <w:t>/</w:t>
            </w:r>
            <w:r w:rsidR="00220323">
              <w:t>50</w:t>
            </w:r>
            <w:r w:rsidR="008A21C2">
              <w:t>/2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A21C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8A21C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8A21C2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A21C2">
              <w:rPr>
                <w:rFonts w:hint="cs"/>
                <w:rtl/>
              </w:rPr>
              <w:t>4 يوليو</w:t>
            </w:r>
            <w:r w:rsidRPr="00B6101C">
              <w:rPr>
                <w:rFonts w:hint="cs"/>
                <w:rtl/>
              </w:rPr>
              <w:t xml:space="preserve"> </w:t>
            </w:r>
            <w:r w:rsidR="00220323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0438DD" w:rsidRDefault="000438DD" w:rsidP="000438DD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E1775E" w:rsidRDefault="00E1775E" w:rsidP="00E1775E">
      <w:pPr>
        <w:pStyle w:val="MeetingTitleAR"/>
        <w:bidi/>
        <w:rPr>
          <w:rtl/>
        </w:rPr>
      </w:pPr>
      <w:r>
        <w:rPr>
          <w:rFonts w:hint="cs"/>
          <w:rtl/>
        </w:rPr>
        <w:t>الاتحاد الخاص للتسجيل الدولي للعلامات</w:t>
      </w:r>
    </w:p>
    <w:p w:rsidR="00E1775E" w:rsidRPr="00840AF7" w:rsidRDefault="00E1775E" w:rsidP="00E1775E">
      <w:pPr>
        <w:pStyle w:val="NormalParaAR"/>
        <w:rPr>
          <w:rFonts w:cs="PT Bold Heading"/>
          <w:sz w:val="32"/>
          <w:szCs w:val="32"/>
          <w:rtl/>
        </w:rPr>
      </w:pPr>
      <w:r w:rsidRPr="00840AF7">
        <w:rPr>
          <w:rFonts w:cs="PT Bold Heading" w:hint="cs"/>
          <w:sz w:val="32"/>
          <w:szCs w:val="32"/>
          <w:rtl/>
        </w:rPr>
        <w:t>(اتحاد مدريد)</w:t>
      </w: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0438DD" w:rsidP="000438DD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</w:rPr>
      </w:pPr>
    </w:p>
    <w:p w:rsidR="001667B6" w:rsidRPr="00783D11" w:rsidRDefault="00E1775E" w:rsidP="00220323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>الدورة</w:t>
      </w:r>
      <w:r>
        <w:rPr>
          <w:rFonts w:ascii="Cambria Math" w:hAnsi="Cambria Math" w:hint="cs"/>
          <w:rtl/>
          <w:lang w:val="fr-CH"/>
        </w:rPr>
        <w:t xml:space="preserve"> </w:t>
      </w:r>
      <w:r w:rsidR="00220323">
        <w:rPr>
          <w:rFonts w:ascii="Cambria Math" w:hAnsi="Cambria Math" w:hint="cs"/>
          <w:rtl/>
          <w:lang w:val="fr-CH"/>
        </w:rPr>
        <w:t>الخمسون</w:t>
      </w:r>
      <w:r>
        <w:rPr>
          <w:rFonts w:ascii="Cambria Math" w:hAnsi="Cambria Math" w:hint="cs"/>
          <w:rtl/>
        </w:rPr>
        <w:t xml:space="preserve"> </w:t>
      </w:r>
      <w:r w:rsidR="0059089F" w:rsidRPr="0059089F">
        <w:rPr>
          <w:rFonts w:ascii="Cambria Math" w:hAnsi="Cambria Math"/>
          <w:rtl/>
        </w:rPr>
        <w:t xml:space="preserve">(الدورة </w:t>
      </w:r>
      <w:r w:rsidR="00220323">
        <w:rPr>
          <w:rFonts w:ascii="Cambria Math" w:hAnsi="Cambria Math" w:hint="cs"/>
          <w:rtl/>
        </w:rPr>
        <w:t>الاستثنائية</w:t>
      </w:r>
      <w:r w:rsidR="00D30E1A">
        <w:rPr>
          <w:rFonts w:ascii="Cambria Math" w:hAnsi="Cambria Math" w:hint="cs"/>
          <w:rtl/>
        </w:rPr>
        <w:t xml:space="preserve"> </w:t>
      </w:r>
      <w:r w:rsidR="00220323">
        <w:rPr>
          <w:rFonts w:ascii="Cambria Math" w:hAnsi="Cambria Math" w:hint="cs"/>
          <w:rtl/>
        </w:rPr>
        <w:t>التاسعة</w:t>
      </w:r>
      <w:r w:rsidR="00D30E1A">
        <w:rPr>
          <w:rFonts w:ascii="Cambria Math" w:hAnsi="Cambria Math" w:hint="cs"/>
          <w:rtl/>
        </w:rPr>
        <w:t xml:space="preserve"> و</w:t>
      </w:r>
      <w:r w:rsidR="0059089F">
        <w:rPr>
          <w:rFonts w:ascii="Cambria Math" w:hAnsi="Cambria Math" w:hint="cs"/>
          <w:rtl/>
        </w:rPr>
        <w:t xml:space="preserve"> </w:t>
      </w:r>
      <w:r w:rsidR="0059089F" w:rsidRPr="0059089F">
        <w:rPr>
          <w:rFonts w:ascii="Cambria Math" w:hAnsi="Cambria Math"/>
          <w:rtl/>
        </w:rPr>
        <w:t>العشرون)</w:t>
      </w:r>
    </w:p>
    <w:p w:rsidR="00D61541" w:rsidRPr="00D61541" w:rsidRDefault="00D61541" w:rsidP="00220323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220323">
        <w:rPr>
          <w:rFonts w:hint="cs"/>
          <w:rtl/>
        </w:rPr>
        <w:t>3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220323">
        <w:rPr>
          <w:rFonts w:hint="cs"/>
          <w:rtl/>
        </w:rPr>
        <w:t>11</w:t>
      </w:r>
      <w:r w:rsidR="00D30E1A">
        <w:rPr>
          <w:rFonts w:hint="cs"/>
          <w:rtl/>
        </w:rPr>
        <w:t xml:space="preserve"> </w:t>
      </w:r>
      <w:r w:rsidR="008A5F73">
        <w:rPr>
          <w:rFonts w:hint="cs"/>
          <w:rtl/>
        </w:rPr>
        <w:t>أكتوبر</w:t>
      </w:r>
      <w:r w:rsidR="00D30E1A">
        <w:rPr>
          <w:rFonts w:hint="cs"/>
          <w:rtl/>
        </w:rPr>
        <w:t xml:space="preserve"> </w:t>
      </w:r>
      <w:r w:rsidR="00220323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43259" w:rsidP="00943259">
      <w:pPr>
        <w:pStyle w:val="DocumentTitleAR"/>
        <w:bidi/>
        <w:rPr>
          <w:rtl/>
        </w:rPr>
      </w:pPr>
      <w:r w:rsidRPr="00943259">
        <w:rPr>
          <w:rtl/>
        </w:rPr>
        <w:t>است</w:t>
      </w:r>
      <w:r w:rsidR="00F528F0">
        <w:rPr>
          <w:rtl/>
        </w:rPr>
        <w:t>عراض ت</w:t>
      </w:r>
      <w:r w:rsidR="00F528F0">
        <w:rPr>
          <w:rFonts w:hint="cs"/>
          <w:rtl/>
        </w:rPr>
        <w:t>طبيق</w:t>
      </w:r>
      <w:r>
        <w:rPr>
          <w:rtl/>
        </w:rPr>
        <w:t xml:space="preserve"> المادة 9</w:t>
      </w:r>
      <w:r w:rsidRPr="00943259">
        <w:rPr>
          <w:vertAlign w:val="superscript"/>
          <w:rtl/>
        </w:rPr>
        <w:t>(</w:t>
      </w:r>
      <w:r w:rsidRPr="00943259">
        <w:rPr>
          <w:rFonts w:hint="cs"/>
          <w:vertAlign w:val="superscript"/>
          <w:rtl/>
        </w:rPr>
        <w:t>سادسا</w:t>
      </w:r>
      <w:r w:rsidRPr="00943259">
        <w:rPr>
          <w:vertAlign w:val="superscript"/>
          <w:rtl/>
        </w:rPr>
        <w:t>)</w:t>
      </w:r>
      <w:r w:rsidRPr="00943259">
        <w:rPr>
          <w:rtl/>
        </w:rPr>
        <w:t xml:space="preserve"> من بروتوكول اتفاق مدريد بشأن التسجيل الدولي للعلامات</w:t>
      </w:r>
    </w:p>
    <w:p w:rsidR="00D61541" w:rsidRPr="00D61541" w:rsidRDefault="00943259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="00D61541" w:rsidRPr="00D61541">
        <w:rPr>
          <w:rFonts w:hint="cs"/>
          <w:rtl/>
        </w:rPr>
        <w:t xml:space="preserve">من </w:t>
      </w:r>
      <w:r w:rsidR="00D61541"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المكتب الدولي</w:t>
      </w:r>
    </w:p>
    <w:p w:rsidR="00220323" w:rsidRDefault="00F528F0" w:rsidP="000E799D">
      <w:pPr>
        <w:pStyle w:val="NumberedParaAR"/>
      </w:pPr>
      <w:r>
        <w:rPr>
          <w:rFonts w:hint="cs"/>
          <w:rtl/>
        </w:rPr>
        <w:t>أجرى</w:t>
      </w:r>
      <w:r w:rsidR="00943259">
        <w:rPr>
          <w:rFonts w:hint="cs"/>
          <w:rtl/>
        </w:rPr>
        <w:t xml:space="preserve"> الفريق العامل المعني بالتطوير القانوني لنظام مدريد بشأن التسجيل الدولي للعلامات (المشار إليه فيما يلي بعبارة "الفريق العامل")، في دورته الثالثة عشرة</w:t>
      </w:r>
      <w:r w:rsidR="00943259">
        <w:rPr>
          <w:rStyle w:val="FootnoteReference"/>
          <w:rtl/>
        </w:rPr>
        <w:footnoteReference w:id="1"/>
      </w:r>
      <w:r w:rsidR="00943259">
        <w:rPr>
          <w:rFonts w:hint="cs"/>
          <w:rtl/>
        </w:rPr>
        <w:t xml:space="preserve">، </w:t>
      </w:r>
      <w:r>
        <w:rPr>
          <w:rFonts w:hint="cs"/>
          <w:rtl/>
        </w:rPr>
        <w:t>استعراضا لتطبيق الفقرة</w:t>
      </w:r>
      <w:r w:rsidR="000E799D">
        <w:rPr>
          <w:rFonts w:hint="eastAsia"/>
          <w:rtl/>
        </w:rPr>
        <w:t> </w:t>
      </w:r>
      <w:r>
        <w:rPr>
          <w:rFonts w:hint="cs"/>
          <w:rtl/>
        </w:rPr>
        <w:t>(1)(ب) من المادة</w:t>
      </w:r>
      <w:r>
        <w:rPr>
          <w:rFonts w:hint="eastAsia"/>
          <w:rtl/>
        </w:rPr>
        <w:t> </w:t>
      </w:r>
      <w:r>
        <w:rPr>
          <w:rFonts w:hint="cs"/>
          <w:rtl/>
        </w:rPr>
        <w:t>9</w:t>
      </w:r>
      <w:r w:rsidRPr="00CA5548">
        <w:rPr>
          <w:rFonts w:hint="cs"/>
          <w:vertAlign w:val="superscript"/>
          <w:rtl/>
        </w:rPr>
        <w:t>(سادسا)</w:t>
      </w:r>
      <w:r w:rsidRPr="004D328C">
        <w:rPr>
          <w:rFonts w:hint="cs"/>
          <w:rtl/>
        </w:rPr>
        <w:t xml:space="preserve"> </w:t>
      </w:r>
      <w:r>
        <w:rPr>
          <w:rFonts w:hint="cs"/>
          <w:rtl/>
        </w:rPr>
        <w:t>من بروتوكول اتفاق مدريد بشأن التسجيل الدولي للعلامات (المشار إليهما فيما يلي بعبارتي "البروتوكول" و"الاتفاق")</w:t>
      </w:r>
      <w:r>
        <w:rPr>
          <w:rStyle w:val="FootnoteReference"/>
          <w:rtl/>
        </w:rPr>
        <w:footnoteReference w:id="2"/>
      </w:r>
      <w:r>
        <w:rPr>
          <w:rFonts w:hint="cs"/>
          <w:rtl/>
        </w:rPr>
        <w:t>، كما اتفق عليه الفريق العامل في دورته العاشرة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>.</w:t>
      </w:r>
    </w:p>
    <w:p w:rsidR="00CA5548" w:rsidRDefault="00CA5548" w:rsidP="000E799D">
      <w:pPr>
        <w:pStyle w:val="NumberedParaAR"/>
      </w:pPr>
      <w:r>
        <w:rPr>
          <w:rFonts w:hint="cs"/>
          <w:rtl/>
        </w:rPr>
        <w:t xml:space="preserve">وبعد تقييم المعلومات المُقدمة من المكتب الدولي، اتفق الفريق العامل على أن يوصي جمعية اتحاد مدريد (المشار إليها فيما يلي بعبارة "الجمعية") </w:t>
      </w:r>
      <w:r w:rsidRPr="00CA5548">
        <w:rPr>
          <w:rFonts w:hint="cs"/>
          <w:rtl/>
        </w:rPr>
        <w:t>بعدم إلغاء الفقرة</w:t>
      </w:r>
      <w:r>
        <w:rPr>
          <w:rFonts w:hint="eastAsia"/>
          <w:rtl/>
        </w:rPr>
        <w:t> </w:t>
      </w:r>
      <w:r w:rsidRPr="00CA5548">
        <w:rPr>
          <w:rFonts w:hint="cs"/>
          <w:rtl/>
        </w:rPr>
        <w:t>(1)(ب) من المادة</w:t>
      </w:r>
      <w:r>
        <w:rPr>
          <w:rFonts w:hint="eastAsia"/>
          <w:rtl/>
        </w:rPr>
        <w:t> </w:t>
      </w:r>
      <w:r w:rsidRPr="00CA5548">
        <w:rPr>
          <w:rFonts w:hint="cs"/>
          <w:rtl/>
        </w:rPr>
        <w:t>9</w:t>
      </w:r>
      <w:r w:rsidRPr="00CA5548">
        <w:rPr>
          <w:rFonts w:hint="cs"/>
          <w:vertAlign w:val="superscript"/>
          <w:rtl/>
        </w:rPr>
        <w:t xml:space="preserve">(سادسا) </w:t>
      </w:r>
      <w:r w:rsidRPr="00CA5548">
        <w:rPr>
          <w:rFonts w:hint="cs"/>
          <w:rtl/>
        </w:rPr>
        <w:t>من بروتوكول مدريد وعدم تحديد نطاقها</w:t>
      </w:r>
      <w:r>
        <w:rPr>
          <w:rFonts w:hint="cs"/>
          <w:rtl/>
        </w:rPr>
        <w:t xml:space="preserve">. </w:t>
      </w:r>
      <w:r>
        <w:rPr>
          <w:rFonts w:hint="cs"/>
          <w:rtl/>
        </w:rPr>
        <w:lastRenderedPageBreak/>
        <w:t>وعلاوة</w:t>
      </w:r>
      <w:r w:rsidR="000E799D">
        <w:rPr>
          <w:rFonts w:hint="eastAsia"/>
          <w:rtl/>
        </w:rPr>
        <w:t> </w:t>
      </w:r>
      <w:r>
        <w:rPr>
          <w:rFonts w:hint="cs"/>
          <w:rtl/>
        </w:rPr>
        <w:t>على</w:t>
      </w:r>
      <w:r w:rsidR="000E799D">
        <w:rPr>
          <w:rFonts w:hint="eastAsia"/>
          <w:rtl/>
        </w:rPr>
        <w:t> </w:t>
      </w:r>
      <w:r>
        <w:rPr>
          <w:rFonts w:hint="cs"/>
          <w:rtl/>
        </w:rPr>
        <w:t xml:space="preserve">ذلك، </w:t>
      </w:r>
      <w:r w:rsidR="00C47058">
        <w:rPr>
          <w:rFonts w:hint="cs"/>
          <w:rtl/>
        </w:rPr>
        <w:t>أوصى</w:t>
      </w:r>
      <w:r w:rsidR="00C47058" w:rsidRPr="00C47058">
        <w:rPr>
          <w:rFonts w:hint="cs"/>
          <w:rtl/>
        </w:rPr>
        <w:t xml:space="preserve"> الفريق العامل </w:t>
      </w:r>
      <w:r w:rsidR="00C47058">
        <w:rPr>
          <w:rFonts w:hint="cs"/>
          <w:rtl/>
        </w:rPr>
        <w:t>بأن يتولى هو إجراء</w:t>
      </w:r>
      <w:r w:rsidR="00C47058" w:rsidRPr="00C47058">
        <w:rPr>
          <w:rFonts w:hint="cs"/>
          <w:rtl/>
        </w:rPr>
        <w:t xml:space="preserve"> أي استعراض آخر لتطبيق المادة المذكورة، في أي وقت لاحق، بطلب صريح من أي عضو من أعضاء اتحاد مدريد أو المكتب الدولي</w:t>
      </w:r>
      <w:r w:rsidR="00C47058">
        <w:rPr>
          <w:rStyle w:val="FootnoteReference"/>
          <w:rtl/>
        </w:rPr>
        <w:footnoteReference w:id="4"/>
      </w:r>
      <w:r w:rsidR="00C47058">
        <w:rPr>
          <w:rFonts w:hint="cs"/>
          <w:rtl/>
        </w:rPr>
        <w:t>.</w:t>
      </w:r>
    </w:p>
    <w:p w:rsidR="00C47058" w:rsidRDefault="00260AD6" w:rsidP="000E799D">
      <w:pPr>
        <w:pStyle w:val="NumberedParaAR"/>
      </w:pPr>
      <w:r>
        <w:rPr>
          <w:rFonts w:hint="cs"/>
          <w:rtl/>
        </w:rPr>
        <w:t xml:space="preserve">ويجدر التذكير بأن </w:t>
      </w:r>
      <w:r w:rsidR="004D328C">
        <w:rPr>
          <w:rFonts w:hint="cs"/>
          <w:rtl/>
        </w:rPr>
        <w:t>الجمعية وافقت، في سبتمبر</w:t>
      </w:r>
      <w:r w:rsidR="004D328C">
        <w:rPr>
          <w:rFonts w:hint="eastAsia"/>
          <w:rtl/>
        </w:rPr>
        <w:t> </w:t>
      </w:r>
      <w:r w:rsidR="004D328C">
        <w:rPr>
          <w:rFonts w:hint="cs"/>
          <w:rtl/>
        </w:rPr>
        <w:t>2007، على إدخال تعديلات على المادة</w:t>
      </w:r>
      <w:r w:rsidR="004D328C">
        <w:rPr>
          <w:rFonts w:hint="eastAsia"/>
          <w:rtl/>
        </w:rPr>
        <w:t> </w:t>
      </w:r>
      <w:r w:rsidR="004D328C">
        <w:rPr>
          <w:rFonts w:hint="cs"/>
          <w:rtl/>
        </w:rPr>
        <w:t>9</w:t>
      </w:r>
      <w:r w:rsidR="004D328C" w:rsidRPr="00CA5548">
        <w:rPr>
          <w:rFonts w:hint="cs"/>
          <w:vertAlign w:val="superscript"/>
          <w:rtl/>
        </w:rPr>
        <w:t>(سادسا)</w:t>
      </w:r>
      <w:r w:rsidR="004D328C">
        <w:rPr>
          <w:rFonts w:hint="cs"/>
          <w:rtl/>
        </w:rPr>
        <w:t xml:space="preserve"> </w:t>
      </w:r>
      <w:r w:rsidR="00AF65D5">
        <w:rPr>
          <w:rFonts w:hint="cs"/>
          <w:rtl/>
        </w:rPr>
        <w:t xml:space="preserve">تُرسي المبدأ القاضي بأن البروتوكول هو وحده </w:t>
      </w:r>
      <w:r w:rsidR="008F4451">
        <w:rPr>
          <w:rFonts w:hint="cs"/>
          <w:rtl/>
        </w:rPr>
        <w:t xml:space="preserve">الذي </w:t>
      </w:r>
      <w:r w:rsidR="00AF65D5">
        <w:rPr>
          <w:rFonts w:hint="cs"/>
          <w:rtl/>
        </w:rPr>
        <w:t xml:space="preserve">ينطبق في كل الحالات بين الدول الملزَمة بكل من الاتفاق والبروتوكول، وتُبطل في الوقت ذاته أثر الإعلانات </w:t>
      </w:r>
      <w:r w:rsidR="00A74369">
        <w:rPr>
          <w:rFonts w:hint="cs"/>
          <w:rtl/>
        </w:rPr>
        <w:t>المُقدمة بناء على المادة</w:t>
      </w:r>
      <w:r w:rsidR="008F4451">
        <w:rPr>
          <w:rFonts w:hint="eastAsia"/>
          <w:rtl/>
        </w:rPr>
        <w:t> </w:t>
      </w:r>
      <w:r w:rsidR="00A74369">
        <w:rPr>
          <w:rFonts w:hint="cs"/>
          <w:rtl/>
        </w:rPr>
        <w:t>5(2)(ب) أو المادة</w:t>
      </w:r>
      <w:r w:rsidR="008F4451">
        <w:rPr>
          <w:rFonts w:hint="eastAsia"/>
          <w:rtl/>
        </w:rPr>
        <w:t> </w:t>
      </w:r>
      <w:r w:rsidR="00A74369">
        <w:rPr>
          <w:rFonts w:hint="cs"/>
          <w:rtl/>
        </w:rPr>
        <w:t>5(2)(ج) أو المادة</w:t>
      </w:r>
      <w:r w:rsidR="008F4451">
        <w:rPr>
          <w:rFonts w:hint="eastAsia"/>
          <w:rtl/>
        </w:rPr>
        <w:t> </w:t>
      </w:r>
      <w:r w:rsidR="00A74369">
        <w:rPr>
          <w:rFonts w:hint="cs"/>
          <w:rtl/>
        </w:rPr>
        <w:t>8(7) من البروتوكول في العلاقات المتبادلة بين الدول الملزَمة بكلا المعاهدتين (يُرجى الرجوع إلى الفقرة الجديدة</w:t>
      </w:r>
      <w:r w:rsidR="000E799D">
        <w:rPr>
          <w:rFonts w:hint="eastAsia"/>
          <w:rtl/>
        </w:rPr>
        <w:t> </w:t>
      </w:r>
      <w:r w:rsidR="00A74369">
        <w:rPr>
          <w:rFonts w:hint="cs"/>
          <w:rtl/>
        </w:rPr>
        <w:t>(1)(ب))</w:t>
      </w:r>
      <w:r w:rsidR="00A74369">
        <w:rPr>
          <w:rStyle w:val="FootnoteReference"/>
          <w:rtl/>
        </w:rPr>
        <w:footnoteReference w:id="5"/>
      </w:r>
      <w:r w:rsidR="00A74369">
        <w:rPr>
          <w:rFonts w:hint="cs"/>
          <w:rtl/>
        </w:rPr>
        <w:t>.</w:t>
      </w:r>
    </w:p>
    <w:p w:rsidR="00A74369" w:rsidRDefault="000E799D" w:rsidP="000E799D">
      <w:pPr>
        <w:pStyle w:val="NumberedParaAR"/>
      </w:pPr>
      <w:r>
        <w:rPr>
          <w:rFonts w:hint="cs"/>
          <w:rtl/>
        </w:rPr>
        <w:t>وبالإضافة إلى ذلك</w:t>
      </w:r>
      <w:r w:rsidR="001E6906">
        <w:rPr>
          <w:rFonts w:hint="cs"/>
          <w:rtl/>
        </w:rPr>
        <w:t>، تنص المادة</w:t>
      </w:r>
      <w:r w:rsidR="001E6906">
        <w:rPr>
          <w:rFonts w:hint="eastAsia"/>
          <w:rtl/>
        </w:rPr>
        <w:t> </w:t>
      </w:r>
      <w:r w:rsidR="001E6906">
        <w:rPr>
          <w:rFonts w:hint="cs"/>
          <w:rtl/>
        </w:rPr>
        <w:t>9</w:t>
      </w:r>
      <w:r w:rsidR="001E6906" w:rsidRPr="00CA5548">
        <w:rPr>
          <w:rFonts w:hint="cs"/>
          <w:vertAlign w:val="superscript"/>
          <w:rtl/>
        </w:rPr>
        <w:t>(سادسا)</w:t>
      </w:r>
      <w:r w:rsidR="001E6906">
        <w:rPr>
          <w:rFonts w:hint="cs"/>
          <w:rtl/>
        </w:rPr>
        <w:t xml:space="preserve"> على استعراض الجمعية لتطبيق فقرتها الجديدة</w:t>
      </w:r>
      <w:r w:rsidR="001E6906">
        <w:rPr>
          <w:rFonts w:hint="eastAsia"/>
          <w:rtl/>
        </w:rPr>
        <w:t> </w:t>
      </w:r>
      <w:r w:rsidR="001E6906">
        <w:rPr>
          <w:rFonts w:hint="cs"/>
          <w:rtl/>
        </w:rPr>
        <w:t>(1)(ب)، بعد انقضاء ثلاث سنوات منذ 1</w:t>
      </w:r>
      <w:r w:rsidR="001E6906">
        <w:rPr>
          <w:rFonts w:hint="eastAsia"/>
          <w:rtl/>
        </w:rPr>
        <w:t> </w:t>
      </w:r>
      <w:r w:rsidR="001E6906">
        <w:rPr>
          <w:rFonts w:hint="cs"/>
          <w:rtl/>
        </w:rPr>
        <w:t>سبتمبر</w:t>
      </w:r>
      <w:r w:rsidR="001E6906">
        <w:rPr>
          <w:rFonts w:hint="eastAsia"/>
          <w:rtl/>
        </w:rPr>
        <w:t> </w:t>
      </w:r>
      <w:r w:rsidR="001E6906">
        <w:rPr>
          <w:rFonts w:hint="cs"/>
          <w:rtl/>
        </w:rPr>
        <w:t xml:space="preserve">2008، وهو التاريخ التي بدأ فيه نفاذ التعديلات المُدخلة على </w:t>
      </w:r>
      <w:r>
        <w:rPr>
          <w:rFonts w:hint="cs"/>
          <w:rtl/>
        </w:rPr>
        <w:t>تلك المادة</w:t>
      </w:r>
      <w:r w:rsidR="001E6906">
        <w:rPr>
          <w:rFonts w:hint="cs"/>
          <w:rtl/>
        </w:rPr>
        <w:t>.</w:t>
      </w:r>
    </w:p>
    <w:p w:rsidR="001E6906" w:rsidRDefault="001E6906" w:rsidP="004226E5">
      <w:pPr>
        <w:pStyle w:val="NumberedParaAR"/>
      </w:pPr>
      <w:r>
        <w:rPr>
          <w:rFonts w:hint="cs"/>
          <w:rtl/>
        </w:rPr>
        <w:t>وأجرى الفريق العامل استعراضه الأول للفقرة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(1)(ب) من المادة</w:t>
      </w:r>
      <w:r>
        <w:rPr>
          <w:rFonts w:hint="eastAsia"/>
          <w:rtl/>
        </w:rPr>
        <w:t> </w:t>
      </w:r>
      <w:r>
        <w:rPr>
          <w:rFonts w:hint="cs"/>
          <w:rtl/>
        </w:rPr>
        <w:t>9</w:t>
      </w:r>
      <w:r w:rsidRPr="00CA5548">
        <w:rPr>
          <w:rFonts w:hint="cs"/>
          <w:vertAlign w:val="superscript"/>
          <w:rtl/>
        </w:rPr>
        <w:t>(سادسا)</w:t>
      </w:r>
      <w:r>
        <w:rPr>
          <w:rFonts w:hint="cs"/>
          <w:rtl/>
        </w:rPr>
        <w:t xml:space="preserve"> في دورته </w:t>
      </w:r>
      <w:r w:rsidR="00BF0A75">
        <w:rPr>
          <w:rFonts w:hint="cs"/>
          <w:rtl/>
        </w:rPr>
        <w:t>التاسعة</w:t>
      </w:r>
      <w:r>
        <w:rPr>
          <w:rFonts w:hint="cs"/>
          <w:rtl/>
        </w:rPr>
        <w:t xml:space="preserve"> وأوصى الجمعية ب</w:t>
      </w:r>
      <w:r w:rsidR="00B4093F">
        <w:rPr>
          <w:rFonts w:hint="cs"/>
          <w:rtl/>
        </w:rPr>
        <w:t>ال</w:t>
      </w:r>
      <w:r>
        <w:rPr>
          <w:rFonts w:hint="cs"/>
          <w:rtl/>
        </w:rPr>
        <w:t xml:space="preserve">إبقاء </w:t>
      </w:r>
      <w:r w:rsidR="00B4093F">
        <w:rPr>
          <w:rFonts w:hint="cs"/>
          <w:rtl/>
        </w:rPr>
        <w:t xml:space="preserve">على </w:t>
      </w:r>
      <w:r>
        <w:rPr>
          <w:rFonts w:hint="cs"/>
          <w:rtl/>
        </w:rPr>
        <w:t>الفقرة كما هي</w:t>
      </w:r>
      <w:r w:rsidR="00B4093F">
        <w:rPr>
          <w:rFonts w:hint="cs"/>
          <w:rtl/>
        </w:rPr>
        <w:t>،</w:t>
      </w:r>
      <w:r>
        <w:rPr>
          <w:rFonts w:hint="cs"/>
          <w:rtl/>
        </w:rPr>
        <w:t xml:space="preserve"> في انتظار استعراض آخر بعد مرور ثلاث سنوات</w:t>
      </w:r>
      <w:r w:rsidR="00B4093F">
        <w:rPr>
          <w:rFonts w:hint="cs"/>
          <w:rtl/>
        </w:rPr>
        <w:t>. واعتُمدت تلك التوصية من قبل الجمعية في عام</w:t>
      </w:r>
      <w:r w:rsidR="00B4093F">
        <w:rPr>
          <w:rFonts w:hint="eastAsia"/>
          <w:rtl/>
        </w:rPr>
        <w:t> </w:t>
      </w:r>
      <w:r w:rsidR="00B4093F">
        <w:rPr>
          <w:rFonts w:hint="cs"/>
          <w:rtl/>
        </w:rPr>
        <w:t>2011</w:t>
      </w:r>
      <w:r w:rsidR="00B4093F">
        <w:rPr>
          <w:rStyle w:val="FootnoteReference"/>
          <w:rtl/>
        </w:rPr>
        <w:footnoteReference w:id="6"/>
      </w:r>
      <w:r w:rsidR="00B4093F">
        <w:rPr>
          <w:rFonts w:hint="cs"/>
          <w:rtl/>
        </w:rPr>
        <w:t>.</w:t>
      </w:r>
      <w:r w:rsidR="003F410E">
        <w:rPr>
          <w:rFonts w:hint="cs"/>
          <w:rtl/>
        </w:rPr>
        <w:t xml:space="preserve"> وكما ذُكر في الفقرة</w:t>
      </w:r>
      <w:r w:rsidR="003F410E">
        <w:rPr>
          <w:rFonts w:hint="eastAsia"/>
          <w:rtl/>
        </w:rPr>
        <w:t> </w:t>
      </w:r>
      <w:r w:rsidR="003F410E">
        <w:rPr>
          <w:rFonts w:hint="cs"/>
          <w:rtl/>
        </w:rPr>
        <w:t>1 من هذه الوثيقة، أجرى الفريق العامل ذلك الاستعراض في دورته الثالثة عشرة</w:t>
      </w:r>
      <w:r w:rsidR="00A15406">
        <w:rPr>
          <w:rFonts w:hint="cs"/>
          <w:rtl/>
        </w:rPr>
        <w:t xml:space="preserve"> وأصدر بالتالي التوصية المبيّنة في الفقرة</w:t>
      </w:r>
      <w:r w:rsidR="00A15406">
        <w:rPr>
          <w:rFonts w:hint="eastAsia"/>
          <w:rtl/>
        </w:rPr>
        <w:t> </w:t>
      </w:r>
      <w:r w:rsidR="00A15406">
        <w:rPr>
          <w:rFonts w:hint="cs"/>
          <w:rtl/>
        </w:rPr>
        <w:t>2 من هذه الوثيقة.</w:t>
      </w:r>
    </w:p>
    <w:p w:rsidR="00A15406" w:rsidRDefault="00A15406" w:rsidP="00A15406">
      <w:pPr>
        <w:pStyle w:val="DecisionParaAR"/>
      </w:pPr>
      <w:r>
        <w:rPr>
          <w:rFonts w:hint="cs"/>
          <w:rtl/>
        </w:rPr>
        <w:t>إن الجمعية مدعوة إلى ما يلي:</w:t>
      </w:r>
    </w:p>
    <w:p w:rsidR="00A15406" w:rsidRDefault="00A15406" w:rsidP="004226E5">
      <w:pPr>
        <w:pStyle w:val="DecisionParaAR"/>
        <w:numPr>
          <w:ilvl w:val="0"/>
          <w:numId w:val="0"/>
        </w:numPr>
        <w:ind w:left="623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الإحاطة علما بمضمون "</w:t>
      </w:r>
      <w:r w:rsidRPr="00A15406">
        <w:rPr>
          <w:rtl/>
        </w:rPr>
        <w:t>استعراض تطبيق المادة 9</w:t>
      </w:r>
      <w:r w:rsidRPr="00A15406">
        <w:rPr>
          <w:vertAlign w:val="superscript"/>
          <w:rtl/>
        </w:rPr>
        <w:t>(سادسا)</w:t>
      </w:r>
      <w:r w:rsidRPr="00A15406">
        <w:rPr>
          <w:rtl/>
        </w:rPr>
        <w:t xml:space="preserve"> من بروتوكول اتفاق مدريد بشأن التسجيل الدولي للعلامات</w:t>
      </w:r>
      <w:r>
        <w:rPr>
          <w:rFonts w:hint="cs"/>
          <w:rtl/>
        </w:rPr>
        <w:t>" (الوثيقة</w:t>
      </w:r>
      <w:r w:rsidR="004226E5">
        <w:rPr>
          <w:rFonts w:hint="eastAsia"/>
          <w:rtl/>
        </w:rPr>
        <w:t> </w:t>
      </w:r>
      <w:r w:rsidRPr="00A15406">
        <w:t>MM/A/50/2</w:t>
      </w:r>
      <w:r>
        <w:rPr>
          <w:rFonts w:hint="cs"/>
          <w:rtl/>
        </w:rPr>
        <w:t>)؛</w:t>
      </w:r>
    </w:p>
    <w:p w:rsidR="00A15406" w:rsidRDefault="00A15406" w:rsidP="004226E5">
      <w:pPr>
        <w:pStyle w:val="DecisionParaAR"/>
        <w:numPr>
          <w:ilvl w:val="0"/>
          <w:numId w:val="0"/>
        </w:numPr>
        <w:spacing w:after="480"/>
        <w:ind w:left="6237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واعتماد التوصية المُقدمة من الفريق الع</w:t>
      </w:r>
      <w:r w:rsidR="004226E5">
        <w:rPr>
          <w:rFonts w:hint="cs"/>
          <w:rtl/>
        </w:rPr>
        <w:t>ا</w:t>
      </w:r>
      <w:r>
        <w:rPr>
          <w:rFonts w:hint="cs"/>
          <w:rtl/>
        </w:rPr>
        <w:t>مل، كما وردت في الفقرة</w:t>
      </w:r>
      <w:r w:rsidR="004226E5">
        <w:rPr>
          <w:rFonts w:hint="eastAsia"/>
          <w:rtl/>
        </w:rPr>
        <w:t> </w:t>
      </w:r>
      <w:r>
        <w:rPr>
          <w:rFonts w:hint="cs"/>
          <w:rtl/>
        </w:rPr>
        <w:t>2 من الوثيقة المذكورة أعلاه.</w:t>
      </w:r>
    </w:p>
    <w:p w:rsidR="00A15406" w:rsidRDefault="00A15406" w:rsidP="00A15406">
      <w:pPr>
        <w:pStyle w:val="EndofDocumentAR"/>
      </w:pPr>
      <w:r>
        <w:rPr>
          <w:rFonts w:hint="cs"/>
          <w:rtl/>
        </w:rPr>
        <w:t>[نهاية الوثيقة]</w:t>
      </w:r>
    </w:p>
    <w:sectPr w:rsidR="00A1540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1C2" w:rsidRDefault="008A21C2">
      <w:r>
        <w:separator/>
      </w:r>
    </w:p>
  </w:endnote>
  <w:endnote w:type="continuationSeparator" w:id="0">
    <w:p w:rsidR="008A21C2" w:rsidRDefault="008A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1C2" w:rsidRDefault="008A21C2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A21C2" w:rsidRDefault="008A21C2" w:rsidP="009622BF">
      <w:pPr>
        <w:bidi/>
      </w:pPr>
      <w:r>
        <w:separator/>
      </w:r>
    </w:p>
  </w:footnote>
  <w:footnote w:id="1">
    <w:p w:rsidR="00943259" w:rsidRDefault="00943259" w:rsidP="000E799D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  <w:t>عُقدت الدورة الثالثة عشرة للفريق العامل في جنيف في الفترة من 2</w:t>
      </w:r>
      <w:r w:rsidR="000E799D">
        <w:rPr>
          <w:rFonts w:hint="eastAsia"/>
          <w:rtl/>
        </w:rPr>
        <w:t> </w:t>
      </w:r>
      <w:r>
        <w:rPr>
          <w:rFonts w:hint="cs"/>
          <w:rtl/>
        </w:rPr>
        <w:t>إلى 6</w:t>
      </w:r>
      <w:r w:rsidR="000E799D">
        <w:rPr>
          <w:rFonts w:hint="eastAsia"/>
          <w:rtl/>
        </w:rPr>
        <w:t> </w:t>
      </w:r>
      <w:r>
        <w:rPr>
          <w:rFonts w:hint="cs"/>
          <w:rtl/>
        </w:rPr>
        <w:t>نوفمبر</w:t>
      </w:r>
      <w:r w:rsidR="000E799D">
        <w:rPr>
          <w:rFonts w:hint="eastAsia"/>
          <w:rtl/>
        </w:rPr>
        <w:t> </w:t>
      </w:r>
      <w:r>
        <w:rPr>
          <w:rFonts w:hint="cs"/>
          <w:rtl/>
        </w:rPr>
        <w:t>2015.</w:t>
      </w:r>
    </w:p>
  </w:footnote>
  <w:footnote w:id="2">
    <w:p w:rsidR="00F528F0" w:rsidRDefault="00F528F0" w:rsidP="000E799D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F528F0">
        <w:t>MM/LD/WG/13/3</w:t>
      </w:r>
      <w:r>
        <w:rPr>
          <w:rFonts w:hint="cs"/>
          <w:rtl/>
        </w:rPr>
        <w:t xml:space="preserve"> "</w:t>
      </w:r>
      <w:r w:rsidRPr="00F528F0">
        <w:rPr>
          <w:rFonts w:ascii="Arial" w:hAnsi="Arial" w:cs="Arial"/>
          <w:sz w:val="22"/>
          <w:szCs w:val="20"/>
          <w:rtl/>
        </w:rPr>
        <w:t xml:space="preserve"> </w:t>
      </w:r>
      <w:r w:rsidRPr="00F528F0">
        <w:rPr>
          <w:rtl/>
        </w:rPr>
        <w:t>المعلومات المتعلقة باستعراض تطبيق المادة</w:t>
      </w:r>
      <w:r w:rsidR="000E799D">
        <w:rPr>
          <w:rFonts w:hint="cs"/>
          <w:rtl/>
        </w:rPr>
        <w:t> </w:t>
      </w:r>
      <w:r w:rsidRPr="00F528F0">
        <w:rPr>
          <w:rtl/>
        </w:rPr>
        <w:t>9</w:t>
      </w:r>
      <w:r w:rsidRPr="00F528F0">
        <w:rPr>
          <w:vertAlign w:val="superscript"/>
          <w:rtl/>
        </w:rPr>
        <w:t>(سادسا)</w:t>
      </w:r>
      <w:r w:rsidRPr="00F528F0">
        <w:rPr>
          <w:rtl/>
        </w:rPr>
        <w:t>(1)(ب) من بروتوكول اتفاق مدريد بشأن التسجيل الدولي للعلامات</w:t>
      </w:r>
      <w:r>
        <w:rPr>
          <w:rFonts w:hint="cs"/>
          <w:rtl/>
        </w:rPr>
        <w:t xml:space="preserve"> (</w:t>
      </w:r>
      <w:r w:rsidRPr="00F528F0">
        <w:t>http://www.wipo.int/meetings/</w:t>
      </w:r>
      <w:r>
        <w:t>ar</w:t>
      </w:r>
      <w:r w:rsidRPr="00F528F0">
        <w:t>/doc_details.jsp?doc_id=313057</w:t>
      </w:r>
      <w:r>
        <w:rPr>
          <w:rFonts w:hint="cs"/>
          <w:rtl/>
        </w:rPr>
        <w:t>).</w:t>
      </w:r>
    </w:p>
  </w:footnote>
  <w:footnote w:id="3">
    <w:p w:rsidR="00F528F0" w:rsidRDefault="00F528F0" w:rsidP="00CA5548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Fonts w:hint="cs"/>
          <w:rtl/>
        </w:rPr>
        <w:t>انظر الفقرة</w:t>
      </w:r>
      <w:r>
        <w:rPr>
          <w:rFonts w:hint="eastAsia"/>
          <w:rtl/>
        </w:rPr>
        <w:t> </w:t>
      </w:r>
      <w:r>
        <w:rPr>
          <w:rFonts w:hint="cs"/>
          <w:rtl/>
        </w:rPr>
        <w:t>16 من الوثيقة</w:t>
      </w:r>
      <w:r>
        <w:rPr>
          <w:rFonts w:hint="eastAsia"/>
          <w:rtl/>
        </w:rPr>
        <w:t> </w:t>
      </w:r>
      <w:r w:rsidRPr="00F528F0">
        <w:t>MM/LD/WG/10/7</w:t>
      </w:r>
      <w:r w:rsidR="00CA5548">
        <w:rPr>
          <w:rFonts w:hint="cs"/>
          <w:rtl/>
        </w:rPr>
        <w:t xml:space="preserve"> "ملخص الرئيس" (</w:t>
      </w:r>
      <w:r w:rsidR="00CA5548" w:rsidRPr="00CA5548">
        <w:t>http://www.wipo.int/meetings/en/doc_details.jsp?doc_id=210569</w:t>
      </w:r>
      <w:r w:rsidR="00CA5548">
        <w:rPr>
          <w:rFonts w:hint="cs"/>
          <w:rtl/>
        </w:rPr>
        <w:t>).</w:t>
      </w:r>
    </w:p>
  </w:footnote>
  <w:footnote w:id="4">
    <w:p w:rsidR="00C47058" w:rsidRDefault="00C47058" w:rsidP="00A74369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Fonts w:hint="cs"/>
          <w:rtl/>
        </w:rPr>
        <w:t>انظر الفقرة</w:t>
      </w:r>
      <w:r w:rsidR="00A74369">
        <w:rPr>
          <w:rFonts w:hint="eastAsia"/>
          <w:rtl/>
        </w:rPr>
        <w:t> </w:t>
      </w:r>
      <w:r>
        <w:rPr>
          <w:rFonts w:hint="cs"/>
          <w:rtl/>
        </w:rPr>
        <w:t>15 من الوثيقة</w:t>
      </w:r>
      <w:r w:rsidR="00A74369">
        <w:rPr>
          <w:rFonts w:hint="eastAsia"/>
          <w:rtl/>
        </w:rPr>
        <w:t> </w:t>
      </w:r>
      <w:r w:rsidRPr="00C47058">
        <w:t>MM/LD/WG/13/9</w:t>
      </w:r>
      <w:r>
        <w:rPr>
          <w:rFonts w:hint="cs"/>
          <w:rtl/>
        </w:rPr>
        <w:t xml:space="preserve"> "ملخص الرئيس" (</w:t>
      </w:r>
      <w:r w:rsidRPr="00C47058">
        <w:t>http://www.wipo.int/meetings/</w:t>
      </w:r>
      <w:r>
        <w:t>ar</w:t>
      </w:r>
      <w:r w:rsidRPr="00C47058">
        <w:t>/doc_details.jsp?doc_id=320418</w:t>
      </w:r>
      <w:r>
        <w:rPr>
          <w:rFonts w:hint="cs"/>
          <w:rtl/>
        </w:rPr>
        <w:t>).</w:t>
      </w:r>
    </w:p>
  </w:footnote>
  <w:footnote w:id="5">
    <w:p w:rsidR="00A74369" w:rsidRDefault="00A74369" w:rsidP="00A74369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Fonts w:hint="cs"/>
          <w:rtl/>
        </w:rPr>
        <w:t>انظر الوثيقة</w:t>
      </w:r>
      <w:r>
        <w:rPr>
          <w:rFonts w:hint="eastAsia"/>
          <w:rtl/>
        </w:rPr>
        <w:t> </w:t>
      </w:r>
      <w:r w:rsidRPr="00A74369">
        <w:t>MM/A/38/2</w:t>
      </w:r>
      <w:r>
        <w:rPr>
          <w:rFonts w:hint="cs"/>
          <w:rtl/>
        </w:rPr>
        <w:t xml:space="preserve"> "استعراض بند الضمان والتعديلات ذات الصبة المدخلة على بروتوكول مدريد واللائحة التنفيذية المشتركة" (</w:t>
      </w:r>
      <w:r w:rsidRPr="00A74369">
        <w:rPr>
          <w:bCs/>
        </w:rPr>
        <w:t>http://www.wipo.int/meetings/en/doc_details.jsp?doc_id=82798</w:t>
      </w:r>
      <w:r>
        <w:rPr>
          <w:rFonts w:hint="cs"/>
          <w:rtl/>
        </w:rPr>
        <w:t>).</w:t>
      </w:r>
    </w:p>
  </w:footnote>
  <w:footnote w:id="6">
    <w:p w:rsidR="00B4093F" w:rsidRDefault="00B4093F" w:rsidP="00B4093F">
      <w:pPr>
        <w:pStyle w:val="FootnoteText"/>
      </w:pPr>
      <w:r>
        <w:rPr>
          <w:rStyle w:val="FootnoteReference"/>
        </w:rPr>
        <w:footnoteRef/>
      </w:r>
      <w:r>
        <w:rPr>
          <w:rFonts w:hint="cs"/>
          <w:rtl/>
        </w:rPr>
        <w:tab/>
      </w:r>
      <w:r>
        <w:rPr>
          <w:rFonts w:hint="cs"/>
          <w:rtl/>
        </w:rPr>
        <w:t>عُقدت الدورة الرابعة والأربعون (الدورة العادية التاسعة عشرة) لجمعية اتحاد مدريد في جنيف في الفترة من 26</w:t>
      </w:r>
      <w:r>
        <w:rPr>
          <w:rFonts w:hint="eastAsia"/>
          <w:rtl/>
        </w:rPr>
        <w:t> </w:t>
      </w:r>
      <w:r>
        <w:rPr>
          <w:rFonts w:hint="cs"/>
          <w:rtl/>
        </w:rPr>
        <w:t>سبتمبر إلى 5</w:t>
      </w:r>
      <w:r>
        <w:rPr>
          <w:rFonts w:hint="eastAsia"/>
          <w:rtl/>
        </w:rPr>
        <w:t> </w:t>
      </w:r>
      <w:r>
        <w:rPr>
          <w:rFonts w:hint="cs"/>
          <w:rtl/>
        </w:rPr>
        <w:t>أكتوبر</w:t>
      </w:r>
      <w:r>
        <w:rPr>
          <w:rFonts w:hint="eastAsia"/>
          <w:rtl/>
        </w:rPr>
        <w:t> </w:t>
      </w:r>
      <w:r>
        <w:rPr>
          <w:rFonts w:hint="cs"/>
          <w:rtl/>
        </w:rPr>
        <w:t>2011.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1775E" w:rsidP="008A5F73">
    <w:r>
      <w:t>MM</w:t>
    </w:r>
    <w:r w:rsidR="00772E46">
      <w:t>/</w:t>
    </w:r>
    <w:r w:rsidR="0059089F">
      <w:t>A</w:t>
    </w:r>
    <w:r w:rsidR="002F77FC">
      <w:t>/</w:t>
    </w:r>
    <w:r w:rsidR="00220323">
      <w:t>50</w:t>
    </w:r>
    <w:r w:rsidR="00C47058">
      <w:t>/2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473A1F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C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38DD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49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1D02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BA7"/>
    <w:rsid w:val="000E06A5"/>
    <w:rsid w:val="000E16EB"/>
    <w:rsid w:val="000E591F"/>
    <w:rsid w:val="000E5A23"/>
    <w:rsid w:val="000E6045"/>
    <w:rsid w:val="000E7872"/>
    <w:rsid w:val="000E799D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906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323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0AD6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10E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6E5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A1F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28C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5A56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296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21C2"/>
    <w:rsid w:val="008A47FB"/>
    <w:rsid w:val="008A5234"/>
    <w:rsid w:val="008A5397"/>
    <w:rsid w:val="008A5F73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451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3259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406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369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2B2"/>
    <w:rsid w:val="00AC2FD0"/>
    <w:rsid w:val="00AC3DBD"/>
    <w:rsid w:val="00AC3E1F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5D5"/>
    <w:rsid w:val="00AF6FC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6F62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093F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0A75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7058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548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E1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75E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28F0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0B8E-6DCF-418A-B690-B5E59CD6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MM/A/50/2 (Arabic)</vt:lpstr>
    </vt:vector>
  </TitlesOfParts>
  <Company>World Intellectual Property Organization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MM/A/50/2 (Arabic)</dc:title>
  <dc:creator>وثيقة من إعداد المكتب الدولي</dc:creator>
  <cp:lastModifiedBy>DORE Marie-Pierre</cp:lastModifiedBy>
  <cp:revision>2</cp:revision>
  <cp:lastPrinted>2016-06-10T12:09:00Z</cp:lastPrinted>
  <dcterms:created xsi:type="dcterms:W3CDTF">2016-06-13T06:26:00Z</dcterms:created>
  <dcterms:modified xsi:type="dcterms:W3CDTF">2016-06-13T06:26:00Z</dcterms:modified>
</cp:coreProperties>
</file>