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BEC4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5F7F2F" w:rsidP="00EE1A0A">
      <w:pPr>
        <w:bidi w:val="0"/>
        <w:rPr>
          <w:rFonts w:ascii="Arial Black" w:hAnsi="Arial Black"/>
          <w:caps/>
          <w:sz w:val="15"/>
          <w:szCs w:val="15"/>
        </w:rPr>
      </w:pPr>
      <w:bookmarkStart w:id="0" w:name="Code"/>
      <w:bookmarkEnd w:id="0"/>
      <w:r w:rsidRPr="005F7F2F">
        <w:rPr>
          <w:rFonts w:ascii="Arial Black" w:hAnsi="Arial Black"/>
          <w:caps/>
          <w:sz w:val="15"/>
          <w:szCs w:val="15"/>
        </w:rPr>
        <w:t>MM/A/</w:t>
      </w:r>
      <w:r w:rsidR="00EE1A0A">
        <w:rPr>
          <w:rFonts w:ascii="Arial Black" w:hAnsi="Arial Black"/>
          <w:caps/>
          <w:sz w:val="15"/>
          <w:szCs w:val="15"/>
        </w:rPr>
        <w:t>56</w:t>
      </w:r>
      <w:r w:rsidRPr="005F7F2F">
        <w:rPr>
          <w:rFonts w:ascii="Arial Black" w:hAnsi="Arial Black"/>
          <w:caps/>
          <w:sz w:val="15"/>
          <w:szCs w:val="15"/>
        </w:rPr>
        <w:t>/</w:t>
      </w:r>
      <w:r w:rsidR="00731EF3">
        <w:rPr>
          <w:rFonts w:ascii="Arial Black" w:hAnsi="Arial Black"/>
          <w:caps/>
          <w:sz w:val="15"/>
          <w:szCs w:val="15"/>
        </w:rPr>
        <w:t>INF/</w:t>
      </w:r>
      <w:r w:rsidRPr="005F7F2F">
        <w:rPr>
          <w:rFonts w:ascii="Arial Black" w:hAnsi="Arial Black"/>
          <w:caps/>
          <w:sz w:val="15"/>
          <w:szCs w:val="15"/>
        </w:rPr>
        <w:t>1</w:t>
      </w:r>
    </w:p>
    <w:p w:rsidR="008B2CC1" w:rsidRPr="005838B2" w:rsidRDefault="00CC3E2D" w:rsidP="00CC3E2D">
      <w:pPr>
        <w:jc w:val="right"/>
        <w:rPr>
          <w:rFonts w:asciiTheme="minorHAnsi" w:hAnsiTheme="minorHAnsi" w:cstheme="minorHAnsi"/>
          <w:b/>
          <w:bCs/>
          <w:caps/>
          <w:sz w:val="15"/>
          <w:szCs w:val="15"/>
        </w:rPr>
      </w:pPr>
      <w:bookmarkStart w:id="1" w:name="Original"/>
      <w:r w:rsidRPr="005838B2">
        <w:rPr>
          <w:rFonts w:asciiTheme="minorHAnsi" w:hAnsiTheme="minorHAnsi" w:cstheme="minorHAnsi" w:hint="cs"/>
          <w:b/>
          <w:bCs/>
          <w:caps/>
          <w:sz w:val="15"/>
          <w:szCs w:val="15"/>
          <w:rtl/>
        </w:rPr>
        <w:t xml:space="preserve">الأصل: </w:t>
      </w:r>
      <w:r w:rsidR="005F7F2F" w:rsidRPr="005838B2">
        <w:rPr>
          <w:rFonts w:asciiTheme="minorHAnsi" w:hAnsiTheme="minorHAnsi" w:cstheme="minorHAnsi" w:hint="cs"/>
          <w:b/>
          <w:bCs/>
          <w:caps/>
          <w:sz w:val="15"/>
          <w:szCs w:val="15"/>
          <w:rtl/>
        </w:rPr>
        <w:t>بالإنكليزية</w:t>
      </w:r>
    </w:p>
    <w:p w:rsidR="008B2CC1" w:rsidRPr="005838B2" w:rsidRDefault="00CC3E2D" w:rsidP="00C32596">
      <w:pPr>
        <w:spacing w:after="1200"/>
        <w:jc w:val="right"/>
        <w:rPr>
          <w:rFonts w:asciiTheme="minorHAnsi" w:hAnsiTheme="minorHAnsi" w:cstheme="minorHAnsi"/>
          <w:b/>
          <w:bCs/>
          <w:caps/>
          <w:sz w:val="15"/>
          <w:szCs w:val="15"/>
        </w:rPr>
      </w:pPr>
      <w:bookmarkStart w:id="2" w:name="Date"/>
      <w:bookmarkEnd w:id="1"/>
      <w:r w:rsidRPr="005838B2">
        <w:rPr>
          <w:rFonts w:asciiTheme="minorHAnsi" w:hAnsiTheme="minorHAnsi" w:cstheme="minorHAnsi" w:hint="cs"/>
          <w:b/>
          <w:bCs/>
          <w:caps/>
          <w:sz w:val="15"/>
          <w:szCs w:val="15"/>
          <w:rtl/>
        </w:rPr>
        <w:t xml:space="preserve">التاريخ: </w:t>
      </w:r>
      <w:r w:rsidR="00C32596" w:rsidRPr="005838B2">
        <w:rPr>
          <w:rFonts w:asciiTheme="minorHAnsi" w:hAnsiTheme="minorHAnsi" w:cstheme="minorHAnsi" w:hint="cs"/>
          <w:b/>
          <w:bCs/>
          <w:caps/>
          <w:sz w:val="15"/>
          <w:szCs w:val="15"/>
          <w:rtl/>
        </w:rPr>
        <w:t>1 يوليو</w:t>
      </w:r>
      <w:r w:rsidR="005F7F2F" w:rsidRPr="005838B2">
        <w:rPr>
          <w:rFonts w:asciiTheme="minorHAnsi" w:hAnsiTheme="minorHAnsi" w:cstheme="minorHAnsi" w:hint="cs"/>
          <w:b/>
          <w:bCs/>
          <w:caps/>
          <w:sz w:val="15"/>
          <w:szCs w:val="15"/>
          <w:rtl/>
        </w:rPr>
        <w:t xml:space="preserve"> </w:t>
      </w:r>
      <w:r w:rsidR="00EE1A0A" w:rsidRPr="005838B2">
        <w:rPr>
          <w:rFonts w:asciiTheme="minorHAnsi" w:hAnsiTheme="minorHAnsi" w:cstheme="minorHAnsi" w:hint="cs"/>
          <w:b/>
          <w:bCs/>
          <w:caps/>
          <w:sz w:val="15"/>
          <w:szCs w:val="15"/>
          <w:rtl/>
        </w:rPr>
        <w:t>2022</w:t>
      </w:r>
    </w:p>
    <w:bookmarkEnd w:id="2"/>
    <w:p w:rsidR="008B2CC1" w:rsidRDefault="005F7F2F" w:rsidP="0019592A">
      <w:pPr>
        <w:pStyle w:val="Heading1"/>
        <w:rPr>
          <w:rtl/>
        </w:rPr>
      </w:pPr>
      <w:r w:rsidRPr="005F7F2F">
        <w:rPr>
          <w:rtl/>
        </w:rPr>
        <w:t>الاتحاد الخاص للتسجيل الدولي للعلامات (اتحاد مدريد)</w:t>
      </w:r>
    </w:p>
    <w:p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bookmarkStart w:id="3" w:name="_GoBack"/>
      <w:bookmarkEnd w:id="3"/>
    </w:p>
    <w:p w:rsidR="00A90F0A" w:rsidRPr="00D67EAE" w:rsidRDefault="00EE1A0A" w:rsidP="00EE1A0A">
      <w:pPr>
        <w:outlineLvl w:val="1"/>
        <w:rPr>
          <w:rFonts w:asciiTheme="minorHAnsi" w:hAnsiTheme="minorHAnsi" w:cstheme="minorHAnsi"/>
          <w:bCs/>
          <w:sz w:val="24"/>
          <w:szCs w:val="24"/>
        </w:rPr>
      </w:pPr>
      <w:r w:rsidRPr="00EE1A0A">
        <w:rPr>
          <w:rFonts w:asciiTheme="minorHAnsi" w:hAnsiTheme="minorHAnsi"/>
          <w:bCs/>
          <w:sz w:val="24"/>
          <w:szCs w:val="24"/>
          <w:rtl/>
        </w:rPr>
        <w:t>الدورة السادسة والخمسون (الدورة الاستثنائية الثانية والثلاثون)</w:t>
      </w:r>
    </w:p>
    <w:p w:rsidR="008B2CC1" w:rsidRPr="00D67EAE" w:rsidRDefault="00D67EAE" w:rsidP="00FD72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D7235">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EE1A0A">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EE1A0A">
        <w:rPr>
          <w:rFonts w:asciiTheme="minorHAnsi" w:hAnsiTheme="minorHAnsi" w:cstheme="minorHAnsi" w:hint="cs"/>
          <w:bCs/>
          <w:sz w:val="24"/>
          <w:szCs w:val="24"/>
          <w:rtl/>
        </w:rPr>
        <w:t>يوليو 2022</w:t>
      </w:r>
    </w:p>
    <w:p w:rsidR="008B2CC1" w:rsidRPr="00D67EAE" w:rsidRDefault="00C32596" w:rsidP="00731EF3">
      <w:pPr>
        <w:spacing w:after="360"/>
        <w:outlineLvl w:val="0"/>
        <w:rPr>
          <w:rFonts w:asciiTheme="minorHAnsi" w:hAnsiTheme="minorHAnsi" w:cstheme="minorHAnsi"/>
          <w:caps/>
          <w:sz w:val="24"/>
        </w:rPr>
      </w:pPr>
      <w:bookmarkStart w:id="4" w:name="TitleOfDoc"/>
      <w:r>
        <w:rPr>
          <w:rFonts w:asciiTheme="minorHAnsi" w:hAnsiTheme="minorHAnsi"/>
          <w:caps/>
          <w:sz w:val="28"/>
          <w:szCs w:val="24"/>
          <w:rtl/>
        </w:rPr>
        <w:t>فائض اتحاد مدريد للثنائي</w:t>
      </w:r>
      <w:r>
        <w:rPr>
          <w:rFonts w:asciiTheme="minorHAnsi" w:hAnsiTheme="minorHAnsi" w:hint="cs"/>
          <w:caps/>
          <w:sz w:val="28"/>
          <w:szCs w:val="24"/>
          <w:rtl/>
        </w:rPr>
        <w:t>تين 2018/19 و</w:t>
      </w:r>
      <w:r w:rsidR="00731EF3" w:rsidRPr="00731EF3">
        <w:rPr>
          <w:rFonts w:asciiTheme="minorHAnsi" w:hAnsiTheme="minorHAnsi"/>
          <w:caps/>
          <w:sz w:val="28"/>
          <w:szCs w:val="24"/>
          <w:rtl/>
        </w:rPr>
        <w:t>2020/21</w:t>
      </w:r>
    </w:p>
    <w:p w:rsidR="002928D3" w:rsidRDefault="00D67EAE" w:rsidP="00C32596">
      <w:pPr>
        <w:spacing w:after="1040"/>
        <w:rPr>
          <w:rFonts w:asciiTheme="minorHAnsi" w:hAnsiTheme="minorHAnsi" w:cstheme="minorHAnsi"/>
          <w:iCs/>
        </w:rPr>
      </w:pPr>
      <w:bookmarkStart w:id="5" w:name="Prepared"/>
      <w:bookmarkEnd w:id="4"/>
      <w:bookmarkEnd w:id="5"/>
      <w:r w:rsidRPr="00D67EAE">
        <w:rPr>
          <w:rFonts w:asciiTheme="minorHAnsi" w:hAnsiTheme="minorHAnsi" w:cstheme="minorHAnsi" w:hint="cs"/>
          <w:iCs/>
          <w:rtl/>
        </w:rPr>
        <w:t>وثيقة من إعداد</w:t>
      </w:r>
      <w:r w:rsidR="005F7F2F">
        <w:rPr>
          <w:rFonts w:asciiTheme="minorHAnsi" w:hAnsiTheme="minorHAnsi" w:cstheme="minorHAnsi" w:hint="cs"/>
          <w:iCs/>
          <w:rtl/>
        </w:rPr>
        <w:t xml:space="preserve"> </w:t>
      </w:r>
      <w:r w:rsidR="00C32596">
        <w:rPr>
          <w:rFonts w:asciiTheme="minorHAnsi" w:hAnsiTheme="minorHAnsi" w:cstheme="minorHAnsi" w:hint="cs"/>
          <w:iCs/>
          <w:rtl/>
        </w:rPr>
        <w:t>الأمانة</w:t>
      </w:r>
    </w:p>
    <w:p w:rsidR="00C32596" w:rsidRDefault="00C32596" w:rsidP="00C32596">
      <w:pPr>
        <w:pStyle w:val="ONUMA"/>
      </w:pPr>
      <w:r w:rsidRPr="00C32596">
        <w:rPr>
          <w:rtl/>
        </w:rPr>
        <w:t xml:space="preserve">الهدف من هذه الوثيقة هو تزويد الدول الأعضاء </w:t>
      </w:r>
      <w:r>
        <w:rPr>
          <w:rFonts w:hint="cs"/>
          <w:rtl/>
        </w:rPr>
        <w:t>ببيان</w:t>
      </w:r>
      <w:r>
        <w:rPr>
          <w:rtl/>
        </w:rPr>
        <w:t xml:space="preserve"> شفاف ومحدث</w:t>
      </w:r>
      <w:r w:rsidRPr="00C32596">
        <w:rPr>
          <w:rtl/>
        </w:rPr>
        <w:t xml:space="preserve"> بالكامل </w:t>
      </w:r>
      <w:r>
        <w:rPr>
          <w:rFonts w:hint="cs"/>
          <w:rtl/>
        </w:rPr>
        <w:t xml:space="preserve">عن فائض </w:t>
      </w:r>
      <w:r w:rsidRPr="00C32596">
        <w:rPr>
          <w:rtl/>
        </w:rPr>
        <w:t xml:space="preserve">اتحاد مدريد </w:t>
      </w:r>
      <w:r>
        <w:rPr>
          <w:rFonts w:hint="cs"/>
          <w:rtl/>
        </w:rPr>
        <w:t>للثنائيتين</w:t>
      </w:r>
      <w:r w:rsidRPr="00C32596">
        <w:rPr>
          <w:rtl/>
        </w:rPr>
        <w:t xml:space="preserve"> 2018/19 و2020/21 وصافي أصول</w:t>
      </w:r>
      <w:r>
        <w:rPr>
          <w:rtl/>
        </w:rPr>
        <w:t xml:space="preserve"> اتحاد مدريد في 31 ديسمبر 2021</w:t>
      </w:r>
      <w:r>
        <w:rPr>
          <w:rFonts w:hint="cs"/>
          <w:rtl/>
        </w:rPr>
        <w:t>.</w:t>
      </w:r>
    </w:p>
    <w:p w:rsidR="00C176B5" w:rsidRDefault="00C32596" w:rsidP="005838B2">
      <w:pPr>
        <w:pStyle w:val="ONUMA"/>
      </w:pPr>
      <w:r>
        <w:rPr>
          <w:rFonts w:hint="cs"/>
          <w:rtl/>
        </w:rPr>
        <w:t>و</w:t>
      </w:r>
      <w:r w:rsidR="00C176B5" w:rsidRPr="00C176B5">
        <w:rPr>
          <w:rtl/>
        </w:rPr>
        <w:t>حقّق نظام مدريد فائضا</w:t>
      </w:r>
      <w:r>
        <w:rPr>
          <w:rFonts w:hint="cs"/>
          <w:rtl/>
        </w:rPr>
        <w:t>ً</w:t>
      </w:r>
      <w:r w:rsidR="00C176B5" w:rsidRPr="00C176B5">
        <w:rPr>
          <w:rtl/>
        </w:rPr>
        <w:t xml:space="preserve"> في الإيرادات بمبلغ قدره</w:t>
      </w:r>
      <w:r>
        <w:rPr>
          <w:rFonts w:hint="cs"/>
          <w:rtl/>
        </w:rPr>
        <w:t xml:space="preserve"> 15.9 مليون فرنك سويسري</w:t>
      </w:r>
      <w:r w:rsidR="00E139E7" w:rsidRPr="00E139E7">
        <w:rPr>
          <w:rStyle w:val="FootnoteReference"/>
          <w:rFonts w:ascii="Calibri" w:hAnsi="Calibri" w:cs="Calibri"/>
          <w:sz w:val="22"/>
          <w:szCs w:val="22"/>
          <w:rtl/>
        </w:rPr>
        <w:footnoteReference w:id="2"/>
      </w:r>
      <w:r>
        <w:rPr>
          <w:rFonts w:hint="cs"/>
          <w:rtl/>
        </w:rPr>
        <w:t xml:space="preserve"> للثنائية 2018/19، و</w:t>
      </w:r>
      <w:r w:rsidR="00C176B5">
        <w:rPr>
          <w:rFonts w:hint="cs"/>
          <w:rtl/>
        </w:rPr>
        <w:t xml:space="preserve">22.5 </w:t>
      </w:r>
      <w:r w:rsidR="00C176B5" w:rsidRPr="00C176B5">
        <w:rPr>
          <w:rtl/>
        </w:rPr>
        <w:t>مليون فرنك سويسري للثنائية 20</w:t>
      </w:r>
      <w:r w:rsidR="00C176B5">
        <w:rPr>
          <w:rFonts w:hint="cs"/>
          <w:rtl/>
        </w:rPr>
        <w:t>20</w:t>
      </w:r>
      <w:r w:rsidR="00C176B5" w:rsidRPr="00C176B5">
        <w:rPr>
          <w:rtl/>
        </w:rPr>
        <w:t>/</w:t>
      </w:r>
      <w:r w:rsidR="00C176B5">
        <w:rPr>
          <w:rFonts w:hint="cs"/>
          <w:rtl/>
        </w:rPr>
        <w:t>21</w:t>
      </w:r>
      <w:r w:rsidR="005838B2">
        <w:rPr>
          <w:rFonts w:hint="cs"/>
          <w:rtl/>
        </w:rPr>
        <w:t xml:space="preserve"> على النحو المبين</w:t>
      </w:r>
      <w:r w:rsidR="00C176B5" w:rsidRPr="00C176B5">
        <w:rPr>
          <w:rtl/>
        </w:rPr>
        <w:t xml:space="preserve"> في تقرير </w:t>
      </w:r>
      <w:r w:rsidR="00C176B5">
        <w:rPr>
          <w:rFonts w:hint="cs"/>
          <w:rtl/>
        </w:rPr>
        <w:t>أ</w:t>
      </w:r>
      <w:r w:rsidR="00C176B5" w:rsidRPr="00C176B5">
        <w:rPr>
          <w:rtl/>
        </w:rPr>
        <w:t>دا</w:t>
      </w:r>
      <w:r w:rsidR="00C176B5">
        <w:rPr>
          <w:rFonts w:hint="cs"/>
          <w:rtl/>
        </w:rPr>
        <w:t xml:space="preserve">ء الويبو 2020/21 </w:t>
      </w:r>
      <w:r w:rsidR="00C176B5" w:rsidRPr="00C176B5">
        <w:rPr>
          <w:rtl/>
        </w:rPr>
        <w:t>(الوثيقة</w:t>
      </w:r>
      <w:r w:rsidR="00C176B5">
        <w:rPr>
          <w:rFonts w:hint="cs"/>
          <w:rtl/>
        </w:rPr>
        <w:t> </w:t>
      </w:r>
      <w:r w:rsidR="00C176B5" w:rsidRPr="00C176B5">
        <w:rPr>
          <w:lang w:bidi="en-US"/>
        </w:rPr>
        <w:t>WO/PBC/34/7</w:t>
      </w:r>
      <w:r w:rsidR="00C176B5" w:rsidRPr="00C176B5">
        <w:rPr>
          <w:rtl/>
        </w:rPr>
        <w:t>).</w:t>
      </w:r>
    </w:p>
    <w:p w:rsidR="00C176B5" w:rsidRDefault="00C176B5" w:rsidP="00C176B5">
      <w:pPr>
        <w:pStyle w:val="ONUMA"/>
      </w:pPr>
      <w:r w:rsidRPr="00C176B5">
        <w:rPr>
          <w:rtl/>
        </w:rPr>
        <w:t>وتنص المادة 8(4) من بروتوكول نظام مدريد بشأن التسجيل الدولي للعلامات أن "على المكتب الدولي أن يوزع الحصيلة السنوية لمختلف إيرادات التسجيل الدولي، عدا الإيرادات الناجمة عن الرسوم المشار إليها في الفقرة (2)"2" و"3"، بالتساوي بين الأطراف المتعاقدة، وذلك بعد خصم المصاريف والنفقات اللازمة لتنفيذ هذا البروتوكول". وتنص القاعدة 7.4 من النظام المالي ولائحته للمنظمة العالمية للملكية الفكرية على أنه "إذا تبين وجود فائض في إيرادات أي اتحاد، بعد إقفال الفترة المالية، فإن ذلك الفائض يقيد في باب الاحتياطيات، ما لم تقرر الجمعية العامة أو جمعية الاتحاد المعني خلاف ذلك."</w:t>
      </w:r>
    </w:p>
    <w:p w:rsidR="00C176B5" w:rsidRDefault="00C176B5" w:rsidP="00C176B5">
      <w:pPr>
        <w:pStyle w:val="ONUMA"/>
      </w:pPr>
      <w:r w:rsidRPr="00C176B5">
        <w:rPr>
          <w:rtl/>
        </w:rPr>
        <w:t>وعملا</w:t>
      </w:r>
      <w:r w:rsidR="00E139E7">
        <w:rPr>
          <w:rFonts w:hint="cs"/>
          <w:rtl/>
          <w:lang w:bidi="ar-EG"/>
        </w:rPr>
        <w:t>ً</w:t>
      </w:r>
      <w:r w:rsidRPr="00C176B5">
        <w:rPr>
          <w:rtl/>
        </w:rPr>
        <w:t xml:space="preserve"> بالقاعدة 7.4 من النظام المالي، من المعتزم إذاً الاحتفاظ بهذا الفائض</w:t>
      </w:r>
      <w:r w:rsidR="00E139E7" w:rsidRPr="00E139E7">
        <w:rPr>
          <w:rStyle w:val="FootnoteReference"/>
          <w:rFonts w:asciiTheme="minorHAnsi" w:hAnsiTheme="minorHAnsi" w:cstheme="minorHAnsi"/>
          <w:sz w:val="22"/>
          <w:szCs w:val="22"/>
          <w:rtl/>
        </w:rPr>
        <w:footnoteReference w:id="3"/>
      </w:r>
      <w:r w:rsidRPr="00C176B5">
        <w:rPr>
          <w:rtl/>
        </w:rPr>
        <w:t xml:space="preserve"> ضمن احتياطيات اتحاد </w:t>
      </w:r>
      <w:r>
        <w:rPr>
          <w:rFonts w:hint="cs"/>
          <w:rtl/>
        </w:rPr>
        <w:t>مدريد:</w:t>
      </w:r>
    </w:p>
    <w:p w:rsidR="00C10E1C" w:rsidRDefault="00C176B5" w:rsidP="00CB4C6E">
      <w:pPr>
        <w:pStyle w:val="ListParagraph"/>
        <w:numPr>
          <w:ilvl w:val="0"/>
          <w:numId w:val="10"/>
        </w:numPr>
        <w:spacing w:after="120"/>
        <w:ind w:left="922"/>
        <w:contextualSpacing w:val="0"/>
        <w:rPr>
          <w:rFonts w:eastAsia="Times New Roman"/>
          <w:rtl/>
          <w:lang w:eastAsia="en-US"/>
        </w:rPr>
      </w:pPr>
      <w:r w:rsidRPr="00C176B5">
        <w:rPr>
          <w:rFonts w:eastAsia="Times New Roman"/>
          <w:rtl/>
          <w:lang w:eastAsia="en-US"/>
        </w:rPr>
        <w:t xml:space="preserve">في انتظار أي اقتراح </w:t>
      </w:r>
      <w:r>
        <w:rPr>
          <w:rFonts w:eastAsia="Times New Roman" w:hint="cs"/>
          <w:rtl/>
          <w:lang w:eastAsia="en-US"/>
        </w:rPr>
        <w:t>ي</w:t>
      </w:r>
      <w:r w:rsidRPr="00C176B5">
        <w:rPr>
          <w:rFonts w:eastAsia="Times New Roman"/>
          <w:rtl/>
          <w:lang w:eastAsia="en-US"/>
        </w:rPr>
        <w:t xml:space="preserve">قدّم إلى الدول الأعضاء كي تنظر فيه لأغراض تمويل </w:t>
      </w:r>
      <w:r>
        <w:rPr>
          <w:rFonts w:eastAsia="Times New Roman" w:hint="cs"/>
          <w:rtl/>
          <w:lang w:eastAsia="en-US"/>
        </w:rPr>
        <w:t xml:space="preserve">المرحلة الثانية من </w:t>
      </w:r>
      <w:r w:rsidRPr="00C176B5">
        <w:rPr>
          <w:rFonts w:eastAsia="Times New Roman"/>
          <w:rtl/>
          <w:lang w:eastAsia="en-US"/>
        </w:rPr>
        <w:t>مشروع منصة مدريد المعلوماتية</w:t>
      </w:r>
      <w:r>
        <w:rPr>
          <w:rFonts w:eastAsia="Times New Roman" w:hint="cs"/>
          <w:rtl/>
          <w:lang w:eastAsia="en-US"/>
        </w:rPr>
        <w:t xml:space="preserve"> </w:t>
      </w:r>
      <w:r w:rsidRPr="00C176B5">
        <w:rPr>
          <w:rFonts w:eastAsia="Times New Roman"/>
          <w:rtl/>
          <w:lang w:eastAsia="en-US"/>
        </w:rPr>
        <w:t xml:space="preserve">من أجل دعم التطوير والتحسين المستمر </w:t>
      </w:r>
      <w:r w:rsidR="00CB4C6E">
        <w:rPr>
          <w:rFonts w:eastAsia="Times New Roman" w:hint="cs"/>
          <w:rtl/>
          <w:lang w:eastAsia="en-US"/>
        </w:rPr>
        <w:t>للحلول</w:t>
      </w:r>
      <w:r w:rsidRPr="00C176B5">
        <w:rPr>
          <w:rFonts w:eastAsia="Times New Roman"/>
          <w:rtl/>
          <w:lang w:eastAsia="en-US"/>
        </w:rPr>
        <w:t xml:space="preserve"> المعلوماتية لنظام مدريد للتسجيل.</w:t>
      </w:r>
      <w:r>
        <w:rPr>
          <w:rFonts w:eastAsia="Times New Roman" w:hint="cs"/>
          <w:rtl/>
          <w:lang w:eastAsia="en-US"/>
        </w:rPr>
        <w:t xml:space="preserve"> و</w:t>
      </w:r>
      <w:r w:rsidRPr="00C176B5">
        <w:rPr>
          <w:rFonts w:eastAsia="Times New Roman"/>
          <w:rtl/>
          <w:lang w:eastAsia="en-US"/>
        </w:rPr>
        <w:t xml:space="preserve">تجدر الإشارة إلى أن </w:t>
      </w:r>
      <w:r w:rsidRPr="00C176B5">
        <w:rPr>
          <w:rFonts w:eastAsia="Times New Roman"/>
          <w:rtl/>
          <w:lang w:eastAsia="en-US"/>
        </w:rPr>
        <w:lastRenderedPageBreak/>
        <w:t>المرحلة الأولى من م</w:t>
      </w:r>
      <w:r w:rsidR="001570C5">
        <w:rPr>
          <w:rFonts w:eastAsia="Times New Roman"/>
          <w:rtl/>
          <w:lang w:eastAsia="en-US"/>
        </w:rPr>
        <w:t xml:space="preserve">شروع الخطة الرئيسية الرأسمالية </w:t>
      </w:r>
      <w:r w:rsidR="001570C5">
        <w:rPr>
          <w:rFonts w:eastAsia="Times New Roman" w:hint="cs"/>
          <w:rtl/>
          <w:lang w:eastAsia="en-US"/>
        </w:rPr>
        <w:t xml:space="preserve">بشأن </w:t>
      </w:r>
      <w:r w:rsidRPr="00C176B5">
        <w:rPr>
          <w:rFonts w:eastAsia="Times New Roman"/>
          <w:rtl/>
          <w:lang w:eastAsia="en-US"/>
        </w:rPr>
        <w:t xml:space="preserve">منصة مدريد </w:t>
      </w:r>
      <w:r w:rsidR="001570C5" w:rsidRPr="00C176B5">
        <w:rPr>
          <w:rFonts w:eastAsia="Times New Roman"/>
          <w:rtl/>
          <w:lang w:eastAsia="en-US"/>
        </w:rPr>
        <w:t>المعلوماتية</w:t>
      </w:r>
      <w:r w:rsidR="001570C5">
        <w:rPr>
          <w:rFonts w:eastAsia="Times New Roman" w:hint="cs"/>
          <w:rtl/>
          <w:lang w:eastAsia="en-US"/>
        </w:rPr>
        <w:t xml:space="preserve"> حظي بم</w:t>
      </w:r>
      <w:r w:rsidRPr="00C176B5">
        <w:rPr>
          <w:rFonts w:eastAsia="Times New Roman"/>
          <w:rtl/>
          <w:lang w:eastAsia="en-US"/>
        </w:rPr>
        <w:t>وافق</w:t>
      </w:r>
      <w:r w:rsidR="001570C5">
        <w:rPr>
          <w:rFonts w:eastAsia="Times New Roman" w:hint="cs"/>
          <w:rtl/>
          <w:lang w:eastAsia="en-US"/>
        </w:rPr>
        <w:t>ة</w:t>
      </w:r>
      <w:r w:rsidRPr="00C176B5">
        <w:rPr>
          <w:rFonts w:eastAsia="Times New Roman"/>
          <w:rtl/>
          <w:lang w:eastAsia="en-US"/>
        </w:rPr>
        <w:t xml:space="preserve"> الدول الأعضاء في عام 2017 بميزانية قدرها 6 ملايين فرنك سويسري </w:t>
      </w:r>
      <w:r w:rsidR="00C32596">
        <w:rPr>
          <w:rFonts w:eastAsia="Times New Roman" w:hint="cs"/>
          <w:rtl/>
          <w:lang w:eastAsia="en-US"/>
        </w:rPr>
        <w:t>ممولة</w:t>
      </w:r>
      <w:r w:rsidRPr="00C176B5">
        <w:rPr>
          <w:rFonts w:eastAsia="Times New Roman"/>
          <w:rtl/>
          <w:lang w:eastAsia="en-US"/>
        </w:rPr>
        <w:t xml:space="preserve"> من </w:t>
      </w:r>
      <w:r w:rsidR="001570C5">
        <w:rPr>
          <w:rFonts w:eastAsia="Times New Roman" w:hint="cs"/>
          <w:rtl/>
          <w:lang w:eastAsia="en-US"/>
        </w:rPr>
        <w:t xml:space="preserve">الأموال </w:t>
      </w:r>
      <w:r w:rsidRPr="00C176B5">
        <w:rPr>
          <w:rFonts w:eastAsia="Times New Roman"/>
          <w:rtl/>
          <w:lang w:eastAsia="en-US"/>
        </w:rPr>
        <w:t>الاحتياطي</w:t>
      </w:r>
      <w:r w:rsidR="001570C5">
        <w:rPr>
          <w:rFonts w:eastAsia="Times New Roman" w:hint="cs"/>
          <w:rtl/>
          <w:lang w:eastAsia="en-US"/>
        </w:rPr>
        <w:t>ة</w:t>
      </w:r>
      <w:r w:rsidRPr="00C176B5">
        <w:rPr>
          <w:rFonts w:eastAsia="Times New Roman"/>
          <w:rtl/>
          <w:lang w:eastAsia="en-US"/>
        </w:rPr>
        <w:t xml:space="preserve"> (يرجى الرجوع إلى</w:t>
      </w:r>
      <w:r w:rsidR="001570C5">
        <w:rPr>
          <w:rFonts w:eastAsia="Times New Roman" w:hint="cs"/>
          <w:rtl/>
          <w:lang w:eastAsia="en-US"/>
        </w:rPr>
        <w:t xml:space="preserve"> </w:t>
      </w:r>
      <w:r w:rsidR="001570C5" w:rsidRPr="00C176B5">
        <w:rPr>
          <w:rtl/>
        </w:rPr>
        <w:t xml:space="preserve">تقرير </w:t>
      </w:r>
      <w:r w:rsidR="001570C5">
        <w:rPr>
          <w:rFonts w:hint="cs"/>
          <w:rtl/>
        </w:rPr>
        <w:t>أ</w:t>
      </w:r>
      <w:r w:rsidR="001570C5" w:rsidRPr="00C176B5">
        <w:rPr>
          <w:rtl/>
        </w:rPr>
        <w:t>دا</w:t>
      </w:r>
      <w:r w:rsidR="001570C5">
        <w:rPr>
          <w:rFonts w:hint="cs"/>
          <w:rtl/>
        </w:rPr>
        <w:t xml:space="preserve">ء الويبو </w:t>
      </w:r>
      <w:r w:rsidR="001570C5" w:rsidRPr="00C176B5">
        <w:rPr>
          <w:rtl/>
        </w:rPr>
        <w:t>للثنائية</w:t>
      </w:r>
      <w:r w:rsidR="001570C5">
        <w:rPr>
          <w:rFonts w:hint="cs"/>
          <w:rtl/>
        </w:rPr>
        <w:t xml:space="preserve"> 2020/21 </w:t>
      </w:r>
      <w:r w:rsidRPr="00C176B5">
        <w:rPr>
          <w:rFonts w:eastAsia="Times New Roman"/>
          <w:rtl/>
          <w:lang w:eastAsia="en-US"/>
        </w:rPr>
        <w:t xml:space="preserve">(الوثيقة </w:t>
      </w:r>
      <w:r w:rsidRPr="00C176B5">
        <w:rPr>
          <w:rFonts w:eastAsia="Times New Roman"/>
          <w:lang w:eastAsia="en-US"/>
        </w:rPr>
        <w:t>WO/PBC/34/7</w:t>
      </w:r>
      <w:r w:rsidRPr="00C176B5">
        <w:rPr>
          <w:rFonts w:eastAsia="Times New Roman"/>
          <w:rtl/>
          <w:lang w:eastAsia="en-US"/>
        </w:rPr>
        <w:t>، الم</w:t>
      </w:r>
      <w:r w:rsidR="001570C5">
        <w:rPr>
          <w:rFonts w:eastAsia="Times New Roman" w:hint="cs"/>
          <w:rtl/>
          <w:lang w:eastAsia="en-US"/>
        </w:rPr>
        <w:t>رف</w:t>
      </w:r>
      <w:r w:rsidRPr="00C176B5">
        <w:rPr>
          <w:rFonts w:eastAsia="Times New Roman"/>
          <w:rtl/>
          <w:lang w:eastAsia="en-US"/>
        </w:rPr>
        <w:t>ق الحادي عشر) للاطلاع على آخر حالة لهذا المشروع).</w:t>
      </w:r>
    </w:p>
    <w:p w:rsidR="001570C5" w:rsidRPr="00C10E1C" w:rsidRDefault="001570C5" w:rsidP="00C10E1C">
      <w:pPr>
        <w:bidi w:val="0"/>
        <w:rPr>
          <w:rFonts w:eastAsia="Times New Roman"/>
          <w:lang w:eastAsia="en-US"/>
        </w:rPr>
      </w:pPr>
    </w:p>
    <w:p w:rsidR="00C176B5" w:rsidRPr="00104985" w:rsidRDefault="001570C5" w:rsidP="00C10E1C">
      <w:pPr>
        <w:pStyle w:val="ListParagraph"/>
        <w:numPr>
          <w:ilvl w:val="0"/>
          <w:numId w:val="10"/>
        </w:numPr>
        <w:ind w:left="922"/>
        <w:rPr>
          <w:rFonts w:eastAsia="Times New Roman"/>
          <w:lang w:eastAsia="en-US"/>
        </w:rPr>
      </w:pPr>
      <w:r>
        <w:rPr>
          <w:rFonts w:eastAsia="Times New Roman" w:hint="cs"/>
          <w:rtl/>
          <w:lang w:eastAsia="en-US"/>
        </w:rPr>
        <w:t>وضمان عدم ا</w:t>
      </w:r>
      <w:r w:rsidRPr="00C176B5">
        <w:rPr>
          <w:rtl/>
        </w:rPr>
        <w:t>نخف</w:t>
      </w:r>
      <w:r>
        <w:rPr>
          <w:rFonts w:hint="cs"/>
          <w:rtl/>
        </w:rPr>
        <w:t>ا</w:t>
      </w:r>
      <w:r w:rsidRPr="00C176B5">
        <w:rPr>
          <w:rtl/>
        </w:rPr>
        <w:t xml:space="preserve">ض </w:t>
      </w:r>
      <w:r w:rsidR="00C176B5" w:rsidRPr="00C176B5">
        <w:rPr>
          <w:rtl/>
        </w:rPr>
        <w:t xml:space="preserve">صافي الأصول لاتحاد مدريد </w:t>
      </w:r>
      <w:r>
        <w:rPr>
          <w:rFonts w:hint="cs"/>
          <w:rtl/>
        </w:rPr>
        <w:t xml:space="preserve">لأقل </w:t>
      </w:r>
      <w:r w:rsidR="00C176B5" w:rsidRPr="00C176B5">
        <w:rPr>
          <w:rtl/>
        </w:rPr>
        <w:t xml:space="preserve">من المستوى المستهدف. </w:t>
      </w:r>
      <w:r>
        <w:rPr>
          <w:rFonts w:hint="cs"/>
          <w:rtl/>
        </w:rPr>
        <w:t xml:space="preserve">وقد بلغ </w:t>
      </w:r>
      <w:r w:rsidR="00C176B5" w:rsidRPr="00C176B5">
        <w:rPr>
          <w:rtl/>
        </w:rPr>
        <w:t>صافي أصول اتحاد مدريد في نهاية عام 2021 إلى 35.7 مليون فرنك سويسري (بما في</w:t>
      </w:r>
      <w:r>
        <w:rPr>
          <w:rtl/>
        </w:rPr>
        <w:t xml:space="preserve"> ذلك الخسائر الاكتوارية) انخفاض</w:t>
      </w:r>
      <w:r w:rsidR="00C176B5" w:rsidRPr="00C176B5">
        <w:rPr>
          <w:rtl/>
        </w:rPr>
        <w:t>ا</w:t>
      </w:r>
      <w:r>
        <w:rPr>
          <w:rFonts w:hint="cs"/>
          <w:rtl/>
        </w:rPr>
        <w:t>ً</w:t>
      </w:r>
      <w:r w:rsidR="00C176B5" w:rsidRPr="00C176B5">
        <w:rPr>
          <w:rtl/>
        </w:rPr>
        <w:t xml:space="preserve"> من 51.9 مليون فرنك سويسري في نهاية عام 2019 (بما في ذلك الخسائر الاكتوارية). </w:t>
      </w:r>
      <w:r>
        <w:rPr>
          <w:rFonts w:hint="cs"/>
          <w:rtl/>
        </w:rPr>
        <w:t>و</w:t>
      </w:r>
      <w:r w:rsidR="00C176B5" w:rsidRPr="00C176B5">
        <w:rPr>
          <w:rtl/>
        </w:rPr>
        <w:t xml:space="preserve">يُعزى الانخفاض بالكامل إلى زيادة </w:t>
      </w:r>
      <w:r w:rsidRPr="001570C5">
        <w:rPr>
          <w:rtl/>
        </w:rPr>
        <w:t>خصوم التأمين الصحي بعد انتهاء الخدمة</w:t>
      </w:r>
      <w:r w:rsidR="00C176B5" w:rsidRPr="00C176B5">
        <w:rPr>
          <w:rtl/>
        </w:rPr>
        <w:t xml:space="preserve"> في</w:t>
      </w:r>
      <w:r>
        <w:rPr>
          <w:rFonts w:hint="cs"/>
          <w:rtl/>
        </w:rPr>
        <w:t xml:space="preserve"> الثنائية </w:t>
      </w:r>
      <w:r w:rsidR="00C176B5" w:rsidRPr="00C176B5">
        <w:rPr>
          <w:rtl/>
        </w:rPr>
        <w:t xml:space="preserve">2020/21. </w:t>
      </w:r>
      <w:r>
        <w:rPr>
          <w:rFonts w:hint="cs"/>
          <w:rtl/>
        </w:rPr>
        <w:t>و</w:t>
      </w:r>
      <w:r w:rsidR="00C176B5" w:rsidRPr="00C176B5">
        <w:rPr>
          <w:rtl/>
        </w:rPr>
        <w:t xml:space="preserve">يبلغ </w:t>
      </w:r>
      <w:r>
        <w:rPr>
          <w:rFonts w:hint="cs"/>
          <w:rtl/>
        </w:rPr>
        <w:t>الم</w:t>
      </w:r>
      <w:r w:rsidRPr="001570C5">
        <w:rPr>
          <w:rtl/>
        </w:rPr>
        <w:t xml:space="preserve">ستوى المستهدف </w:t>
      </w:r>
      <w:r>
        <w:rPr>
          <w:rFonts w:hint="cs"/>
          <w:rtl/>
        </w:rPr>
        <w:t>ل</w:t>
      </w:r>
      <w:r w:rsidRPr="001570C5">
        <w:rPr>
          <w:rtl/>
        </w:rPr>
        <w:t xml:space="preserve">لأموال الاحتياطية </w:t>
      </w:r>
      <w:r w:rsidR="005E63E2" w:rsidRPr="005E63E2">
        <w:rPr>
          <w:rtl/>
        </w:rPr>
        <w:t xml:space="preserve">وصناديق رؤوس الأموال العاملة </w:t>
      </w:r>
      <w:r w:rsidR="00C176B5" w:rsidRPr="00C176B5">
        <w:rPr>
          <w:rtl/>
        </w:rPr>
        <w:t>لاتحاد مدريد في</w:t>
      </w:r>
      <w:r w:rsidR="005E63E2">
        <w:rPr>
          <w:rFonts w:hint="cs"/>
          <w:rtl/>
        </w:rPr>
        <w:t xml:space="preserve"> الثنائية</w:t>
      </w:r>
      <w:r w:rsidR="00C176B5" w:rsidRPr="00C176B5">
        <w:rPr>
          <w:rtl/>
        </w:rPr>
        <w:t xml:space="preserve"> 2022/23 </w:t>
      </w:r>
      <w:r w:rsidR="005E63E2">
        <w:rPr>
          <w:rFonts w:hint="cs"/>
          <w:rtl/>
        </w:rPr>
        <w:t>م</w:t>
      </w:r>
      <w:r w:rsidR="00C10E1C">
        <w:rPr>
          <w:rFonts w:hint="cs"/>
          <w:rtl/>
          <w:lang w:val="fr-CH" w:bidi="ar-SY"/>
        </w:rPr>
        <w:t>ا</w:t>
      </w:r>
      <w:r w:rsidR="005E63E2">
        <w:rPr>
          <w:rFonts w:hint="cs"/>
          <w:rtl/>
        </w:rPr>
        <w:t xml:space="preserve"> قدره </w:t>
      </w:r>
      <w:r w:rsidR="00C176B5" w:rsidRPr="00C176B5">
        <w:rPr>
          <w:rtl/>
        </w:rPr>
        <w:t xml:space="preserve">36.8 مليون فرنك سويسري (يرجى الرجوع إلى </w:t>
      </w:r>
      <w:r w:rsidR="005E63E2" w:rsidRPr="005E63E2">
        <w:rPr>
          <w:rtl/>
        </w:rPr>
        <w:t>برنامج عمل وميزانية الويبو للثنائية 2022/23</w:t>
      </w:r>
      <w:r w:rsidR="005E63E2" w:rsidRPr="00C32596">
        <w:rPr>
          <w:rStyle w:val="FootnoteReference"/>
          <w:rFonts w:ascii="Calibri" w:hAnsi="Calibri" w:cs="Calibri"/>
          <w:sz w:val="22"/>
          <w:szCs w:val="22"/>
          <w:rtl/>
        </w:rPr>
        <w:footnoteReference w:id="4"/>
      </w:r>
      <w:r w:rsidR="00C176B5" w:rsidRPr="00C176B5">
        <w:rPr>
          <w:rtl/>
        </w:rPr>
        <w:t>).</w:t>
      </w:r>
    </w:p>
    <w:p w:rsidR="00104985" w:rsidRPr="00104985" w:rsidRDefault="00104985" w:rsidP="00104985">
      <w:pPr>
        <w:pStyle w:val="ListParagraph"/>
        <w:rPr>
          <w:rFonts w:eastAsia="Times New Roman"/>
          <w:rtl/>
          <w:lang w:eastAsia="en-US"/>
        </w:rPr>
      </w:pPr>
    </w:p>
    <w:p w:rsidR="00104985" w:rsidRPr="00104985" w:rsidRDefault="00104985" w:rsidP="00104985">
      <w:pPr>
        <w:rPr>
          <w:rFonts w:eastAsia="Times New Roman"/>
          <w:lang w:eastAsia="en-US"/>
        </w:rPr>
      </w:pPr>
    </w:p>
    <w:p w:rsidR="00B86A09" w:rsidRPr="00B86A09" w:rsidRDefault="00C15651" w:rsidP="00C176B5">
      <w:pPr>
        <w:pStyle w:val="Endofdocument-Annex"/>
        <w:rPr>
          <w:rtl/>
          <w:lang w:eastAsia="en-US"/>
        </w:rPr>
      </w:pPr>
      <w:r>
        <w:rPr>
          <w:rtl/>
          <w:lang w:eastAsia="en-US"/>
        </w:rPr>
        <w:t>[</w:t>
      </w:r>
      <w:r w:rsidR="00720AA4">
        <w:rPr>
          <w:rFonts w:hint="cs"/>
          <w:rtl/>
          <w:lang w:eastAsia="en-US"/>
        </w:rPr>
        <w:t>نهاية الوثيقة</w:t>
      </w:r>
      <w:r>
        <w:rPr>
          <w:rFonts w:hint="cs"/>
          <w:rtl/>
          <w:lang w:eastAsia="en-US"/>
        </w:rPr>
        <w:t>]</w:t>
      </w:r>
    </w:p>
    <w:sectPr w:rsidR="00B86A09" w:rsidRPr="00B86A09" w:rsidSect="00720AA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EF" w:rsidRDefault="004746EF">
      <w:r>
        <w:separator/>
      </w:r>
    </w:p>
  </w:endnote>
  <w:endnote w:type="continuationSeparator" w:id="0">
    <w:p w:rsidR="004746EF" w:rsidRDefault="004746EF" w:rsidP="003B38C1">
      <w:r>
        <w:separator/>
      </w:r>
    </w:p>
    <w:p w:rsidR="004746EF" w:rsidRPr="003B38C1" w:rsidRDefault="004746EF" w:rsidP="003B38C1">
      <w:pPr>
        <w:spacing w:after="60"/>
        <w:rPr>
          <w:sz w:val="17"/>
        </w:rPr>
      </w:pPr>
      <w:r>
        <w:rPr>
          <w:sz w:val="17"/>
        </w:rPr>
        <w:t>[Endnote continued from previous page]</w:t>
      </w:r>
    </w:p>
  </w:endnote>
  <w:endnote w:type="continuationNotice" w:id="1">
    <w:p w:rsidR="004746EF" w:rsidRPr="003B38C1" w:rsidRDefault="004746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00000000"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96" w:rsidRDefault="00C32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96" w:rsidRDefault="00C32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96" w:rsidRDefault="00C32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EF" w:rsidRDefault="004746EF">
      <w:r>
        <w:separator/>
      </w:r>
    </w:p>
  </w:footnote>
  <w:footnote w:type="continuationSeparator" w:id="0">
    <w:p w:rsidR="004746EF" w:rsidRDefault="004746EF" w:rsidP="008B60B2">
      <w:r>
        <w:separator/>
      </w:r>
    </w:p>
    <w:p w:rsidR="004746EF" w:rsidRPr="00ED77FB" w:rsidRDefault="004746EF" w:rsidP="008B60B2">
      <w:pPr>
        <w:spacing w:after="60"/>
        <w:rPr>
          <w:sz w:val="17"/>
          <w:szCs w:val="17"/>
        </w:rPr>
      </w:pPr>
      <w:r w:rsidRPr="00ED77FB">
        <w:rPr>
          <w:sz w:val="17"/>
          <w:szCs w:val="17"/>
        </w:rPr>
        <w:t>[Footnote continued from previous page]</w:t>
      </w:r>
    </w:p>
  </w:footnote>
  <w:footnote w:type="continuationNotice" w:id="1">
    <w:p w:rsidR="004746EF" w:rsidRPr="00ED77FB" w:rsidRDefault="004746EF" w:rsidP="008B60B2">
      <w:pPr>
        <w:spacing w:before="60"/>
        <w:jc w:val="right"/>
        <w:rPr>
          <w:sz w:val="17"/>
          <w:szCs w:val="17"/>
        </w:rPr>
      </w:pPr>
      <w:r w:rsidRPr="00ED77FB">
        <w:rPr>
          <w:sz w:val="17"/>
          <w:szCs w:val="17"/>
        </w:rPr>
        <w:t>[Footnote continued on next page]</w:t>
      </w:r>
    </w:p>
  </w:footnote>
  <w:footnote w:id="2">
    <w:p w:rsidR="00E139E7" w:rsidRDefault="00E139E7" w:rsidP="00E139E7">
      <w:pPr>
        <w:pStyle w:val="FootnoteText"/>
        <w:rPr>
          <w:rFonts w:ascii="Calibri" w:hAnsi="Calibri"/>
        </w:rPr>
      </w:pPr>
      <w:r w:rsidRPr="00E139E7">
        <w:rPr>
          <w:rStyle w:val="FootnoteReference"/>
          <w:rFonts w:ascii="Calibri" w:hAnsi="Calibri" w:cs="Calibri"/>
          <w:sz w:val="18"/>
          <w:szCs w:val="18"/>
        </w:rPr>
        <w:footnoteRef/>
      </w:r>
      <w:r w:rsidRPr="00E139E7">
        <w:rPr>
          <w:rFonts w:ascii="Calibri" w:hAnsi="Calibri"/>
          <w:rtl/>
        </w:rPr>
        <w:t xml:space="preserve"> </w:t>
      </w:r>
      <w:r>
        <w:rPr>
          <w:rFonts w:ascii="Calibri" w:hAnsi="Calibri" w:hint="cs"/>
          <w:rtl/>
        </w:rPr>
        <w:t>انظر تقرير أداء الويبو 2018/19:</w:t>
      </w:r>
    </w:p>
    <w:p w:rsidR="00E139E7" w:rsidRPr="00E139E7" w:rsidRDefault="00E139E7" w:rsidP="00E139E7">
      <w:pPr>
        <w:pStyle w:val="FootnoteText"/>
        <w:rPr>
          <w:rFonts w:ascii="Calibri" w:hAnsi="Calibri"/>
          <w:lang w:val="fr-CH" w:bidi="ar-EG"/>
        </w:rPr>
      </w:pPr>
      <w:r w:rsidRPr="00E139E7">
        <w:rPr>
          <w:rFonts w:ascii="Calibri" w:hAnsi="Calibri"/>
          <w:lang w:val="fr-CH" w:bidi="ar-EG"/>
        </w:rPr>
        <w:t>https://www.wipo.int/edocs/mdocs/govbody/ar/wo_pbc_31/wo_pbc_31_6.pdf</w:t>
      </w:r>
    </w:p>
  </w:footnote>
  <w:footnote w:id="3">
    <w:p w:rsidR="00E139E7" w:rsidRPr="00E139E7" w:rsidRDefault="00E139E7" w:rsidP="00385638">
      <w:pPr>
        <w:pStyle w:val="FootnoteText"/>
        <w:rPr>
          <w:rFonts w:ascii="Calibri" w:hAnsi="Calibri"/>
          <w:lang w:val="fr-CH"/>
        </w:rPr>
      </w:pPr>
      <w:r w:rsidRPr="00E139E7">
        <w:rPr>
          <w:rStyle w:val="FootnoteReference"/>
          <w:rFonts w:ascii="Calibri" w:hAnsi="Calibri" w:cs="Calibri"/>
          <w:sz w:val="18"/>
          <w:szCs w:val="18"/>
        </w:rPr>
        <w:footnoteRef/>
      </w:r>
      <w:r w:rsidRPr="00E139E7">
        <w:rPr>
          <w:rFonts w:ascii="Calibri" w:hAnsi="Calibri"/>
          <w:rtl/>
        </w:rPr>
        <w:t xml:space="preserve"> </w:t>
      </w:r>
      <w:r>
        <w:rPr>
          <w:rFonts w:ascii="Calibri" w:hAnsi="Calibri"/>
          <w:rtl/>
        </w:rPr>
        <w:t>نظر</w:t>
      </w:r>
      <w:r>
        <w:rPr>
          <w:rFonts w:ascii="Calibri" w:hAnsi="Calibri" w:hint="cs"/>
          <w:rtl/>
          <w:lang w:bidi="ar-EG"/>
        </w:rPr>
        <w:t>اً</w:t>
      </w:r>
      <w:r>
        <w:rPr>
          <w:rFonts w:ascii="Calibri" w:hAnsi="Calibri"/>
          <w:rtl/>
        </w:rPr>
        <w:t xml:space="preserve"> لتفشي </w:t>
      </w:r>
      <w:r>
        <w:rPr>
          <w:rFonts w:ascii="Calibri" w:hAnsi="Calibri" w:hint="cs"/>
          <w:rtl/>
        </w:rPr>
        <w:t>جائحة كوفيد-19</w:t>
      </w:r>
      <w:r w:rsidRPr="00E139E7">
        <w:rPr>
          <w:rFonts w:ascii="Calibri" w:hAnsi="Calibri"/>
          <w:rtl/>
        </w:rPr>
        <w:t xml:space="preserve"> والحاجة اللاحقة إلى </w:t>
      </w:r>
      <w:r w:rsidR="00385638">
        <w:rPr>
          <w:rFonts w:ascii="Calibri" w:hAnsi="Calibri" w:hint="cs"/>
          <w:rtl/>
        </w:rPr>
        <w:t>عقد</w:t>
      </w:r>
      <w:r w:rsidRPr="00E139E7">
        <w:rPr>
          <w:rFonts w:ascii="Calibri" w:hAnsi="Calibri"/>
          <w:rtl/>
        </w:rPr>
        <w:t xml:space="preserve"> جمعيات ال</w:t>
      </w:r>
      <w:r>
        <w:rPr>
          <w:rFonts w:ascii="Calibri" w:hAnsi="Calibri"/>
          <w:rtl/>
        </w:rPr>
        <w:t xml:space="preserve">ويبو </w:t>
      </w:r>
      <w:r w:rsidR="00385638">
        <w:rPr>
          <w:rFonts w:ascii="Calibri" w:hAnsi="Calibri" w:hint="cs"/>
          <w:rtl/>
          <w:lang w:bidi="ar-EG"/>
        </w:rPr>
        <w:t>على نحو مبسّط</w:t>
      </w:r>
      <w:r>
        <w:rPr>
          <w:rFonts w:ascii="Calibri" w:hAnsi="Calibri"/>
          <w:rtl/>
        </w:rPr>
        <w:t xml:space="preserve"> قدر الإمكان</w:t>
      </w:r>
      <w:r w:rsidRPr="00E139E7">
        <w:rPr>
          <w:rFonts w:ascii="Calibri" w:hAnsi="Calibri"/>
          <w:rtl/>
        </w:rPr>
        <w:t>، لم ت</w:t>
      </w:r>
      <w:r>
        <w:rPr>
          <w:rFonts w:ascii="Calibri" w:hAnsi="Calibri" w:hint="cs"/>
          <w:rtl/>
        </w:rPr>
        <w:t>ُ</w:t>
      </w:r>
      <w:r>
        <w:rPr>
          <w:rFonts w:ascii="Calibri" w:hAnsi="Calibri"/>
          <w:rtl/>
        </w:rPr>
        <w:t>قد</w:t>
      </w:r>
      <w:r w:rsidRPr="00E139E7">
        <w:rPr>
          <w:rFonts w:ascii="Calibri" w:hAnsi="Calibri"/>
          <w:rtl/>
        </w:rPr>
        <w:t>م أي وثيقة إلى الدورة الرابعة والخمسين (</w:t>
      </w:r>
      <w:r>
        <w:rPr>
          <w:rFonts w:ascii="Calibri" w:hAnsi="Calibri" w:hint="cs"/>
          <w:rtl/>
        </w:rPr>
        <w:t xml:space="preserve">الدورة </w:t>
      </w:r>
      <w:r w:rsidRPr="00E139E7">
        <w:rPr>
          <w:rFonts w:ascii="Calibri" w:hAnsi="Calibri"/>
          <w:rtl/>
        </w:rPr>
        <w:t>الاستثنائية الحادية والثلاثين) لجمعية اتحاد مدريد بشأن فائض اتحاد مدريد</w:t>
      </w:r>
      <w:r>
        <w:rPr>
          <w:rFonts w:ascii="Calibri" w:hAnsi="Calibri" w:hint="cs"/>
          <w:rtl/>
        </w:rPr>
        <w:t xml:space="preserve"> للثنائية</w:t>
      </w:r>
      <w:r w:rsidRPr="00E139E7">
        <w:rPr>
          <w:rFonts w:ascii="Calibri" w:hAnsi="Calibri"/>
          <w:rtl/>
        </w:rPr>
        <w:t xml:space="preserve"> 2018/19.</w:t>
      </w:r>
    </w:p>
  </w:footnote>
  <w:footnote w:id="4">
    <w:p w:rsidR="005E63E2" w:rsidRPr="00E139E7" w:rsidRDefault="005E63E2">
      <w:pPr>
        <w:pStyle w:val="FootnoteText"/>
        <w:rPr>
          <w:lang w:val="fr-CH" w:bidi="ar-SY"/>
        </w:rPr>
      </w:pPr>
      <w:r w:rsidRPr="00C32596">
        <w:rPr>
          <w:rStyle w:val="FootnoteReference"/>
          <w:rFonts w:ascii="Calibri" w:hAnsi="Calibri" w:cs="Calibri"/>
          <w:sz w:val="18"/>
          <w:szCs w:val="18"/>
        </w:rPr>
        <w:footnoteRef/>
      </w:r>
      <w:r>
        <w:rPr>
          <w:rtl/>
        </w:rPr>
        <w:t xml:space="preserve"> </w:t>
      </w:r>
      <w:r w:rsidRPr="00E139E7">
        <w:rPr>
          <w:lang w:val="fr-CH"/>
        </w:rPr>
        <w:t>https://www.wipo.int/export/sites/www/about-wipo/ar/budget/pdf/budget-2022-2023.pdf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96" w:rsidRDefault="00C32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EE" w:rsidRPr="00C130A9" w:rsidRDefault="00AE63EE" w:rsidP="00C10E1C">
    <w:pPr>
      <w:bidi w:val="0"/>
      <w:rPr>
        <w:caps/>
      </w:rPr>
    </w:pPr>
    <w:r w:rsidRPr="008E1484">
      <w:rPr>
        <w:caps/>
      </w:rPr>
      <w:t>MM/A/</w:t>
    </w:r>
    <w:r w:rsidR="007F1259">
      <w:rPr>
        <w:caps/>
      </w:rPr>
      <w:t>56</w:t>
    </w:r>
    <w:r w:rsidRPr="008E1484">
      <w:rPr>
        <w:caps/>
      </w:rPr>
      <w:t>/</w:t>
    </w:r>
    <w:r w:rsidR="00C10E1C">
      <w:rPr>
        <w:caps/>
      </w:rPr>
      <w:t>INF/</w:t>
    </w:r>
    <w:r w:rsidRPr="008E1484">
      <w:rPr>
        <w:caps/>
      </w:rPr>
      <w:t>1</w:t>
    </w:r>
  </w:p>
  <w:p w:rsidR="00AE63EE" w:rsidRDefault="00AE63EE"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3B1FD6">
      <w:rPr>
        <w:rFonts w:cs="Arial"/>
        <w:noProof/>
      </w:rPr>
      <w:t>2</w:t>
    </w:r>
    <w:r w:rsidRPr="00E77FE9">
      <w:rPr>
        <w:rFonts w:cs="Arial"/>
        <w:noProof/>
      </w:rPr>
      <w:fldChar w:fldCharType="end"/>
    </w:r>
  </w:p>
  <w:p w:rsidR="00AE63EE" w:rsidRPr="00C50A61" w:rsidRDefault="00AE63EE" w:rsidP="00C15651">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EE" w:rsidRDefault="00AE63EE" w:rsidP="00B86A0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E418D7"/>
    <w:multiLevelType w:val="hybridMultilevel"/>
    <w:tmpl w:val="1804C1A0"/>
    <w:lvl w:ilvl="0" w:tplc="91448792">
      <w:start w:val="1"/>
      <w:numFmt w:val="bullet"/>
      <w:lvlText w:val="-"/>
      <w:lvlJc w:val="left"/>
      <w:pPr>
        <w:ind w:left="720" w:hanging="360"/>
      </w:pPr>
      <w:rPr>
        <w:rFonts w:ascii="Sitka Small" w:hAnsi="Sitka Small"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F"/>
    <w:rsid w:val="000060CF"/>
    <w:rsid w:val="000275BA"/>
    <w:rsid w:val="00043CAA"/>
    <w:rsid w:val="00052292"/>
    <w:rsid w:val="00056816"/>
    <w:rsid w:val="00075432"/>
    <w:rsid w:val="00076C1C"/>
    <w:rsid w:val="000916BE"/>
    <w:rsid w:val="00095B55"/>
    <w:rsid w:val="000968ED"/>
    <w:rsid w:val="000A3D97"/>
    <w:rsid w:val="000E42F2"/>
    <w:rsid w:val="000F5E56"/>
    <w:rsid w:val="00104985"/>
    <w:rsid w:val="001104AA"/>
    <w:rsid w:val="001362EE"/>
    <w:rsid w:val="001406E1"/>
    <w:rsid w:val="00143A60"/>
    <w:rsid w:val="00155D8A"/>
    <w:rsid w:val="001570C5"/>
    <w:rsid w:val="001647D5"/>
    <w:rsid w:val="00175B66"/>
    <w:rsid w:val="001832A6"/>
    <w:rsid w:val="0019592A"/>
    <w:rsid w:val="001A56B8"/>
    <w:rsid w:val="001D4107"/>
    <w:rsid w:val="002010DB"/>
    <w:rsid w:val="00203D24"/>
    <w:rsid w:val="00210D5F"/>
    <w:rsid w:val="002114B1"/>
    <w:rsid w:val="0021217E"/>
    <w:rsid w:val="002326AB"/>
    <w:rsid w:val="00243430"/>
    <w:rsid w:val="002634C4"/>
    <w:rsid w:val="00286022"/>
    <w:rsid w:val="002928D3"/>
    <w:rsid w:val="002E3BCD"/>
    <w:rsid w:val="002F1FE6"/>
    <w:rsid w:val="002F4E68"/>
    <w:rsid w:val="00312F7F"/>
    <w:rsid w:val="00315316"/>
    <w:rsid w:val="00361450"/>
    <w:rsid w:val="003673CF"/>
    <w:rsid w:val="003845C1"/>
    <w:rsid w:val="00385638"/>
    <w:rsid w:val="003A6F89"/>
    <w:rsid w:val="003B1FD6"/>
    <w:rsid w:val="003B355C"/>
    <w:rsid w:val="003B38C1"/>
    <w:rsid w:val="003C34E9"/>
    <w:rsid w:val="003F485A"/>
    <w:rsid w:val="004101F9"/>
    <w:rsid w:val="0042105C"/>
    <w:rsid w:val="00423E3E"/>
    <w:rsid w:val="004248D8"/>
    <w:rsid w:val="00427AF4"/>
    <w:rsid w:val="00462D45"/>
    <w:rsid w:val="004647DA"/>
    <w:rsid w:val="00474062"/>
    <w:rsid w:val="004746EF"/>
    <w:rsid w:val="00477D6B"/>
    <w:rsid w:val="005019FF"/>
    <w:rsid w:val="0053057A"/>
    <w:rsid w:val="00556076"/>
    <w:rsid w:val="00560A29"/>
    <w:rsid w:val="00571488"/>
    <w:rsid w:val="005838B2"/>
    <w:rsid w:val="005C6649"/>
    <w:rsid w:val="005E63E2"/>
    <w:rsid w:val="005E67C9"/>
    <w:rsid w:val="005E7B89"/>
    <w:rsid w:val="005F7F2F"/>
    <w:rsid w:val="00605827"/>
    <w:rsid w:val="00625854"/>
    <w:rsid w:val="00646050"/>
    <w:rsid w:val="006540C9"/>
    <w:rsid w:val="0067112E"/>
    <w:rsid w:val="006713CA"/>
    <w:rsid w:val="00671AE6"/>
    <w:rsid w:val="00676C5C"/>
    <w:rsid w:val="00684D47"/>
    <w:rsid w:val="006B5C12"/>
    <w:rsid w:val="006C0090"/>
    <w:rsid w:val="006F21B7"/>
    <w:rsid w:val="00720AA4"/>
    <w:rsid w:val="00720EFD"/>
    <w:rsid w:val="00721EF2"/>
    <w:rsid w:val="00731EF3"/>
    <w:rsid w:val="0074590F"/>
    <w:rsid w:val="007854AF"/>
    <w:rsid w:val="00793A7C"/>
    <w:rsid w:val="007A398A"/>
    <w:rsid w:val="007C4902"/>
    <w:rsid w:val="007D1613"/>
    <w:rsid w:val="007E4C0E"/>
    <w:rsid w:val="007F1259"/>
    <w:rsid w:val="007F2029"/>
    <w:rsid w:val="008042F2"/>
    <w:rsid w:val="00877EBC"/>
    <w:rsid w:val="008A134B"/>
    <w:rsid w:val="008B2CC1"/>
    <w:rsid w:val="008B60B2"/>
    <w:rsid w:val="008E1484"/>
    <w:rsid w:val="0090731E"/>
    <w:rsid w:val="00916EE2"/>
    <w:rsid w:val="00965551"/>
    <w:rsid w:val="00966A22"/>
    <w:rsid w:val="0096722F"/>
    <w:rsid w:val="00980843"/>
    <w:rsid w:val="009A0659"/>
    <w:rsid w:val="009A5ED7"/>
    <w:rsid w:val="009B0855"/>
    <w:rsid w:val="009C4C03"/>
    <w:rsid w:val="009E2791"/>
    <w:rsid w:val="009E3F6F"/>
    <w:rsid w:val="009F499F"/>
    <w:rsid w:val="009F5812"/>
    <w:rsid w:val="00A37342"/>
    <w:rsid w:val="00A42DAF"/>
    <w:rsid w:val="00A45BD8"/>
    <w:rsid w:val="00A869B7"/>
    <w:rsid w:val="00A90F0A"/>
    <w:rsid w:val="00AC205C"/>
    <w:rsid w:val="00AE63EE"/>
    <w:rsid w:val="00AF0A6B"/>
    <w:rsid w:val="00B05A69"/>
    <w:rsid w:val="00B072B6"/>
    <w:rsid w:val="00B42CA9"/>
    <w:rsid w:val="00B51FF7"/>
    <w:rsid w:val="00B75281"/>
    <w:rsid w:val="00B8005E"/>
    <w:rsid w:val="00B82DB8"/>
    <w:rsid w:val="00B86A09"/>
    <w:rsid w:val="00B92F1F"/>
    <w:rsid w:val="00B9734B"/>
    <w:rsid w:val="00BA30E2"/>
    <w:rsid w:val="00BC087D"/>
    <w:rsid w:val="00BD5C68"/>
    <w:rsid w:val="00C10E1C"/>
    <w:rsid w:val="00C11BFE"/>
    <w:rsid w:val="00C130A9"/>
    <w:rsid w:val="00C15651"/>
    <w:rsid w:val="00C176B5"/>
    <w:rsid w:val="00C32596"/>
    <w:rsid w:val="00C5068F"/>
    <w:rsid w:val="00C67382"/>
    <w:rsid w:val="00C86D74"/>
    <w:rsid w:val="00CB3DBA"/>
    <w:rsid w:val="00CB4C6E"/>
    <w:rsid w:val="00CC3E2D"/>
    <w:rsid w:val="00CC5455"/>
    <w:rsid w:val="00CD04F1"/>
    <w:rsid w:val="00CE19F8"/>
    <w:rsid w:val="00CF681A"/>
    <w:rsid w:val="00D07C78"/>
    <w:rsid w:val="00D07F9E"/>
    <w:rsid w:val="00D45252"/>
    <w:rsid w:val="00D52326"/>
    <w:rsid w:val="00D60B2C"/>
    <w:rsid w:val="00D653CD"/>
    <w:rsid w:val="00D67EAE"/>
    <w:rsid w:val="00D71B4D"/>
    <w:rsid w:val="00D90B96"/>
    <w:rsid w:val="00D93D55"/>
    <w:rsid w:val="00DD7B7F"/>
    <w:rsid w:val="00DE7004"/>
    <w:rsid w:val="00E139E7"/>
    <w:rsid w:val="00E15015"/>
    <w:rsid w:val="00E319DF"/>
    <w:rsid w:val="00E335FE"/>
    <w:rsid w:val="00E66CC5"/>
    <w:rsid w:val="00E67425"/>
    <w:rsid w:val="00E7374D"/>
    <w:rsid w:val="00EA7534"/>
    <w:rsid w:val="00EA7D6E"/>
    <w:rsid w:val="00EB2F76"/>
    <w:rsid w:val="00EC0C9B"/>
    <w:rsid w:val="00EC4E49"/>
    <w:rsid w:val="00ED77FB"/>
    <w:rsid w:val="00ED7D7A"/>
    <w:rsid w:val="00EE066C"/>
    <w:rsid w:val="00EE1A0A"/>
    <w:rsid w:val="00EE45FA"/>
    <w:rsid w:val="00F043DE"/>
    <w:rsid w:val="00F24613"/>
    <w:rsid w:val="00F66152"/>
    <w:rsid w:val="00F9165B"/>
    <w:rsid w:val="00FC482F"/>
    <w:rsid w:val="00FD72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A9C4E91-4BEC-400A-A0E6-C272B21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 w:type="paragraph" w:styleId="ListParagraph">
    <w:name w:val="List Paragraph"/>
    <w:basedOn w:val="Normal"/>
    <w:uiPriority w:val="34"/>
    <w:qFormat/>
    <w:rsid w:val="00C17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696E-BCDB-4DBF-9EDC-4FA20DC7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382</Words>
  <Characters>2024</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MM/A/56/INF/1  (Arabic)</dc:title>
  <dc:creator>WIPO</dc:creator>
  <cp:keywords>PUBLIC</cp:keywords>
  <cp:lastModifiedBy>HÄFLIGER Patience</cp:lastModifiedBy>
  <cp:revision>20</cp:revision>
  <cp:lastPrinted>2022-07-05T07:08:00Z</cp:lastPrinted>
  <dcterms:created xsi:type="dcterms:W3CDTF">2022-06-01T10:25:00Z</dcterms:created>
  <dcterms:modified xsi:type="dcterms:W3CDTF">2022-07-05T09:06:00Z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