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8A7993" w:rsidP="004123D5">
            <w:pPr>
              <w:pStyle w:val="DocumentCodeAR"/>
              <w:bidi/>
              <w:rPr>
                <w:rtl/>
              </w:rPr>
            </w:pPr>
            <w:r>
              <w:t>PCT</w:t>
            </w:r>
            <w:r w:rsidR="00772E46">
              <w:t>/</w:t>
            </w:r>
            <w:r w:rsidR="0059089F">
              <w:t>A</w:t>
            </w:r>
            <w:r w:rsidR="00100F97">
              <w:t>/</w:t>
            </w:r>
            <w:r w:rsidR="003F373A">
              <w:t>4</w:t>
            </w:r>
            <w:r w:rsidR="00BB340F">
              <w:t>8</w:t>
            </w:r>
            <w:r w:rsidR="007E1C34">
              <w:t>/2</w:t>
            </w:r>
          </w:p>
        </w:tc>
      </w:tr>
      <w:tr w:rsidR="001667B6" w:rsidTr="00BF164F">
        <w:tc>
          <w:tcPr>
            <w:tcW w:w="9571" w:type="dxa"/>
            <w:gridSpan w:val="3"/>
          </w:tcPr>
          <w:p w:rsidR="001667B6" w:rsidRPr="00B6101C" w:rsidRDefault="00B6101C" w:rsidP="007E1C34">
            <w:pPr>
              <w:pStyle w:val="DocumentLanguageAR"/>
              <w:bidi/>
              <w:rPr>
                <w:rtl/>
              </w:rPr>
            </w:pPr>
            <w:r w:rsidRPr="00B6101C">
              <w:rPr>
                <w:rFonts w:hint="cs"/>
                <w:rtl/>
              </w:rPr>
              <w:t xml:space="preserve">الأصل: </w:t>
            </w:r>
            <w:r w:rsidR="007E1C34">
              <w:rPr>
                <w:rFonts w:hint="cs"/>
                <w:rtl/>
              </w:rPr>
              <w:t>بالإنكليزية</w:t>
            </w:r>
          </w:p>
        </w:tc>
      </w:tr>
      <w:tr w:rsidR="001667B6" w:rsidTr="00BF164F">
        <w:tc>
          <w:tcPr>
            <w:tcW w:w="9571" w:type="dxa"/>
            <w:gridSpan w:val="3"/>
          </w:tcPr>
          <w:p w:rsidR="001667B6" w:rsidRPr="00B6101C" w:rsidRDefault="00B6101C" w:rsidP="007E1C34">
            <w:pPr>
              <w:pStyle w:val="DocumentDateAR"/>
              <w:bidi/>
              <w:rPr>
                <w:rtl/>
              </w:rPr>
            </w:pPr>
            <w:r w:rsidRPr="00B6101C">
              <w:rPr>
                <w:rFonts w:hint="cs"/>
                <w:rtl/>
              </w:rPr>
              <w:t xml:space="preserve">التاريخ: </w:t>
            </w:r>
            <w:r w:rsidR="007E1C34">
              <w:rPr>
                <w:rFonts w:hint="cs"/>
                <w:rtl/>
              </w:rPr>
              <w:t>4</w:t>
            </w:r>
            <w:r w:rsidRPr="00B6101C">
              <w:rPr>
                <w:rFonts w:hint="cs"/>
                <w:rtl/>
              </w:rPr>
              <w:t xml:space="preserve"> </w:t>
            </w:r>
            <w:r w:rsidR="007E1C34">
              <w:rPr>
                <w:rFonts w:hint="cs"/>
                <w:rtl/>
              </w:rPr>
              <w:t>يوليو</w:t>
            </w:r>
            <w:r w:rsidRPr="00B6101C">
              <w:rPr>
                <w:rFonts w:hint="cs"/>
                <w:rtl/>
              </w:rPr>
              <w:t xml:space="preserve"> </w:t>
            </w:r>
            <w:r w:rsidR="00BB340F">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EC1388" w:rsidRPr="008A7993" w:rsidRDefault="008A7993" w:rsidP="008A7993">
      <w:pPr>
        <w:pStyle w:val="MeetingTitleAR"/>
        <w:bidi/>
        <w:rPr>
          <w:rtl/>
        </w:rPr>
      </w:pPr>
      <w:r>
        <w:rPr>
          <w:rFonts w:hint="cs"/>
          <w:rtl/>
          <w:lang w:val="fr-CH"/>
        </w:rPr>
        <w:t>اتحاد معاهدة التعاون بشأن البراءات</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E1775E" w:rsidP="00BB340F">
      <w:pPr>
        <w:pStyle w:val="MeetingSessionAR"/>
        <w:bidi/>
        <w:rPr>
          <w:rFonts w:ascii="Cambria Math" w:hAnsi="Cambria Math"/>
          <w:rtl/>
        </w:rPr>
      </w:pPr>
      <w:r>
        <w:rPr>
          <w:rFonts w:ascii="Cambria Math" w:hAnsi="Cambria Math"/>
          <w:rtl/>
        </w:rPr>
        <w:t>الدورة</w:t>
      </w:r>
      <w:r>
        <w:rPr>
          <w:rFonts w:ascii="Cambria Math" w:hAnsi="Cambria Math" w:hint="cs"/>
          <w:rtl/>
          <w:lang w:val="fr-CH"/>
        </w:rPr>
        <w:t xml:space="preserve"> </w:t>
      </w:r>
      <w:r w:rsidR="00BB340F">
        <w:rPr>
          <w:rFonts w:ascii="Cambria Math" w:hAnsi="Cambria Math" w:hint="cs"/>
          <w:rtl/>
          <w:lang w:val="fr-CH"/>
        </w:rPr>
        <w:t>الثامنة</w:t>
      </w:r>
      <w:r w:rsidR="008A7993">
        <w:rPr>
          <w:rFonts w:ascii="Cambria Math" w:hAnsi="Cambria Math" w:hint="cs"/>
          <w:rtl/>
          <w:lang w:val="fr-CH"/>
        </w:rPr>
        <w:t xml:space="preserve"> والأربعون</w:t>
      </w:r>
      <w:r w:rsidR="00EC1388">
        <w:rPr>
          <w:rFonts w:ascii="Cambria Math" w:hAnsi="Cambria Math" w:hint="cs"/>
          <w:rtl/>
        </w:rPr>
        <w:t xml:space="preserve"> </w:t>
      </w:r>
      <w:r w:rsidR="0059089F" w:rsidRPr="0059089F">
        <w:rPr>
          <w:rFonts w:ascii="Cambria Math" w:hAnsi="Cambria Math"/>
          <w:rtl/>
        </w:rPr>
        <w:t xml:space="preserve">(الدورة </w:t>
      </w:r>
      <w:r w:rsidR="00BB340F">
        <w:rPr>
          <w:rFonts w:ascii="Cambria Math" w:hAnsi="Cambria Math" w:hint="cs"/>
          <w:rtl/>
        </w:rPr>
        <w:t>الاستثنائية الثامنة و</w:t>
      </w:r>
      <w:r w:rsidR="003F373A">
        <w:rPr>
          <w:rFonts w:ascii="Cambria Math" w:hAnsi="Cambria Math" w:hint="cs"/>
          <w:rtl/>
        </w:rPr>
        <w:t>العشرون</w:t>
      </w:r>
      <w:r w:rsidR="0059089F" w:rsidRPr="0059089F">
        <w:rPr>
          <w:rFonts w:ascii="Cambria Math" w:hAnsi="Cambria Math"/>
          <w:rtl/>
        </w:rPr>
        <w:t>)</w:t>
      </w:r>
    </w:p>
    <w:p w:rsidR="00D61541" w:rsidRPr="00D61541" w:rsidRDefault="00D61541" w:rsidP="00BB340F">
      <w:pPr>
        <w:pStyle w:val="MeetingDatesAR"/>
        <w:bidi/>
        <w:rPr>
          <w:rtl/>
        </w:rPr>
      </w:pPr>
      <w:r w:rsidRPr="00D61541">
        <w:rPr>
          <w:rFonts w:hint="cs"/>
          <w:rtl/>
        </w:rPr>
        <w:t xml:space="preserve">جنيف، من </w:t>
      </w:r>
      <w:r w:rsidR="00BB340F">
        <w:rPr>
          <w:rFonts w:hint="cs"/>
          <w:rtl/>
        </w:rPr>
        <w:t>3</w:t>
      </w:r>
      <w:r w:rsidR="00983389">
        <w:rPr>
          <w:rFonts w:hint="cs"/>
          <w:rtl/>
        </w:rPr>
        <w:t xml:space="preserve"> </w:t>
      </w:r>
      <w:r w:rsidR="003F373A">
        <w:rPr>
          <w:rFonts w:hint="cs"/>
          <w:rtl/>
        </w:rPr>
        <w:t xml:space="preserve">إلى </w:t>
      </w:r>
      <w:r w:rsidR="00BB340F">
        <w:rPr>
          <w:rFonts w:hint="cs"/>
          <w:rtl/>
        </w:rPr>
        <w:t>11</w:t>
      </w:r>
      <w:r w:rsidR="004123D5">
        <w:rPr>
          <w:rFonts w:hint="cs"/>
          <w:rtl/>
        </w:rPr>
        <w:t xml:space="preserve"> أكتوبر</w:t>
      </w:r>
      <w:r w:rsidR="003F373A">
        <w:rPr>
          <w:rFonts w:hint="cs"/>
          <w:rtl/>
        </w:rPr>
        <w:t xml:space="preserve"> </w:t>
      </w:r>
      <w:r w:rsidR="00BB340F">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14749" w:rsidP="00FB7EC9">
      <w:pPr>
        <w:pStyle w:val="DocumentTitleAR"/>
        <w:bidi/>
        <w:rPr>
          <w:rtl/>
        </w:rPr>
      </w:pPr>
      <w:r>
        <w:rPr>
          <w:rtl/>
        </w:rPr>
        <w:t>عمل الإدارات الدولية المتعلق</w:t>
      </w:r>
      <w:r w:rsidRPr="00614749">
        <w:rPr>
          <w:rtl/>
        </w:rPr>
        <w:t xml:space="preserve"> بالجودة</w:t>
      </w:r>
    </w:p>
    <w:p w:rsidR="00D61541" w:rsidRPr="00D61541" w:rsidRDefault="00614749"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المكتب الدولي</w:t>
      </w:r>
    </w:p>
    <w:p w:rsidR="00D61541" w:rsidRPr="00614749" w:rsidRDefault="00614749" w:rsidP="00614749">
      <w:pPr>
        <w:pStyle w:val="NormalParaAR"/>
        <w:keepNext/>
        <w:rPr>
          <w:rFonts w:hint="cs"/>
          <w:b/>
          <w:bCs/>
          <w:sz w:val="40"/>
          <w:szCs w:val="40"/>
          <w:rtl/>
        </w:rPr>
      </w:pPr>
      <w:r w:rsidRPr="00614749">
        <w:rPr>
          <w:rFonts w:hint="cs"/>
          <w:b/>
          <w:bCs/>
          <w:sz w:val="40"/>
          <w:szCs w:val="40"/>
          <w:rtl/>
        </w:rPr>
        <w:t>ملخص</w:t>
      </w:r>
    </w:p>
    <w:p w:rsidR="00BB340F" w:rsidRDefault="00614749" w:rsidP="00E2298D">
      <w:pPr>
        <w:pStyle w:val="NumberedParaAR"/>
        <w:rPr>
          <w:rFonts w:hint="cs"/>
        </w:rPr>
      </w:pPr>
      <w:r w:rsidRPr="00614749">
        <w:rPr>
          <w:rtl/>
        </w:rPr>
        <w:t xml:space="preserve">تحتوي هذه الوثيقة على تقرير موجز عن العمل المتواصل المتعلق بالجودة الذي </w:t>
      </w:r>
      <w:r w:rsidRPr="00614749">
        <w:rPr>
          <w:rFonts w:hint="cs"/>
          <w:rtl/>
        </w:rPr>
        <w:t xml:space="preserve">تنفّذه </w:t>
      </w:r>
      <w:r w:rsidRPr="00614749">
        <w:rPr>
          <w:rtl/>
        </w:rPr>
        <w:t>إدارات البحث الدولي والفحص التمهيدي الدولي بناء على معاهدة التعاون بشأن البراءات ("الإدارات الدولية</w:t>
      </w:r>
      <w:r w:rsidRPr="00614749">
        <w:t>"</w:t>
      </w:r>
      <w:r w:rsidRPr="00614749">
        <w:rPr>
          <w:rtl/>
        </w:rPr>
        <w:t>)، وهو يُتابَع، بصورة رئيسية، من خلال</w:t>
      </w:r>
      <w:r w:rsidRPr="00614749">
        <w:t xml:space="preserve"> </w:t>
      </w:r>
      <w:r w:rsidRPr="00614749">
        <w:rPr>
          <w:rtl/>
        </w:rPr>
        <w:t xml:space="preserve">عمل الفريق الفرعي المعني بالجودة الذي أنشأه اجتماع الإدارات الدولية في دورته السابعة عشرة </w:t>
      </w:r>
      <w:r w:rsidR="00E2298D">
        <w:rPr>
          <w:rFonts w:hint="cs"/>
          <w:rtl/>
        </w:rPr>
        <w:t xml:space="preserve">في </w:t>
      </w:r>
      <w:r w:rsidRPr="00614749">
        <w:rPr>
          <w:rtl/>
        </w:rPr>
        <w:t>عام</w:t>
      </w:r>
      <w:r w:rsidR="00E2298D">
        <w:rPr>
          <w:rFonts w:hint="cs"/>
          <w:rtl/>
        </w:rPr>
        <w:t> </w:t>
      </w:r>
      <w:r w:rsidRPr="00614749">
        <w:rPr>
          <w:rtl/>
        </w:rPr>
        <w:t>2009</w:t>
      </w:r>
      <w:r w:rsidRPr="00614749">
        <w:rPr>
          <w:rFonts w:hint="cs"/>
          <w:rtl/>
        </w:rPr>
        <w:t xml:space="preserve"> ("الفريق الفرعي")</w:t>
      </w:r>
      <w:r w:rsidR="00E2298D">
        <w:rPr>
          <w:rFonts w:hint="cs"/>
          <w:rtl/>
        </w:rPr>
        <w:t>.</w:t>
      </w:r>
    </w:p>
    <w:p w:rsidR="00E2298D" w:rsidRPr="00E2298D" w:rsidRDefault="00E2298D" w:rsidP="00E2298D">
      <w:pPr>
        <w:pStyle w:val="NormalParaAR"/>
        <w:keepNext/>
        <w:rPr>
          <w:rFonts w:hint="cs"/>
          <w:b/>
          <w:bCs/>
          <w:sz w:val="40"/>
          <w:szCs w:val="40"/>
          <w:rtl/>
        </w:rPr>
      </w:pPr>
      <w:r w:rsidRPr="00E2298D">
        <w:rPr>
          <w:rFonts w:hint="cs"/>
          <w:b/>
          <w:bCs/>
          <w:sz w:val="40"/>
          <w:szCs w:val="40"/>
          <w:rtl/>
        </w:rPr>
        <w:t>العمل المتواصل المتعلق بالجودة</w:t>
      </w:r>
    </w:p>
    <w:p w:rsidR="00E2298D" w:rsidRDefault="00E2298D" w:rsidP="007E1C34">
      <w:pPr>
        <w:pStyle w:val="NumberedParaAR"/>
        <w:rPr>
          <w:rFonts w:hint="cs"/>
        </w:rPr>
      </w:pPr>
      <w:r w:rsidRPr="00E2298D">
        <w:rPr>
          <w:rFonts w:hint="cs"/>
          <w:rtl/>
        </w:rPr>
        <w:t xml:space="preserve">عقد الفريق الفرعي </w:t>
      </w:r>
      <w:r w:rsidRPr="00E2298D">
        <w:rPr>
          <w:rtl/>
        </w:rPr>
        <w:t xml:space="preserve">دورة غير رسمية </w:t>
      </w:r>
      <w:r>
        <w:rPr>
          <w:rFonts w:hint="cs"/>
          <w:rtl/>
        </w:rPr>
        <w:t>سادسة</w:t>
      </w:r>
      <w:r w:rsidRPr="00E2298D">
        <w:rPr>
          <w:rFonts w:hint="cs"/>
          <w:rtl/>
        </w:rPr>
        <w:t xml:space="preserve"> </w:t>
      </w:r>
      <w:r w:rsidRPr="00E2298D">
        <w:rPr>
          <w:rtl/>
        </w:rPr>
        <w:t xml:space="preserve">في </w:t>
      </w:r>
      <w:r w:rsidR="005B7F5A">
        <w:rPr>
          <w:rFonts w:hint="cs"/>
          <w:rtl/>
        </w:rPr>
        <w:t>سنتياغو</w:t>
      </w:r>
      <w:r w:rsidRPr="00E2298D">
        <w:rPr>
          <w:rFonts w:hint="cs"/>
          <w:rtl/>
        </w:rPr>
        <w:t xml:space="preserve"> </w:t>
      </w:r>
      <w:r w:rsidRPr="00E2298D">
        <w:rPr>
          <w:rtl/>
        </w:rPr>
        <w:t xml:space="preserve">في </w:t>
      </w:r>
      <w:r w:rsidR="005B7F5A">
        <w:rPr>
          <w:rFonts w:hint="cs"/>
          <w:rtl/>
        </w:rPr>
        <w:t>يناير</w:t>
      </w:r>
      <w:r w:rsidR="007E1C34">
        <w:rPr>
          <w:rFonts w:hint="cs"/>
          <w:rtl/>
        </w:rPr>
        <w:t> </w:t>
      </w:r>
      <w:r w:rsidR="005B7F5A">
        <w:rPr>
          <w:rFonts w:hint="cs"/>
          <w:rtl/>
        </w:rPr>
        <w:t>2016</w:t>
      </w:r>
      <w:r w:rsidRPr="00E2298D">
        <w:rPr>
          <w:rtl/>
        </w:rPr>
        <w:t xml:space="preserve">، قُبيل الدورة </w:t>
      </w:r>
      <w:r w:rsidR="005B7F5A">
        <w:rPr>
          <w:rFonts w:hint="cs"/>
          <w:rtl/>
        </w:rPr>
        <w:t>الثالثة</w:t>
      </w:r>
      <w:r w:rsidRPr="00E2298D">
        <w:rPr>
          <w:rFonts w:hint="cs"/>
          <w:rtl/>
        </w:rPr>
        <w:t xml:space="preserve"> و</w:t>
      </w:r>
      <w:r w:rsidRPr="00E2298D">
        <w:rPr>
          <w:rtl/>
        </w:rPr>
        <w:t xml:space="preserve">العشرين لاجتماع الإدارات الدولية. </w:t>
      </w:r>
      <w:r w:rsidRPr="00E2298D">
        <w:rPr>
          <w:rFonts w:hint="cs"/>
          <w:rtl/>
        </w:rPr>
        <w:t>ويرد النص الكامل ل</w:t>
      </w:r>
      <w:r w:rsidRPr="00E2298D">
        <w:rPr>
          <w:rtl/>
        </w:rPr>
        <w:t>ملخص</w:t>
      </w:r>
      <w:r w:rsidRPr="00E2298D">
        <w:rPr>
          <w:rFonts w:hint="cs"/>
          <w:rtl/>
        </w:rPr>
        <w:t>ي</w:t>
      </w:r>
      <w:r w:rsidRPr="00E2298D">
        <w:rPr>
          <w:rtl/>
        </w:rPr>
        <w:t xml:space="preserve"> </w:t>
      </w:r>
      <w:r w:rsidRPr="00E2298D">
        <w:rPr>
          <w:rFonts w:hint="cs"/>
          <w:rtl/>
        </w:rPr>
        <w:t xml:space="preserve">رئيسي الاجتماعين </w:t>
      </w:r>
      <w:r w:rsidRPr="00E2298D">
        <w:rPr>
          <w:rtl/>
        </w:rPr>
        <w:t>في الوثيقة</w:t>
      </w:r>
      <w:r w:rsidR="007E1C34">
        <w:rPr>
          <w:rFonts w:hint="eastAsia"/>
          <w:rtl/>
        </w:rPr>
        <w:t> </w:t>
      </w:r>
      <w:r w:rsidRPr="00E2298D">
        <w:t>PCT/MIA/</w:t>
      </w:r>
      <w:r w:rsidR="005B7F5A">
        <w:t>23</w:t>
      </w:r>
      <w:r w:rsidRPr="00E2298D">
        <w:t>/</w:t>
      </w:r>
      <w:r w:rsidR="005B7F5A">
        <w:t>14</w:t>
      </w:r>
      <w:r w:rsidRPr="00E2298D">
        <w:rPr>
          <w:rFonts w:hint="cs"/>
          <w:rtl/>
        </w:rPr>
        <w:t>)</w:t>
      </w:r>
      <w:r w:rsidRPr="00E2298D">
        <w:rPr>
          <w:vertAlign w:val="superscript"/>
          <w:rtl/>
        </w:rPr>
        <w:footnoteReference w:id="1"/>
      </w:r>
      <w:r w:rsidRPr="00E2298D">
        <w:rPr>
          <w:rtl/>
        </w:rPr>
        <w:t>.</w:t>
      </w:r>
    </w:p>
    <w:p w:rsidR="005B7F5A" w:rsidRDefault="005B7F5A" w:rsidP="005B7F5A">
      <w:pPr>
        <w:pStyle w:val="NumberedParaAR"/>
        <w:rPr>
          <w:rFonts w:hint="cs"/>
        </w:rPr>
      </w:pPr>
      <w:r w:rsidRPr="005B7F5A">
        <w:rPr>
          <w:rtl/>
        </w:rPr>
        <w:t>ومن البنود التي ناقشها الفريق الفرعي</w:t>
      </w:r>
      <w:r w:rsidRPr="005B7F5A">
        <w:rPr>
          <w:rFonts w:hint="cs"/>
          <w:rtl/>
        </w:rPr>
        <w:t xml:space="preserve"> في</w:t>
      </w:r>
      <w:r w:rsidRPr="005B7F5A">
        <w:rPr>
          <w:rtl/>
        </w:rPr>
        <w:t xml:space="preserve"> دورته غير الرسمية </w:t>
      </w:r>
      <w:r>
        <w:rPr>
          <w:rFonts w:hint="cs"/>
          <w:rtl/>
        </w:rPr>
        <w:t>السادسة</w:t>
      </w:r>
      <w:r w:rsidRPr="005B7F5A">
        <w:rPr>
          <w:rFonts w:hint="cs"/>
          <w:rtl/>
        </w:rPr>
        <w:t xml:space="preserve"> </w:t>
      </w:r>
      <w:r w:rsidRPr="005B7F5A">
        <w:rPr>
          <w:rtl/>
        </w:rPr>
        <w:t>مهمات مختلفة تتعلق بتحسين الجودة</w:t>
      </w:r>
      <w:r w:rsidRPr="005B7F5A">
        <w:rPr>
          <w:rFonts w:hint="cs"/>
          <w:rtl/>
        </w:rPr>
        <w:t xml:space="preserve"> نفّذها </w:t>
      </w:r>
      <w:r w:rsidRPr="005B7F5A">
        <w:rPr>
          <w:rtl/>
        </w:rPr>
        <w:t>الفريق الفرعي بناء على طلب اجتماع الإدارات الدولية.</w:t>
      </w:r>
    </w:p>
    <w:p w:rsidR="005B7F5A" w:rsidRDefault="005B7F5A" w:rsidP="009057D4">
      <w:pPr>
        <w:pStyle w:val="NumberedParaAR"/>
        <w:rPr>
          <w:rFonts w:hint="cs"/>
        </w:rPr>
      </w:pPr>
      <w:r w:rsidRPr="005B7F5A">
        <w:rPr>
          <w:rFonts w:hint="cs"/>
          <w:rtl/>
        </w:rPr>
        <w:t>وتحت العنوان "أنظمة إدارة الجودة"، استعرض الفريق الفرعي التقارير السنوية عن أنظمة إدارة الجودة</w:t>
      </w:r>
      <w:r w:rsidRPr="005B7F5A">
        <w:rPr>
          <w:vertAlign w:val="superscript"/>
          <w:rtl/>
        </w:rPr>
        <w:footnoteReference w:id="2"/>
      </w:r>
      <w:r w:rsidRPr="005B7F5A">
        <w:rPr>
          <w:rFonts w:hint="cs"/>
          <w:rtl/>
        </w:rPr>
        <w:t xml:space="preserve"> ونظر في </w:t>
      </w:r>
      <w:r>
        <w:rPr>
          <w:rFonts w:hint="cs"/>
          <w:rtl/>
        </w:rPr>
        <w:t xml:space="preserve">عدد من </w:t>
      </w:r>
      <w:r w:rsidRPr="005B7F5A">
        <w:rPr>
          <w:rFonts w:hint="cs"/>
          <w:rtl/>
        </w:rPr>
        <w:t>المجالات التي قد يكون من المفيد الاستمرار في استعراضها وتبادل المعلومات عنها</w:t>
      </w:r>
      <w:r>
        <w:rPr>
          <w:rFonts w:hint="cs"/>
          <w:rtl/>
        </w:rPr>
        <w:t xml:space="preserve">، طبقا للاتفاق </w:t>
      </w:r>
      <w:r w:rsidR="0006605F">
        <w:rPr>
          <w:rFonts w:hint="cs"/>
          <w:rtl/>
        </w:rPr>
        <w:t>الذي توصلت إليه</w:t>
      </w:r>
      <w:r>
        <w:rPr>
          <w:rFonts w:hint="cs"/>
          <w:rtl/>
        </w:rPr>
        <w:t xml:space="preserve"> </w:t>
      </w:r>
      <w:r w:rsidR="0006605F">
        <w:rPr>
          <w:rFonts w:hint="cs"/>
          <w:rtl/>
        </w:rPr>
        <w:lastRenderedPageBreak/>
        <w:t>الإدارات والقاضي بضرورة</w:t>
      </w:r>
      <w:r>
        <w:rPr>
          <w:rFonts w:hint="cs"/>
          <w:rtl/>
        </w:rPr>
        <w:t xml:space="preserve"> </w:t>
      </w:r>
      <w:r w:rsidR="00541F5B">
        <w:rPr>
          <w:rFonts w:hint="cs"/>
          <w:rtl/>
        </w:rPr>
        <w:t xml:space="preserve">أن </w:t>
      </w:r>
      <w:r w:rsidR="0006605F">
        <w:rPr>
          <w:rFonts w:hint="cs"/>
          <w:rtl/>
        </w:rPr>
        <w:t>تتجاوز</w:t>
      </w:r>
      <w:r w:rsidR="00541F5B">
        <w:rPr>
          <w:rFonts w:hint="cs"/>
          <w:rtl/>
        </w:rPr>
        <w:t xml:space="preserve"> المناقشات مجرّد </w:t>
      </w:r>
      <w:r w:rsidR="0006605F">
        <w:rPr>
          <w:rFonts w:hint="cs"/>
          <w:rtl/>
        </w:rPr>
        <w:t>إبلاغ</w:t>
      </w:r>
      <w:r w:rsidR="00541F5B">
        <w:rPr>
          <w:rFonts w:hint="cs"/>
          <w:rtl/>
        </w:rPr>
        <w:t xml:space="preserve"> الإدارات عن أنظمتها </w:t>
      </w:r>
      <w:r w:rsidR="0006605F">
        <w:rPr>
          <w:rFonts w:hint="cs"/>
          <w:rtl/>
        </w:rPr>
        <w:t>القائمة</w:t>
      </w:r>
      <w:r w:rsidR="00541F5B">
        <w:rPr>
          <w:rFonts w:hint="cs"/>
          <w:rtl/>
        </w:rPr>
        <w:t xml:space="preserve"> لإدارة الجودة وأن تركّز على أنشطة محدّدة </w:t>
      </w:r>
      <w:r w:rsidR="0006605F">
        <w:rPr>
          <w:rFonts w:hint="cs"/>
          <w:rtl/>
        </w:rPr>
        <w:t xml:space="preserve">من أنشطة إدارة الجودة التي تضطلع بها الإدارات بهدف التعلّم من تجارب بعضها البعض. وشملت </w:t>
      </w:r>
      <w:r w:rsidR="009057D4">
        <w:rPr>
          <w:rFonts w:hint="cs"/>
          <w:rtl/>
        </w:rPr>
        <w:t>المسائل</w:t>
      </w:r>
      <w:r w:rsidR="0006605F">
        <w:rPr>
          <w:rFonts w:hint="cs"/>
          <w:rtl/>
        </w:rPr>
        <w:t xml:space="preserve"> التي نوقشت ما يلي:</w:t>
      </w:r>
    </w:p>
    <w:p w:rsidR="0006605F" w:rsidRDefault="0006605F" w:rsidP="003D1D92">
      <w:pPr>
        <w:pStyle w:val="NormalParaAR"/>
        <w:ind w:left="566"/>
        <w:rPr>
          <w:rFonts w:hint="cs"/>
          <w:rtl/>
          <w:lang w:bidi="ar-EG"/>
        </w:rPr>
      </w:pPr>
      <w:r>
        <w:rPr>
          <w:rFonts w:hint="cs"/>
          <w:rtl/>
        </w:rPr>
        <w:t>(أ)</w:t>
      </w:r>
      <w:r>
        <w:rPr>
          <w:rtl/>
        </w:rPr>
        <w:tab/>
      </w:r>
      <w:r w:rsidRPr="0006605F">
        <w:rPr>
          <w:rFonts w:hint="cs"/>
          <w:rtl/>
          <w:lang w:bidi="ar-EG"/>
        </w:rPr>
        <w:t xml:space="preserve">تقاسم السياسات والمبادئ التوجيهية الخاصة بالجودة، ومعلومات عن </w:t>
      </w:r>
      <w:proofErr w:type="spellStart"/>
      <w:r w:rsidRPr="0006605F">
        <w:rPr>
          <w:rFonts w:hint="cs"/>
          <w:rtl/>
          <w:lang w:bidi="ar-EG"/>
        </w:rPr>
        <w:t>نمذجة</w:t>
      </w:r>
      <w:proofErr w:type="spellEnd"/>
      <w:r w:rsidRPr="0006605F">
        <w:rPr>
          <w:rFonts w:hint="cs"/>
          <w:rtl/>
          <w:lang w:bidi="ar-EG"/>
        </w:rPr>
        <w:t xml:space="preserve"> الحالات في إجراءات ضمان الجودة، والقوائم المرجعية في إجراءات ضمان الجودة</w:t>
      </w:r>
      <w:r w:rsidR="003D1D92">
        <w:rPr>
          <w:rFonts w:hint="cs"/>
          <w:rtl/>
          <w:lang w:bidi="ar-EG"/>
        </w:rPr>
        <w:t xml:space="preserve"> (الفقرتان</w:t>
      </w:r>
      <w:r w:rsidR="003D1D92">
        <w:rPr>
          <w:rFonts w:hint="eastAsia"/>
          <w:rtl/>
          <w:lang w:bidi="ar-EG"/>
        </w:rPr>
        <w:t> </w:t>
      </w:r>
      <w:r w:rsidR="003D1D92">
        <w:rPr>
          <w:rFonts w:hint="cs"/>
          <w:rtl/>
          <w:lang w:bidi="ar-EG"/>
        </w:rPr>
        <w:t>7 و8 من المرفق الثاني من الوثيقة</w:t>
      </w:r>
      <w:r w:rsidR="003D1D92">
        <w:rPr>
          <w:rFonts w:hint="eastAsia"/>
          <w:rtl/>
          <w:lang w:bidi="ar-EG"/>
        </w:rPr>
        <w:t> </w:t>
      </w:r>
      <w:r w:rsidR="003D1D92" w:rsidRPr="003D1D92">
        <w:rPr>
          <w:lang w:bidi="ar-EG"/>
        </w:rPr>
        <w:t>PCT/MIA/23/14</w:t>
      </w:r>
      <w:r w:rsidR="003D1D92">
        <w:rPr>
          <w:rFonts w:hint="cs"/>
          <w:rtl/>
          <w:lang w:bidi="ar-EG"/>
        </w:rPr>
        <w:t>)؛</w:t>
      </w:r>
    </w:p>
    <w:p w:rsidR="003D1D92" w:rsidRDefault="003D1D92" w:rsidP="003D1D92">
      <w:pPr>
        <w:pStyle w:val="NormalParaAR"/>
        <w:ind w:left="566"/>
        <w:rPr>
          <w:rFonts w:hint="cs"/>
          <w:rtl/>
          <w:lang w:bidi="ar-EG"/>
        </w:rPr>
      </w:pPr>
      <w:r>
        <w:rPr>
          <w:rFonts w:hint="cs"/>
          <w:rtl/>
          <w:lang w:bidi="ar-EG"/>
        </w:rPr>
        <w:t>(ب)</w:t>
      </w:r>
      <w:r>
        <w:rPr>
          <w:rtl/>
          <w:lang w:bidi="ar-EG"/>
        </w:rPr>
        <w:tab/>
      </w:r>
      <w:r>
        <w:rPr>
          <w:rFonts w:hint="cs"/>
          <w:rtl/>
          <w:lang w:bidi="ar-EG"/>
        </w:rPr>
        <w:t>استخدام المقاييس ال</w:t>
      </w:r>
      <w:r w:rsidRPr="003D1D92">
        <w:rPr>
          <w:rFonts w:hint="cs"/>
          <w:rtl/>
          <w:lang w:bidi="ar-EG"/>
        </w:rPr>
        <w:t xml:space="preserve">كمية </w:t>
      </w:r>
      <w:r>
        <w:rPr>
          <w:rFonts w:hint="cs"/>
          <w:rtl/>
          <w:lang w:bidi="ar-EG"/>
        </w:rPr>
        <w:t>فيما يخص جودة فحص البراءات (الفقرتان</w:t>
      </w:r>
      <w:r>
        <w:rPr>
          <w:rFonts w:hint="eastAsia"/>
          <w:rtl/>
          <w:lang w:bidi="ar-EG"/>
        </w:rPr>
        <w:t> </w:t>
      </w:r>
      <w:r>
        <w:rPr>
          <w:rFonts w:hint="cs"/>
          <w:rtl/>
          <w:lang w:bidi="ar-EG"/>
        </w:rPr>
        <w:t xml:space="preserve">9 و10 من المرفق الثاني من </w:t>
      </w:r>
      <w:r>
        <w:rPr>
          <w:rFonts w:hint="cs"/>
          <w:rtl/>
          <w:lang w:bidi="ar-EG"/>
        </w:rPr>
        <w:t>الوثيقة</w:t>
      </w:r>
      <w:r>
        <w:rPr>
          <w:rFonts w:hint="eastAsia"/>
          <w:rtl/>
          <w:lang w:bidi="ar-EG"/>
        </w:rPr>
        <w:t> </w:t>
      </w:r>
      <w:r w:rsidRPr="003D1D92">
        <w:rPr>
          <w:lang w:bidi="ar-EG"/>
        </w:rPr>
        <w:t>PCT/MIA/23/14</w:t>
      </w:r>
      <w:r>
        <w:rPr>
          <w:rFonts w:hint="cs"/>
          <w:rtl/>
          <w:lang w:bidi="ar-EG"/>
        </w:rPr>
        <w:t>)؛</w:t>
      </w:r>
    </w:p>
    <w:p w:rsidR="003D1D92" w:rsidRDefault="003D1D92" w:rsidP="003D1D92">
      <w:pPr>
        <w:pStyle w:val="NormalParaAR"/>
        <w:ind w:left="566"/>
        <w:rPr>
          <w:rFonts w:hint="cs"/>
          <w:rtl/>
          <w:lang w:bidi="ar-EG"/>
        </w:rPr>
      </w:pPr>
      <w:r>
        <w:rPr>
          <w:rFonts w:hint="cs"/>
          <w:rtl/>
          <w:lang w:bidi="ar-EG"/>
        </w:rPr>
        <w:t>(ج)</w:t>
      </w:r>
      <w:r>
        <w:rPr>
          <w:rtl/>
          <w:lang w:bidi="ar-EG"/>
        </w:rPr>
        <w:tab/>
      </w:r>
      <w:r w:rsidRPr="003D1D92">
        <w:rPr>
          <w:rFonts w:hint="cs"/>
          <w:rtl/>
          <w:lang w:bidi="ar-EG"/>
        </w:rPr>
        <w:t>أساليب جمع تعليقات المستخدمين في المكتب الأوروبي للبراءات</w:t>
      </w:r>
      <w:r>
        <w:rPr>
          <w:rFonts w:hint="cs"/>
          <w:rtl/>
          <w:lang w:bidi="ar-EG"/>
        </w:rPr>
        <w:t xml:space="preserve"> (الفقرات من</w:t>
      </w:r>
      <w:r>
        <w:rPr>
          <w:rFonts w:hint="eastAsia"/>
          <w:rtl/>
          <w:lang w:bidi="ar-EG"/>
        </w:rPr>
        <w:t> </w:t>
      </w:r>
      <w:r>
        <w:rPr>
          <w:rFonts w:hint="cs"/>
          <w:rtl/>
          <w:lang w:bidi="ar-EG"/>
        </w:rPr>
        <w:t>11 إلى</w:t>
      </w:r>
      <w:r>
        <w:rPr>
          <w:rFonts w:hint="eastAsia"/>
          <w:rtl/>
          <w:lang w:bidi="ar-EG"/>
        </w:rPr>
        <w:t> </w:t>
      </w:r>
      <w:r>
        <w:rPr>
          <w:rFonts w:hint="cs"/>
          <w:rtl/>
          <w:lang w:bidi="ar-EG"/>
        </w:rPr>
        <w:t xml:space="preserve">13 من </w:t>
      </w:r>
      <w:r>
        <w:rPr>
          <w:rFonts w:hint="cs"/>
          <w:rtl/>
          <w:lang w:bidi="ar-EG"/>
        </w:rPr>
        <w:t>المرفق</w:t>
      </w:r>
      <w:r>
        <w:rPr>
          <w:rFonts w:hint="eastAsia"/>
          <w:rtl/>
          <w:lang w:bidi="ar-EG"/>
        </w:rPr>
        <w:t> </w:t>
      </w:r>
      <w:r>
        <w:rPr>
          <w:rFonts w:hint="cs"/>
          <w:rtl/>
          <w:lang w:bidi="ar-EG"/>
        </w:rPr>
        <w:t>الثاني من الوثيقة</w:t>
      </w:r>
      <w:r>
        <w:rPr>
          <w:rFonts w:hint="eastAsia"/>
          <w:rtl/>
          <w:lang w:bidi="ar-EG"/>
        </w:rPr>
        <w:t> </w:t>
      </w:r>
      <w:r w:rsidRPr="003D1D92">
        <w:rPr>
          <w:lang w:bidi="ar-EG"/>
        </w:rPr>
        <w:t>PCT/MIA/23/14</w:t>
      </w:r>
      <w:r>
        <w:rPr>
          <w:rFonts w:hint="cs"/>
          <w:rtl/>
          <w:lang w:bidi="ar-EG"/>
        </w:rPr>
        <w:t>)؛</w:t>
      </w:r>
    </w:p>
    <w:p w:rsidR="003D1D92" w:rsidRDefault="003D1D92" w:rsidP="003D1D92">
      <w:pPr>
        <w:pStyle w:val="NormalParaAR"/>
        <w:ind w:left="566"/>
        <w:rPr>
          <w:rFonts w:hint="cs"/>
          <w:rtl/>
          <w:lang w:bidi="ar-EG"/>
        </w:rPr>
      </w:pPr>
      <w:r>
        <w:rPr>
          <w:rFonts w:hint="cs"/>
          <w:rtl/>
          <w:lang w:bidi="ar-EG"/>
        </w:rPr>
        <w:t>(د)</w:t>
      </w:r>
      <w:r>
        <w:rPr>
          <w:rtl/>
          <w:lang w:bidi="ar-EG"/>
        </w:rPr>
        <w:tab/>
      </w:r>
      <w:r w:rsidRPr="003D1D92">
        <w:rPr>
          <w:rFonts w:hint="cs"/>
          <w:rtl/>
          <w:lang w:bidi="ar-EG"/>
        </w:rPr>
        <w:t>آليات التعليق والتحليل بشأن تقارير البحث الدولي والآراء المكتوبة الصادرة عن إدارات البحث الدولي</w:t>
      </w:r>
      <w:r>
        <w:rPr>
          <w:rFonts w:hint="cs"/>
          <w:rtl/>
          <w:lang w:bidi="ar-EG"/>
        </w:rPr>
        <w:t xml:space="preserve"> (الفقرات من 14 إلى 18 </w:t>
      </w:r>
      <w:r>
        <w:rPr>
          <w:rFonts w:hint="cs"/>
          <w:rtl/>
          <w:lang w:bidi="ar-EG"/>
        </w:rPr>
        <w:t>من المرفق الثاني من الوثيقة</w:t>
      </w:r>
      <w:r>
        <w:rPr>
          <w:rFonts w:hint="eastAsia"/>
          <w:rtl/>
          <w:lang w:bidi="ar-EG"/>
        </w:rPr>
        <w:t> </w:t>
      </w:r>
      <w:r w:rsidRPr="003D1D92">
        <w:rPr>
          <w:lang w:bidi="ar-EG"/>
        </w:rPr>
        <w:t>PCT/MIA/23/14</w:t>
      </w:r>
      <w:r>
        <w:rPr>
          <w:rFonts w:hint="cs"/>
          <w:rtl/>
          <w:lang w:bidi="ar-EG"/>
        </w:rPr>
        <w:t>)؛</w:t>
      </w:r>
    </w:p>
    <w:p w:rsidR="003D1D92" w:rsidRDefault="003D1D92" w:rsidP="00124B39">
      <w:pPr>
        <w:pStyle w:val="NormalParaAR"/>
        <w:ind w:left="566"/>
        <w:rPr>
          <w:rFonts w:hint="cs"/>
          <w:rtl/>
          <w:lang w:bidi="ar-EG"/>
        </w:rPr>
      </w:pPr>
      <w:r>
        <w:rPr>
          <w:rFonts w:hint="cs"/>
          <w:rtl/>
          <w:lang w:bidi="ar-EG"/>
        </w:rPr>
        <w:t>(ه)</w:t>
      </w:r>
      <w:r>
        <w:rPr>
          <w:rtl/>
          <w:lang w:bidi="ar-EG"/>
        </w:rPr>
        <w:tab/>
      </w:r>
      <w:r>
        <w:rPr>
          <w:rFonts w:hint="cs"/>
          <w:rtl/>
          <w:lang w:bidi="ar-EG"/>
        </w:rPr>
        <w:t xml:space="preserve">استخدام </w:t>
      </w:r>
      <w:r w:rsidRPr="003D1D92">
        <w:rPr>
          <w:rFonts w:hint="cs"/>
          <w:rtl/>
          <w:lang w:bidi="ar-EG"/>
        </w:rPr>
        <w:t xml:space="preserve">مقاييس الجودة في </w:t>
      </w:r>
      <w:r w:rsidR="00124B39">
        <w:rPr>
          <w:rFonts w:hint="cs"/>
          <w:rtl/>
          <w:lang w:bidi="ar-EG"/>
        </w:rPr>
        <w:t xml:space="preserve">إجراءات ضمان الجودة في </w:t>
      </w:r>
      <w:r w:rsidRPr="003D1D92">
        <w:rPr>
          <w:rFonts w:hint="cs"/>
          <w:rtl/>
          <w:lang w:bidi="ar-EG"/>
        </w:rPr>
        <w:t>المكتب الأوروبي للبراءات</w:t>
      </w:r>
      <w:r w:rsidR="00124B39">
        <w:rPr>
          <w:rFonts w:hint="cs"/>
          <w:rtl/>
          <w:lang w:bidi="ar-EG"/>
        </w:rPr>
        <w:t xml:space="preserve"> (الفقرات من</w:t>
      </w:r>
      <w:r w:rsidR="00124B39">
        <w:rPr>
          <w:rFonts w:hint="eastAsia"/>
          <w:rtl/>
          <w:lang w:bidi="ar-EG"/>
        </w:rPr>
        <w:t> </w:t>
      </w:r>
      <w:r w:rsidR="00124B39">
        <w:rPr>
          <w:rFonts w:hint="cs"/>
          <w:rtl/>
          <w:lang w:bidi="ar-EG"/>
        </w:rPr>
        <w:t>19 إلى</w:t>
      </w:r>
      <w:r w:rsidR="00124B39">
        <w:rPr>
          <w:rFonts w:hint="eastAsia"/>
          <w:rtl/>
          <w:lang w:bidi="ar-EG"/>
        </w:rPr>
        <w:t> </w:t>
      </w:r>
      <w:r w:rsidR="00124B39">
        <w:rPr>
          <w:rFonts w:hint="cs"/>
          <w:rtl/>
          <w:lang w:bidi="ar-EG"/>
        </w:rPr>
        <w:t xml:space="preserve">21 من </w:t>
      </w:r>
      <w:r w:rsidR="00124B39">
        <w:rPr>
          <w:rFonts w:hint="cs"/>
          <w:rtl/>
          <w:lang w:bidi="ar-EG"/>
        </w:rPr>
        <w:t>المرفق الثاني من الوثيقة</w:t>
      </w:r>
      <w:r w:rsidR="00124B39">
        <w:rPr>
          <w:rFonts w:hint="eastAsia"/>
          <w:rtl/>
          <w:lang w:bidi="ar-EG"/>
        </w:rPr>
        <w:t> </w:t>
      </w:r>
      <w:r w:rsidR="00124B39" w:rsidRPr="003D1D92">
        <w:rPr>
          <w:lang w:bidi="ar-EG"/>
        </w:rPr>
        <w:t>PCT/MIA/23/14</w:t>
      </w:r>
      <w:r w:rsidR="00124B39">
        <w:rPr>
          <w:rFonts w:hint="cs"/>
          <w:rtl/>
          <w:lang w:bidi="ar-EG"/>
        </w:rPr>
        <w:t>)؛</w:t>
      </w:r>
    </w:p>
    <w:p w:rsidR="00124B39" w:rsidRDefault="00124B39" w:rsidP="003211D9">
      <w:pPr>
        <w:pStyle w:val="NormalParaAR"/>
        <w:ind w:left="566"/>
        <w:rPr>
          <w:rFonts w:hint="cs"/>
          <w:rtl/>
          <w:lang w:bidi="ar-EG"/>
        </w:rPr>
      </w:pPr>
      <w:r>
        <w:rPr>
          <w:rFonts w:hint="cs"/>
          <w:rtl/>
          <w:lang w:bidi="ar-EG"/>
        </w:rPr>
        <w:t>(و)</w:t>
      </w:r>
      <w:r>
        <w:rPr>
          <w:rtl/>
          <w:lang w:bidi="ar-EG"/>
        </w:rPr>
        <w:tab/>
      </w:r>
      <w:r w:rsidRPr="00124B39">
        <w:rPr>
          <w:rFonts w:hint="cs"/>
          <w:rtl/>
          <w:lang w:bidi="ar-EG"/>
        </w:rPr>
        <w:t>إدارة الجودة في شعبة المكتب الدولي المعنية بعمليات معاهدة التعاون بشأن البراءات</w:t>
      </w:r>
      <w:r>
        <w:rPr>
          <w:rFonts w:hint="cs"/>
          <w:rtl/>
          <w:lang w:bidi="ar-EG"/>
        </w:rPr>
        <w:t xml:space="preserve"> (الفقرتان</w:t>
      </w:r>
      <w:r w:rsidR="003211D9">
        <w:rPr>
          <w:rFonts w:hint="eastAsia"/>
          <w:rtl/>
          <w:lang w:bidi="ar-EG"/>
        </w:rPr>
        <w:t> </w:t>
      </w:r>
      <w:r>
        <w:rPr>
          <w:rFonts w:hint="cs"/>
          <w:rtl/>
          <w:lang w:bidi="ar-EG"/>
        </w:rPr>
        <w:t xml:space="preserve">22 و23 </w:t>
      </w:r>
      <w:r>
        <w:rPr>
          <w:rFonts w:hint="cs"/>
          <w:rtl/>
          <w:lang w:bidi="ar-EG"/>
        </w:rPr>
        <w:t>من المرفق الثاني من الوثيقة</w:t>
      </w:r>
      <w:r>
        <w:rPr>
          <w:rFonts w:hint="eastAsia"/>
          <w:rtl/>
          <w:lang w:bidi="ar-EG"/>
        </w:rPr>
        <w:t> </w:t>
      </w:r>
      <w:r w:rsidRPr="003D1D92">
        <w:rPr>
          <w:lang w:bidi="ar-EG"/>
        </w:rPr>
        <w:t>PCT/MIA/23/14</w:t>
      </w:r>
      <w:r>
        <w:rPr>
          <w:rFonts w:hint="cs"/>
          <w:rtl/>
          <w:lang w:bidi="ar-EG"/>
        </w:rPr>
        <w:t>).</w:t>
      </w:r>
    </w:p>
    <w:p w:rsidR="00124B39" w:rsidRDefault="00124B39" w:rsidP="00AA33DA">
      <w:pPr>
        <w:pStyle w:val="NumberedParaAR"/>
        <w:rPr>
          <w:rFonts w:hint="cs"/>
        </w:rPr>
      </w:pPr>
      <w:r>
        <w:rPr>
          <w:rFonts w:hint="cs"/>
          <w:rtl/>
        </w:rPr>
        <w:t>وتحت العنوان "مقاييس الجود</w:t>
      </w:r>
      <w:r w:rsidR="003211D9">
        <w:rPr>
          <w:rFonts w:hint="cs"/>
          <w:rtl/>
        </w:rPr>
        <w:t>ة"، أكّدت الإدارات مجددا قيمة التقرير السنوي الذي يعده</w:t>
      </w:r>
      <w:r>
        <w:rPr>
          <w:rFonts w:hint="cs"/>
          <w:rtl/>
        </w:rPr>
        <w:t xml:space="preserve"> المكتب الدولي بشأن خصائص تقارير البحث الدولي، لا</w:t>
      </w:r>
      <w:r>
        <w:rPr>
          <w:rFonts w:hint="eastAsia"/>
          <w:rtl/>
        </w:rPr>
        <w:t> </w:t>
      </w:r>
      <w:r>
        <w:rPr>
          <w:rFonts w:hint="cs"/>
          <w:rtl/>
        </w:rPr>
        <w:t xml:space="preserve">سيما </w:t>
      </w:r>
      <w:r w:rsidRPr="00124B39">
        <w:rPr>
          <w:rFonts w:hint="cs"/>
          <w:rtl/>
          <w:lang w:bidi="ar-EG"/>
        </w:rPr>
        <w:t>بوصفه</w:t>
      </w:r>
      <w:r>
        <w:rPr>
          <w:rFonts w:hint="cs"/>
          <w:rtl/>
          <w:lang w:bidi="ar-EG"/>
        </w:rPr>
        <w:t>ا</w:t>
      </w:r>
      <w:r w:rsidRPr="00124B39">
        <w:rPr>
          <w:rFonts w:hint="cs"/>
          <w:rtl/>
          <w:lang w:bidi="ar-EG"/>
        </w:rPr>
        <w:t xml:space="preserve"> أداة للتقييم الذاتي</w:t>
      </w:r>
      <w:r>
        <w:rPr>
          <w:rFonts w:hint="cs"/>
          <w:rtl/>
          <w:lang w:bidi="ar-EG"/>
        </w:rPr>
        <w:t xml:space="preserve">، وناقشت </w:t>
      </w:r>
      <w:r w:rsidR="003211D9">
        <w:rPr>
          <w:rFonts w:hint="cs"/>
          <w:rtl/>
          <w:lang w:bidi="ar-EG"/>
        </w:rPr>
        <w:t xml:space="preserve">إمكانية إضافة المزيد من المقاييس إلى التقرير (الفقرات من 25 إلى 27 من </w:t>
      </w:r>
      <w:r w:rsidR="003211D9">
        <w:rPr>
          <w:rFonts w:hint="cs"/>
          <w:rtl/>
          <w:lang w:bidi="ar-EG"/>
        </w:rPr>
        <w:t>المرفق الثاني من الوثيقة</w:t>
      </w:r>
      <w:r w:rsidR="003211D9">
        <w:rPr>
          <w:rFonts w:hint="eastAsia"/>
          <w:rtl/>
          <w:lang w:bidi="ar-EG"/>
        </w:rPr>
        <w:t> </w:t>
      </w:r>
      <w:r w:rsidR="003211D9" w:rsidRPr="003D1D92">
        <w:rPr>
          <w:lang w:bidi="ar-EG"/>
        </w:rPr>
        <w:t>PCT/MIA/23/14</w:t>
      </w:r>
      <w:r w:rsidR="003211D9">
        <w:rPr>
          <w:rFonts w:hint="cs"/>
          <w:rtl/>
          <w:lang w:bidi="ar-EG"/>
        </w:rPr>
        <w:t>).</w:t>
      </w:r>
      <w:r w:rsidR="003211D9">
        <w:rPr>
          <w:rFonts w:hint="cs"/>
          <w:rtl/>
          <w:lang w:bidi="ar-EG"/>
        </w:rPr>
        <w:t xml:space="preserve"> كما رحّب </w:t>
      </w:r>
      <w:r w:rsidR="003211D9">
        <w:rPr>
          <w:rFonts w:hint="cs"/>
          <w:rtl/>
        </w:rPr>
        <w:t xml:space="preserve">الفريق الفرعي </w:t>
      </w:r>
      <w:r w:rsidR="003211D9" w:rsidRPr="003211D9">
        <w:rPr>
          <w:rFonts w:hint="cs"/>
          <w:rtl/>
        </w:rPr>
        <w:t xml:space="preserve">بالتطورات </w:t>
      </w:r>
      <w:r w:rsidR="003211D9">
        <w:rPr>
          <w:rFonts w:hint="cs"/>
          <w:rtl/>
        </w:rPr>
        <w:t>المُسجّلة</w:t>
      </w:r>
      <w:r w:rsidR="003211D9" w:rsidRPr="003211D9">
        <w:rPr>
          <w:rFonts w:hint="cs"/>
          <w:rtl/>
        </w:rPr>
        <w:t xml:space="preserve"> مؤخرا</w:t>
      </w:r>
      <w:r w:rsidR="003211D9">
        <w:rPr>
          <w:rFonts w:hint="cs"/>
          <w:rtl/>
        </w:rPr>
        <w:t xml:space="preserve"> والرامية إلى توفير معلومات موثوقة ومناسبة التوقيت للمكاتب بشأن أدائها بمختلف الصفات التي تعمل بها بناء على ال</w:t>
      </w:r>
      <w:r w:rsidR="007E1C34">
        <w:rPr>
          <w:rFonts w:hint="cs"/>
          <w:rtl/>
        </w:rPr>
        <w:t>معاهدة</w:t>
      </w:r>
      <w:r w:rsidR="003211D9" w:rsidRPr="003211D9">
        <w:rPr>
          <w:rFonts w:hint="cs"/>
          <w:rtl/>
        </w:rPr>
        <w:t>، لا</w:t>
      </w:r>
      <w:r w:rsidR="003211D9" w:rsidRPr="003211D9">
        <w:rPr>
          <w:rFonts w:hint="eastAsia"/>
          <w:rtl/>
        </w:rPr>
        <w:t> </w:t>
      </w:r>
      <w:r w:rsidR="003211D9" w:rsidRPr="003211D9">
        <w:rPr>
          <w:rFonts w:hint="cs"/>
          <w:rtl/>
        </w:rPr>
        <w:t xml:space="preserve">سيما إضافة أدوات إبلاغ جديدة في النظام الإلكتروني للمعاهدة والبيانات الإضافية بشأن </w:t>
      </w:r>
      <w:r w:rsidR="003211D9">
        <w:rPr>
          <w:rFonts w:hint="cs"/>
          <w:rtl/>
        </w:rPr>
        <w:t>ال</w:t>
      </w:r>
      <w:r w:rsidR="003211D9" w:rsidRPr="003211D9">
        <w:rPr>
          <w:rFonts w:hint="cs"/>
          <w:rtl/>
        </w:rPr>
        <w:t>مقاييس المتاحة عبر مركز الويبو للبيانات ال</w:t>
      </w:r>
      <w:r w:rsidR="00AA33DA">
        <w:rPr>
          <w:rFonts w:hint="cs"/>
          <w:rtl/>
        </w:rPr>
        <w:t xml:space="preserve">إحصائية الخاصة بالملكية الفكرية (الفقرات من 28 إلى 31 من المرفق الثاني </w:t>
      </w:r>
      <w:r w:rsidR="00AA33DA">
        <w:rPr>
          <w:rFonts w:hint="cs"/>
          <w:rtl/>
          <w:lang w:bidi="ar-EG"/>
        </w:rPr>
        <w:t>من الوثيقة</w:t>
      </w:r>
      <w:r w:rsidR="00AA33DA">
        <w:rPr>
          <w:rFonts w:hint="eastAsia"/>
          <w:rtl/>
          <w:lang w:bidi="ar-EG"/>
        </w:rPr>
        <w:t> </w:t>
      </w:r>
      <w:r w:rsidR="00AA33DA" w:rsidRPr="003D1D92">
        <w:rPr>
          <w:lang w:bidi="ar-EG"/>
        </w:rPr>
        <w:t>PCT/MIA/23/14</w:t>
      </w:r>
      <w:r w:rsidR="00AA33DA">
        <w:rPr>
          <w:rFonts w:hint="cs"/>
          <w:rtl/>
          <w:lang w:bidi="ar-EG"/>
        </w:rPr>
        <w:t>).</w:t>
      </w:r>
    </w:p>
    <w:p w:rsidR="00AA33DA" w:rsidRDefault="00027A92" w:rsidP="00C257FB">
      <w:pPr>
        <w:pStyle w:val="NumberedParaAR"/>
        <w:rPr>
          <w:rFonts w:hint="cs"/>
        </w:rPr>
      </w:pPr>
      <w:r>
        <w:rPr>
          <w:rFonts w:hint="cs"/>
          <w:rtl/>
        </w:rPr>
        <w:t>وتحت العنوان "</w:t>
      </w:r>
      <w:r w:rsidRPr="00027A92">
        <w:rPr>
          <w:rtl/>
        </w:rPr>
        <w:t>تحسين فهم العمل الذي تقوم به المكاتب الأخرى</w:t>
      </w:r>
      <w:r>
        <w:rPr>
          <w:rFonts w:hint="cs"/>
          <w:rtl/>
        </w:rPr>
        <w:t>"، واصل الفريق الفرعي مناقشاته حول "</w:t>
      </w:r>
      <w:r w:rsidR="007918FB">
        <w:rPr>
          <w:rFonts w:hint="cs"/>
          <w:rtl/>
        </w:rPr>
        <w:t>نهج</w:t>
      </w:r>
      <w:r w:rsidR="007918FB">
        <w:rPr>
          <w:rFonts w:hint="eastAsia"/>
          <w:rtl/>
        </w:rPr>
        <w:t> </w:t>
      </w:r>
      <w:r w:rsidR="007918FB">
        <w:rPr>
          <w:rFonts w:hint="cs"/>
          <w:rtl/>
        </w:rPr>
        <w:t xml:space="preserve">المسارات الثلاثة" </w:t>
      </w:r>
      <w:r w:rsidR="00C257FB">
        <w:rPr>
          <w:rFonts w:hint="cs"/>
          <w:rtl/>
        </w:rPr>
        <w:t>بخصوص</w:t>
      </w:r>
      <w:r w:rsidR="007918FB">
        <w:rPr>
          <w:rFonts w:hint="cs"/>
          <w:rtl/>
        </w:rPr>
        <w:t xml:space="preserve"> تقاسم استراتي</w:t>
      </w:r>
      <w:r w:rsidR="00C257FB">
        <w:rPr>
          <w:rFonts w:hint="cs"/>
          <w:rtl/>
        </w:rPr>
        <w:t xml:space="preserve">جيات البحث، الذي اتُفق عليه في دورته الخامسة (الاضطلاع بمشروع تجريبي بشأن نشر البيانات المتعلقة باستراتيجيات البحث؛ </w:t>
      </w:r>
      <w:r w:rsidR="00C257FB">
        <w:rPr>
          <w:rFonts w:hint="cs"/>
          <w:rtl/>
          <w:lang w:bidi="ar-EG"/>
        </w:rPr>
        <w:t>و</w:t>
      </w:r>
      <w:r w:rsidR="00C257FB" w:rsidRPr="00C257FB">
        <w:rPr>
          <w:rFonts w:hint="cs"/>
          <w:rtl/>
          <w:lang w:bidi="ar-EG"/>
        </w:rPr>
        <w:t>استخدام الإجراء القائم لتسجيل المعلومات في الاستمارة</w:t>
      </w:r>
      <w:r w:rsidR="00C257FB" w:rsidRPr="00C257FB">
        <w:rPr>
          <w:rFonts w:hint="eastAsia"/>
          <w:rtl/>
          <w:lang w:bidi="ar-EG"/>
        </w:rPr>
        <w:t> </w:t>
      </w:r>
      <w:r w:rsidR="00C257FB" w:rsidRPr="00C257FB">
        <w:t>PCT/ISA/210</w:t>
      </w:r>
      <w:r w:rsidR="00C257FB">
        <w:rPr>
          <w:rFonts w:hint="cs"/>
          <w:rtl/>
        </w:rPr>
        <w:t xml:space="preserve">؛ </w:t>
      </w:r>
      <w:r w:rsidR="00C257FB" w:rsidRPr="00C257FB">
        <w:rPr>
          <w:rFonts w:hint="cs"/>
          <w:rtl/>
          <w:lang w:bidi="ar-EG"/>
        </w:rPr>
        <w:t xml:space="preserve">وتوفير </w:t>
      </w:r>
      <w:r w:rsidR="00C257FB" w:rsidRPr="00C257FB">
        <w:rPr>
          <w:rtl/>
          <w:lang w:bidi="ar-EG"/>
        </w:rPr>
        <w:t xml:space="preserve">السجلات البحثية الكاملة بأي صيغة أصدرتها بها </w:t>
      </w:r>
      <w:r w:rsidR="00C257FB" w:rsidRPr="00C257FB">
        <w:rPr>
          <w:rFonts w:hint="cs"/>
          <w:rtl/>
          <w:lang w:bidi="ar-EG"/>
        </w:rPr>
        <w:t xml:space="preserve">الإدارات </w:t>
      </w:r>
      <w:r w:rsidR="00C257FB" w:rsidRPr="00C257FB">
        <w:rPr>
          <w:rtl/>
          <w:lang w:bidi="ar-EG"/>
        </w:rPr>
        <w:t>ل</w:t>
      </w:r>
      <w:r w:rsidR="00C257FB" w:rsidRPr="00C257FB">
        <w:rPr>
          <w:rFonts w:hint="cs"/>
          <w:rtl/>
          <w:lang w:bidi="ar-EG"/>
        </w:rPr>
        <w:t>نشرها</w:t>
      </w:r>
      <w:r w:rsidR="00C257FB" w:rsidRPr="00C257FB">
        <w:rPr>
          <w:rtl/>
          <w:lang w:bidi="ar-EG"/>
        </w:rPr>
        <w:t xml:space="preserve"> </w:t>
      </w:r>
      <w:r w:rsidR="00C257FB" w:rsidRPr="00C257FB">
        <w:rPr>
          <w:rFonts w:hint="cs"/>
          <w:rtl/>
          <w:lang w:bidi="ar-EG"/>
        </w:rPr>
        <w:t>في</w:t>
      </w:r>
      <w:r w:rsidR="00C257FB" w:rsidRPr="00C257FB">
        <w:rPr>
          <w:rtl/>
          <w:lang w:bidi="ar-EG"/>
        </w:rPr>
        <w:t xml:space="preserve"> ركن البراءات</w:t>
      </w:r>
      <w:r w:rsidR="00C257FB">
        <w:rPr>
          <w:rFonts w:hint="cs"/>
          <w:rtl/>
          <w:lang w:bidi="ar-EG"/>
        </w:rPr>
        <w:t xml:space="preserve">) (الفقرات من 32 إلى 36 من </w:t>
      </w:r>
      <w:r w:rsidR="00C257FB">
        <w:rPr>
          <w:rFonts w:hint="cs"/>
          <w:rtl/>
        </w:rPr>
        <w:t xml:space="preserve">المرفق الثاني </w:t>
      </w:r>
      <w:r w:rsidR="00C257FB">
        <w:rPr>
          <w:rFonts w:hint="cs"/>
          <w:rtl/>
          <w:lang w:bidi="ar-EG"/>
        </w:rPr>
        <w:t>من الوثيقة</w:t>
      </w:r>
      <w:r w:rsidR="00C257FB">
        <w:rPr>
          <w:rFonts w:hint="eastAsia"/>
          <w:rtl/>
          <w:lang w:bidi="ar-EG"/>
        </w:rPr>
        <w:t> </w:t>
      </w:r>
      <w:r w:rsidR="00C257FB" w:rsidRPr="003D1D92">
        <w:rPr>
          <w:lang w:bidi="ar-EG"/>
        </w:rPr>
        <w:t>PCT/MIA/23/14</w:t>
      </w:r>
      <w:r w:rsidR="00C257FB">
        <w:rPr>
          <w:rFonts w:hint="cs"/>
          <w:rtl/>
          <w:lang w:bidi="ar-EG"/>
        </w:rPr>
        <w:t>)</w:t>
      </w:r>
      <w:r w:rsidR="00C257FB">
        <w:rPr>
          <w:rFonts w:hint="cs"/>
          <w:rtl/>
          <w:lang w:bidi="ar-EG"/>
        </w:rPr>
        <w:t xml:space="preserve">. وبالإضافة إلى ذلك، واصل الفريق الفرعي تبادل الآراء حول الاستخدام (الاختياري) للبنود الموحدة من قبل الإدارات في الآراء المكتوبة وحول الخبرة التي اكتسبتها الإدارات التي بدأت باستخدام تلك البنود (الفقرات من 37 إلى 41 من </w:t>
      </w:r>
      <w:r w:rsidR="00C257FB">
        <w:rPr>
          <w:rFonts w:hint="cs"/>
          <w:rtl/>
        </w:rPr>
        <w:t xml:space="preserve">المرفق الثاني </w:t>
      </w:r>
      <w:r w:rsidR="00C257FB">
        <w:rPr>
          <w:rFonts w:hint="cs"/>
          <w:rtl/>
          <w:lang w:bidi="ar-EG"/>
        </w:rPr>
        <w:t>من الوثيقة</w:t>
      </w:r>
      <w:r w:rsidR="00C257FB">
        <w:rPr>
          <w:rFonts w:hint="eastAsia"/>
          <w:rtl/>
          <w:lang w:bidi="ar-EG"/>
        </w:rPr>
        <w:t> </w:t>
      </w:r>
      <w:r w:rsidR="00C257FB" w:rsidRPr="003D1D92">
        <w:rPr>
          <w:lang w:bidi="ar-EG"/>
        </w:rPr>
        <w:t>PCT/MIA/23/14</w:t>
      </w:r>
      <w:r w:rsidR="00C257FB">
        <w:rPr>
          <w:rFonts w:hint="cs"/>
          <w:rtl/>
          <w:lang w:bidi="ar-EG"/>
        </w:rPr>
        <w:t>)</w:t>
      </w:r>
      <w:r w:rsidR="00C257FB">
        <w:rPr>
          <w:rFonts w:hint="cs"/>
          <w:rtl/>
          <w:lang w:bidi="ar-EG"/>
        </w:rPr>
        <w:t>.</w:t>
      </w:r>
    </w:p>
    <w:p w:rsidR="00C257FB" w:rsidRDefault="00C257FB" w:rsidP="007E1C34">
      <w:pPr>
        <w:pStyle w:val="NumberedParaAR"/>
        <w:rPr>
          <w:rFonts w:hint="cs"/>
        </w:rPr>
      </w:pPr>
      <w:r>
        <w:rPr>
          <w:rFonts w:hint="cs"/>
          <w:rtl/>
          <w:lang w:bidi="ar-EG"/>
        </w:rPr>
        <w:t xml:space="preserve">وفيما يخص "تدابير تحسين الجودة"، استعرض الفريق الفرعي اقتراحا </w:t>
      </w:r>
      <w:r w:rsidR="00C230F8">
        <w:rPr>
          <w:rFonts w:hint="cs"/>
          <w:rtl/>
          <w:lang w:bidi="ar-EG"/>
        </w:rPr>
        <w:t>يدعو إلى تحسين الشروح والأمثلة الواردة حاليا في المبادئ التوجيهية الخاصة بالبحث والفحص التمهيدي الدوليين والمتعلقة بانعدام وحدة الاختراع (الفقرات من</w:t>
      </w:r>
      <w:r w:rsidR="007E1C34">
        <w:rPr>
          <w:rFonts w:hint="eastAsia"/>
          <w:rtl/>
          <w:lang w:bidi="ar-EG"/>
        </w:rPr>
        <w:t> </w:t>
      </w:r>
      <w:r w:rsidR="00C230F8">
        <w:rPr>
          <w:rFonts w:hint="cs"/>
          <w:rtl/>
          <w:lang w:bidi="ar-EG"/>
        </w:rPr>
        <w:t>42 إلى</w:t>
      </w:r>
      <w:r w:rsidR="007E1C34">
        <w:rPr>
          <w:rFonts w:hint="eastAsia"/>
          <w:rtl/>
          <w:lang w:bidi="ar-EG"/>
        </w:rPr>
        <w:t> </w:t>
      </w:r>
      <w:r w:rsidR="00C230F8">
        <w:rPr>
          <w:rFonts w:hint="cs"/>
          <w:rtl/>
          <w:lang w:bidi="ar-EG"/>
        </w:rPr>
        <w:t xml:space="preserve">45 من </w:t>
      </w:r>
      <w:r w:rsidR="00C230F8">
        <w:rPr>
          <w:rFonts w:hint="cs"/>
          <w:rtl/>
        </w:rPr>
        <w:t xml:space="preserve">المرفق الثاني </w:t>
      </w:r>
      <w:r w:rsidR="00C230F8">
        <w:rPr>
          <w:rFonts w:hint="cs"/>
          <w:rtl/>
          <w:lang w:bidi="ar-EG"/>
        </w:rPr>
        <w:t>من الوثيقة</w:t>
      </w:r>
      <w:r w:rsidR="00C230F8">
        <w:rPr>
          <w:rFonts w:hint="eastAsia"/>
          <w:rtl/>
          <w:lang w:bidi="ar-EG"/>
        </w:rPr>
        <w:t> </w:t>
      </w:r>
      <w:r w:rsidR="00C230F8" w:rsidRPr="003D1D92">
        <w:rPr>
          <w:lang w:bidi="ar-EG"/>
        </w:rPr>
        <w:t>PCT/MIA/23/14</w:t>
      </w:r>
      <w:r w:rsidR="00C230F8">
        <w:rPr>
          <w:rFonts w:hint="cs"/>
          <w:rtl/>
          <w:lang w:bidi="ar-EG"/>
        </w:rPr>
        <w:t>)</w:t>
      </w:r>
      <w:r w:rsidR="00C230F8">
        <w:rPr>
          <w:rFonts w:hint="cs"/>
          <w:rtl/>
          <w:lang w:bidi="ar-EG"/>
        </w:rPr>
        <w:t>.</w:t>
      </w:r>
    </w:p>
    <w:p w:rsidR="00C230F8" w:rsidRDefault="00C230F8" w:rsidP="009057D4">
      <w:pPr>
        <w:pStyle w:val="NumberedParaAR"/>
        <w:rPr>
          <w:rFonts w:hint="cs"/>
        </w:rPr>
      </w:pPr>
      <w:r>
        <w:rPr>
          <w:rFonts w:hint="cs"/>
          <w:rtl/>
          <w:lang w:bidi="ar-EG"/>
        </w:rPr>
        <w:t xml:space="preserve">وبخصوص "معايير تعيين الإدارات الدولية"، ناقش الفريق الفرعي الاقتراحات الداعية إلى </w:t>
      </w:r>
      <w:r w:rsidRPr="00C230F8">
        <w:rPr>
          <w:rFonts w:hint="cs"/>
          <w:rtl/>
          <w:lang w:bidi="ar-EG"/>
        </w:rPr>
        <w:t>تشديد الشروط الخاصة بأنظمة إدارة الجودة والمنصوص عليها في الفصل</w:t>
      </w:r>
      <w:r w:rsidRPr="00C230F8">
        <w:rPr>
          <w:rFonts w:hint="eastAsia"/>
          <w:rtl/>
          <w:lang w:bidi="ar-EG"/>
        </w:rPr>
        <w:t> </w:t>
      </w:r>
      <w:r w:rsidRPr="00C230F8">
        <w:rPr>
          <w:rFonts w:hint="cs"/>
          <w:rtl/>
          <w:lang w:bidi="ar-EG"/>
        </w:rPr>
        <w:t>21 من المبادئ التوجيهية الخاصة بالبحث والفحص التمهيدي الدوليين</w:t>
      </w:r>
      <w:r>
        <w:rPr>
          <w:rFonts w:hint="cs"/>
          <w:rtl/>
          <w:lang w:bidi="ar-EG"/>
        </w:rPr>
        <w:t xml:space="preserve"> وفي</w:t>
      </w:r>
      <w:r>
        <w:rPr>
          <w:rFonts w:hint="eastAsia"/>
          <w:rtl/>
          <w:lang w:bidi="ar-EG"/>
        </w:rPr>
        <w:t> </w:t>
      </w:r>
      <w:r w:rsidRPr="00C230F8">
        <w:rPr>
          <w:rFonts w:hint="cs"/>
          <w:rtl/>
          <w:lang w:bidi="ar-EG"/>
        </w:rPr>
        <w:t>التفاهم بشأن إجراءات تعيين الإدارات الدولية</w:t>
      </w:r>
      <w:r>
        <w:rPr>
          <w:rFonts w:hint="cs"/>
          <w:rtl/>
          <w:lang w:bidi="ar-EG"/>
        </w:rPr>
        <w:t xml:space="preserve">، الذي اعتمدته جمعية </w:t>
      </w:r>
      <w:r w:rsidR="009057D4">
        <w:rPr>
          <w:rFonts w:hint="cs"/>
          <w:rtl/>
          <w:lang w:bidi="ar-EG"/>
        </w:rPr>
        <w:t>ال</w:t>
      </w:r>
      <w:r>
        <w:rPr>
          <w:rFonts w:hint="cs"/>
          <w:rtl/>
          <w:lang w:bidi="ar-EG"/>
        </w:rPr>
        <w:t>معاهدة في عام</w:t>
      </w:r>
      <w:r>
        <w:rPr>
          <w:rFonts w:hint="eastAsia"/>
          <w:rtl/>
          <w:lang w:bidi="ar-EG"/>
        </w:rPr>
        <w:t> </w:t>
      </w:r>
      <w:r>
        <w:rPr>
          <w:rFonts w:hint="cs"/>
          <w:rtl/>
          <w:lang w:bidi="ar-EG"/>
        </w:rPr>
        <w:t>2014.</w:t>
      </w:r>
      <w:r w:rsidR="009057D4">
        <w:rPr>
          <w:rFonts w:hint="cs"/>
          <w:rtl/>
          <w:lang w:bidi="ar-EG"/>
        </w:rPr>
        <w:t xml:space="preserve"> وبالنظر إلى ضرورة إجراء المزيد من المناقشات ووضع ترتيبات انتقالية للإدارات القائمة، ستتواصل مناقشة هذه المسألة في الدورة القادمة للفريق الفرعي (الفقرات من 46 إلى 51 من </w:t>
      </w:r>
      <w:r w:rsidR="009057D4">
        <w:rPr>
          <w:rFonts w:hint="cs"/>
          <w:rtl/>
        </w:rPr>
        <w:t xml:space="preserve">المرفق الثاني </w:t>
      </w:r>
      <w:r w:rsidR="009057D4">
        <w:rPr>
          <w:rFonts w:hint="cs"/>
          <w:rtl/>
          <w:lang w:bidi="ar-EG"/>
        </w:rPr>
        <w:t>من الوثيقة</w:t>
      </w:r>
      <w:r w:rsidR="009057D4">
        <w:rPr>
          <w:rFonts w:hint="eastAsia"/>
          <w:rtl/>
          <w:lang w:bidi="ar-EG"/>
        </w:rPr>
        <w:t> </w:t>
      </w:r>
      <w:r w:rsidR="009057D4" w:rsidRPr="003D1D92">
        <w:rPr>
          <w:lang w:bidi="ar-EG"/>
        </w:rPr>
        <w:t>PCT/MIA/23/14</w:t>
      </w:r>
      <w:r w:rsidR="009057D4">
        <w:rPr>
          <w:rFonts w:hint="cs"/>
          <w:rtl/>
          <w:lang w:bidi="ar-EG"/>
        </w:rPr>
        <w:t>)</w:t>
      </w:r>
      <w:r w:rsidR="009057D4">
        <w:rPr>
          <w:rFonts w:hint="cs"/>
          <w:rtl/>
          <w:lang w:bidi="ar-EG"/>
        </w:rPr>
        <w:t xml:space="preserve">. كما ناقش الفريق الفرعي إمكانية استخدام ومحتويات استمارة طلب معيارية لتعيين مكتب كإدارة دولية بناء على المعاهدة؛ وستتواصل مناقشة هذه المسألة في الدورة القادمة للفريق الفرعي (الفقرات من 52 إلى 56 من </w:t>
      </w:r>
      <w:r w:rsidR="009057D4">
        <w:rPr>
          <w:rFonts w:hint="cs"/>
          <w:rtl/>
        </w:rPr>
        <w:t xml:space="preserve">المرفق الثاني </w:t>
      </w:r>
      <w:r w:rsidR="009057D4">
        <w:rPr>
          <w:rFonts w:hint="cs"/>
          <w:rtl/>
          <w:lang w:bidi="ar-EG"/>
        </w:rPr>
        <w:t>من الوثيقة</w:t>
      </w:r>
      <w:r w:rsidR="009057D4">
        <w:rPr>
          <w:rFonts w:hint="eastAsia"/>
          <w:rtl/>
          <w:lang w:bidi="ar-EG"/>
        </w:rPr>
        <w:t> </w:t>
      </w:r>
      <w:r w:rsidR="009057D4" w:rsidRPr="003D1D92">
        <w:rPr>
          <w:lang w:bidi="ar-EG"/>
        </w:rPr>
        <w:t>PCT/MIA/23/14</w:t>
      </w:r>
      <w:r w:rsidR="009057D4">
        <w:rPr>
          <w:rFonts w:hint="cs"/>
          <w:rtl/>
          <w:lang w:bidi="ar-EG"/>
        </w:rPr>
        <w:t>)</w:t>
      </w:r>
      <w:r w:rsidR="009057D4">
        <w:rPr>
          <w:rFonts w:hint="cs"/>
          <w:rtl/>
          <w:lang w:bidi="ar-EG"/>
        </w:rPr>
        <w:t>.</w:t>
      </w:r>
    </w:p>
    <w:p w:rsidR="009057D4" w:rsidRDefault="00555D22" w:rsidP="007E1C34">
      <w:pPr>
        <w:pStyle w:val="NumberedParaAR"/>
        <w:rPr>
          <w:rFonts w:hint="cs"/>
        </w:rPr>
      </w:pPr>
      <w:r>
        <w:rPr>
          <w:rFonts w:hint="cs"/>
          <w:rtl/>
          <w:lang w:bidi="ar-EG"/>
        </w:rPr>
        <w:t>وأحاط اجتماع الإدارات الدولية، في دورته الثالثة والعشرين المعقودة في سنتياغو في يناير</w:t>
      </w:r>
      <w:r>
        <w:rPr>
          <w:rFonts w:hint="eastAsia"/>
          <w:rtl/>
          <w:lang w:bidi="ar-EG"/>
        </w:rPr>
        <w:t> </w:t>
      </w:r>
      <w:r>
        <w:rPr>
          <w:rFonts w:hint="cs"/>
          <w:rtl/>
          <w:lang w:bidi="ar-EG"/>
        </w:rPr>
        <w:t xml:space="preserve">2016، </w:t>
      </w:r>
      <w:r>
        <w:rPr>
          <w:rFonts w:hint="cs"/>
          <w:rtl/>
          <w:lang w:bidi="ar-EG"/>
        </w:rPr>
        <w:t xml:space="preserve">علما </w:t>
      </w:r>
      <w:r w:rsidR="009716EC">
        <w:rPr>
          <w:rFonts w:hint="cs"/>
          <w:rtl/>
          <w:lang w:bidi="ar-EG"/>
        </w:rPr>
        <w:t xml:space="preserve">مع الموافقة </w:t>
      </w:r>
      <w:r>
        <w:rPr>
          <w:rFonts w:hint="cs"/>
          <w:rtl/>
          <w:lang w:bidi="ar-EG"/>
        </w:rPr>
        <w:t xml:space="preserve">بملخص رئيس الدورة غير الرسمية السادسة للفريق </w:t>
      </w:r>
      <w:r w:rsidR="009716EC">
        <w:rPr>
          <w:rFonts w:hint="cs"/>
          <w:rtl/>
          <w:lang w:bidi="ar-EG"/>
        </w:rPr>
        <w:t>الفرعي، ووافق على كل توصيات الفريق الفرعي. كما وافق على استمرار ولاية الفريق الفرعي، بما في ذلك عقد دورة غير رسمية فعلية أخرى للفريق العامل في عام</w:t>
      </w:r>
      <w:r w:rsidR="009716EC">
        <w:rPr>
          <w:rFonts w:hint="eastAsia"/>
          <w:rtl/>
          <w:lang w:bidi="ar-EG"/>
        </w:rPr>
        <w:t> </w:t>
      </w:r>
      <w:r w:rsidR="009716EC">
        <w:rPr>
          <w:rFonts w:hint="cs"/>
          <w:rtl/>
          <w:lang w:bidi="ar-EG"/>
        </w:rPr>
        <w:t>2017 (الفقرات من</w:t>
      </w:r>
      <w:r w:rsidR="007E1C34">
        <w:rPr>
          <w:rFonts w:hint="eastAsia"/>
          <w:rtl/>
          <w:lang w:bidi="ar-EG"/>
        </w:rPr>
        <w:t> </w:t>
      </w:r>
      <w:r w:rsidR="009716EC">
        <w:rPr>
          <w:rFonts w:hint="cs"/>
          <w:rtl/>
          <w:lang w:bidi="ar-EG"/>
        </w:rPr>
        <w:t>10 إلى</w:t>
      </w:r>
      <w:r w:rsidR="007E1C34">
        <w:rPr>
          <w:rFonts w:hint="eastAsia"/>
          <w:rtl/>
          <w:lang w:bidi="ar-EG"/>
        </w:rPr>
        <w:t> </w:t>
      </w:r>
      <w:r w:rsidR="009716EC">
        <w:rPr>
          <w:rFonts w:hint="cs"/>
          <w:rtl/>
          <w:lang w:bidi="ar-EG"/>
        </w:rPr>
        <w:t>13 من الوثيقة</w:t>
      </w:r>
      <w:r w:rsidR="009716EC">
        <w:rPr>
          <w:rFonts w:hint="eastAsia"/>
          <w:rtl/>
          <w:lang w:bidi="ar-EG"/>
        </w:rPr>
        <w:t> </w:t>
      </w:r>
      <w:r w:rsidR="009716EC" w:rsidRPr="009716EC">
        <w:rPr>
          <w:lang w:bidi="ar-EG"/>
        </w:rPr>
        <w:t>PCT/MIA/23/14</w:t>
      </w:r>
      <w:r w:rsidR="009716EC">
        <w:rPr>
          <w:rFonts w:hint="cs"/>
          <w:rtl/>
          <w:lang w:bidi="ar-EG"/>
        </w:rPr>
        <w:t>).</w:t>
      </w:r>
    </w:p>
    <w:p w:rsidR="009716EC" w:rsidRDefault="009716EC" w:rsidP="001A4DC3">
      <w:pPr>
        <w:pStyle w:val="DecisionParaAR"/>
        <w:spacing w:after="480"/>
        <w:rPr>
          <w:rFonts w:hint="cs"/>
        </w:rPr>
      </w:pPr>
      <w:r w:rsidRPr="009716EC">
        <w:rPr>
          <w:rtl/>
        </w:rPr>
        <w:t>إن جمعية اتحاد معاهدة التعاون بشأن البراءات مدعوة</w:t>
      </w:r>
      <w:r w:rsidR="001A4DC3">
        <w:rPr>
          <w:rtl/>
        </w:rPr>
        <w:t xml:space="preserve"> إلى ال</w:t>
      </w:r>
      <w:r w:rsidR="007E1C34">
        <w:rPr>
          <w:rtl/>
        </w:rPr>
        <w:t>إحاطة علما</w:t>
      </w:r>
      <w:bookmarkStart w:id="2" w:name="_GoBack"/>
      <w:bookmarkEnd w:id="2"/>
      <w:r w:rsidR="001A4DC3">
        <w:rPr>
          <w:rtl/>
        </w:rPr>
        <w:t xml:space="preserve"> بال</w:t>
      </w:r>
      <w:r w:rsidR="001A4DC3">
        <w:rPr>
          <w:rFonts w:hint="cs"/>
          <w:rtl/>
        </w:rPr>
        <w:t xml:space="preserve">وثيقة </w:t>
      </w:r>
      <w:proofErr w:type="spellStart"/>
      <w:r w:rsidR="001A4DC3">
        <w:rPr>
          <w:rFonts w:hint="cs"/>
          <w:rtl/>
        </w:rPr>
        <w:t>المعنونة</w:t>
      </w:r>
      <w:proofErr w:type="spellEnd"/>
      <w:r w:rsidR="001A4DC3">
        <w:rPr>
          <w:rFonts w:hint="cs"/>
          <w:rtl/>
        </w:rPr>
        <w:t xml:space="preserve"> </w:t>
      </w:r>
      <w:r w:rsidRPr="009716EC">
        <w:rPr>
          <w:rtl/>
        </w:rPr>
        <w:t>"عمل الإدارات الدولية المتعلق بالجودة"</w:t>
      </w:r>
      <w:r w:rsidR="001A4DC3">
        <w:rPr>
          <w:rFonts w:hint="cs"/>
          <w:rtl/>
        </w:rPr>
        <w:t xml:space="preserve"> (الوثيقة</w:t>
      </w:r>
      <w:r w:rsidR="001A4DC3">
        <w:rPr>
          <w:rFonts w:hint="eastAsia"/>
          <w:rtl/>
        </w:rPr>
        <w:t> </w:t>
      </w:r>
      <w:r w:rsidR="001A4DC3" w:rsidRPr="001A4DC3">
        <w:t>PCT/A/48/2</w:t>
      </w:r>
      <w:r w:rsidR="001A4DC3">
        <w:rPr>
          <w:rFonts w:hint="cs"/>
          <w:rtl/>
        </w:rPr>
        <w:t>).</w:t>
      </w:r>
    </w:p>
    <w:p w:rsidR="001A4DC3" w:rsidRDefault="001A4DC3" w:rsidP="001A4DC3">
      <w:pPr>
        <w:pStyle w:val="EndofDocumentAR"/>
      </w:pPr>
      <w:r>
        <w:rPr>
          <w:rFonts w:hint="cs"/>
          <w:rtl/>
        </w:rPr>
        <w:t>[نهاية الوثيقة]</w:t>
      </w:r>
    </w:p>
    <w:sectPr w:rsidR="001A4DC3"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749" w:rsidRDefault="00614749">
      <w:r>
        <w:separator/>
      </w:r>
    </w:p>
  </w:endnote>
  <w:endnote w:type="continuationSeparator" w:id="0">
    <w:p w:rsidR="00614749" w:rsidRDefault="0061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749" w:rsidRDefault="00614749" w:rsidP="009622BF">
      <w:pPr>
        <w:bidi/>
      </w:pPr>
      <w:bookmarkStart w:id="0" w:name="OLE_LINK1"/>
      <w:bookmarkStart w:id="1" w:name="OLE_LINK2"/>
      <w:r>
        <w:separator/>
      </w:r>
      <w:bookmarkEnd w:id="0"/>
      <w:bookmarkEnd w:id="1"/>
    </w:p>
  </w:footnote>
  <w:footnote w:type="continuationSeparator" w:id="0">
    <w:p w:rsidR="00614749" w:rsidRDefault="00614749" w:rsidP="009622BF">
      <w:pPr>
        <w:bidi/>
      </w:pPr>
      <w:r>
        <w:separator/>
      </w:r>
    </w:p>
  </w:footnote>
  <w:footnote w:id="1">
    <w:p w:rsidR="005B7F5A" w:rsidRPr="005B7F5A" w:rsidRDefault="00E2298D" w:rsidP="005B7F5A">
      <w:pPr>
        <w:pStyle w:val="FootnoteText"/>
        <w:rPr>
          <w:iCs/>
        </w:rPr>
      </w:pPr>
      <w:r>
        <w:rPr>
          <w:rStyle w:val="FootnoteReference"/>
        </w:rPr>
        <w:footnoteRef/>
      </w:r>
      <w:r>
        <w:rPr>
          <w:rtl/>
        </w:rPr>
        <w:t xml:space="preserve"> </w:t>
      </w:r>
      <w:r>
        <w:rPr>
          <w:rFonts w:hint="cs"/>
          <w:rtl/>
        </w:rPr>
        <w:tab/>
        <w:t>انظر</w:t>
      </w:r>
      <w:r w:rsidR="005B7F5A">
        <w:rPr>
          <w:rFonts w:hint="cs"/>
          <w:rtl/>
        </w:rPr>
        <w:t xml:space="preserve"> الرابط التالي:</w:t>
      </w:r>
      <w:r>
        <w:rPr>
          <w:rFonts w:hint="cs"/>
          <w:rtl/>
        </w:rPr>
        <w:t xml:space="preserve"> </w:t>
      </w:r>
      <w:r w:rsidR="005B7F5A" w:rsidRPr="005B7F5A">
        <w:rPr>
          <w:iCs/>
        </w:rPr>
        <w:t>http://www.wipo.int/meetings/en/doc_details.jsp?doc_id=327676</w:t>
      </w:r>
      <w:r w:rsidR="005B7F5A">
        <w:rPr>
          <w:rFonts w:hint="cs"/>
          <w:iCs/>
          <w:rtl/>
        </w:rPr>
        <w:t>.</w:t>
      </w:r>
    </w:p>
  </w:footnote>
  <w:footnote w:id="2">
    <w:p w:rsidR="005B7F5A" w:rsidRPr="005B7F5A" w:rsidRDefault="005B7F5A" w:rsidP="005B7F5A">
      <w:pPr>
        <w:pStyle w:val="FootnoteText"/>
      </w:pPr>
      <w:r>
        <w:rPr>
          <w:rStyle w:val="FootnoteReference"/>
        </w:rPr>
        <w:footnoteRef/>
      </w:r>
      <w:r>
        <w:rPr>
          <w:rtl/>
        </w:rPr>
        <w:t xml:space="preserve"> </w:t>
      </w:r>
      <w:r>
        <w:rPr>
          <w:rFonts w:hint="cs"/>
          <w:rtl/>
        </w:rPr>
        <w:tab/>
        <w:t xml:space="preserve">التقارير متاحة على موقع الويبو </w:t>
      </w:r>
      <w:r>
        <w:rPr>
          <w:rFonts w:hint="cs"/>
          <w:rtl/>
        </w:rPr>
        <w:t>عبر الرابط التالي:</w:t>
      </w:r>
      <w:r>
        <w:rPr>
          <w:rFonts w:hint="cs"/>
          <w:rtl/>
        </w:rPr>
        <w:t xml:space="preserve"> </w:t>
      </w:r>
      <w:hyperlink r:id="rId1" w:history="1">
        <w:r w:rsidRPr="005B7F5A">
          <w:rPr>
            <w:iCs/>
          </w:rPr>
          <w:t>http://www.wipo.int/pct/en/quality/authorities.html</w:t>
        </w:r>
      </w:hyperlink>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A7993" w:rsidP="004123D5">
    <w:r>
      <w:t>PCT</w:t>
    </w:r>
    <w:r w:rsidR="00772E46">
      <w:t>/</w:t>
    </w:r>
    <w:r w:rsidR="0059089F">
      <w:t>A</w:t>
    </w:r>
    <w:r w:rsidR="002F77FC">
      <w:t>/</w:t>
    </w:r>
    <w:r w:rsidR="003F373A">
      <w:t>4</w:t>
    </w:r>
    <w:r w:rsidR="00BB340F">
      <w:t>8</w:t>
    </w:r>
    <w:r w:rsidR="003D1D92">
      <w:t>/2</w:t>
    </w:r>
  </w:p>
  <w:p w:rsidR="002F77FC" w:rsidRDefault="002F77FC" w:rsidP="00D61541">
    <w:r>
      <w:fldChar w:fldCharType="begin"/>
    </w:r>
    <w:r>
      <w:instrText xml:space="preserve"> PAGE  \* MERGEFORMAT </w:instrText>
    </w:r>
    <w:r>
      <w:fldChar w:fldCharType="separate"/>
    </w:r>
    <w:r w:rsidR="004C0F75">
      <w:rPr>
        <w:noProof/>
      </w:rPr>
      <w:t>3</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749"/>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7A92"/>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05F"/>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B39"/>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4DC3"/>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1D9"/>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1D92"/>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373A"/>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D5"/>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0F75"/>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1F5B"/>
    <w:rsid w:val="00543A63"/>
    <w:rsid w:val="00543AB5"/>
    <w:rsid w:val="005457CF"/>
    <w:rsid w:val="00545976"/>
    <w:rsid w:val="0054660F"/>
    <w:rsid w:val="00547628"/>
    <w:rsid w:val="005533C3"/>
    <w:rsid w:val="005536E6"/>
    <w:rsid w:val="00553AC3"/>
    <w:rsid w:val="00553DBA"/>
    <w:rsid w:val="00554335"/>
    <w:rsid w:val="00555631"/>
    <w:rsid w:val="00555D22"/>
    <w:rsid w:val="0055621D"/>
    <w:rsid w:val="0055716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B7F5A"/>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D7C89"/>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749"/>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1F25"/>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18FB"/>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1C34"/>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324"/>
    <w:rsid w:val="008A7522"/>
    <w:rsid w:val="008A7993"/>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7D4"/>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16EC"/>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3DA"/>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2B2"/>
    <w:rsid w:val="00AC2FD0"/>
    <w:rsid w:val="00AC3DBD"/>
    <w:rsid w:val="00AC3E1F"/>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AF6FC7"/>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40F"/>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0F8"/>
    <w:rsid w:val="00C2338E"/>
    <w:rsid w:val="00C23FB0"/>
    <w:rsid w:val="00C24021"/>
    <w:rsid w:val="00C248AF"/>
    <w:rsid w:val="00C24B09"/>
    <w:rsid w:val="00C24BDE"/>
    <w:rsid w:val="00C24E9F"/>
    <w:rsid w:val="00C257FB"/>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882"/>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75E"/>
    <w:rsid w:val="00E17814"/>
    <w:rsid w:val="00E17CEF"/>
    <w:rsid w:val="00E20FBC"/>
    <w:rsid w:val="00E2298D"/>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179"/>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388"/>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5B7F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5B7F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pct/en/quality/authoritie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B90AD-8E75-45C0-8415-6245BD2CB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PCT_A_48_AR.dotx</Template>
  <TotalTime>105</TotalTime>
  <Pages>3</Pages>
  <Words>818</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PCT/A/48/2 (Arabic)</vt:lpstr>
    </vt:vector>
  </TitlesOfParts>
  <Company>World Intellectual Property Organization</Company>
  <LinksUpToDate>false</LinksUpToDate>
  <CharactersWithSpaces>5269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PCT/A/48/2 (Arabic)</dc:title>
  <dc:creator>MERZOUK Fawzi</dc:creator>
  <cp:lastModifiedBy>MERZOUK Fawzi</cp:lastModifiedBy>
  <cp:revision>10</cp:revision>
  <cp:lastPrinted>2016-06-15T16:19:00Z</cp:lastPrinted>
  <dcterms:created xsi:type="dcterms:W3CDTF">2016-06-15T12:31:00Z</dcterms:created>
  <dcterms:modified xsi:type="dcterms:W3CDTF">2016-06-15T16:19:00Z</dcterms:modified>
</cp:coreProperties>
</file>