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FA427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A42268" w:rsidP="00224E54">
      <w:pPr>
        <w:bidi w:val="0"/>
        <w:rPr>
          <w:rFonts w:ascii="Arial Black" w:hAnsi="Arial Black"/>
          <w:caps/>
          <w:sz w:val="15"/>
          <w:szCs w:val="15"/>
        </w:rPr>
      </w:pPr>
      <w:bookmarkStart w:id="0" w:name="Code"/>
      <w:bookmarkEnd w:id="0"/>
      <w:r>
        <w:rPr>
          <w:rFonts w:ascii="Arial Black" w:hAnsi="Arial Black"/>
          <w:caps/>
          <w:sz w:val="15"/>
          <w:szCs w:val="15"/>
        </w:rPr>
        <w:t>STLT/A/14/</w:t>
      </w:r>
      <w:r w:rsidR="003A3AAB">
        <w:rPr>
          <w:rFonts w:ascii="Arial Black" w:hAnsi="Arial Black"/>
          <w:caps/>
          <w:sz w:val="15"/>
          <w:szCs w:val="15"/>
        </w:rPr>
        <w:t>2</w:t>
      </w:r>
    </w:p>
    <w:p w:rsidR="008B2CC1" w:rsidRPr="00F251BC" w:rsidRDefault="00CC3E2D" w:rsidP="00CC3E2D">
      <w:pPr>
        <w:jc w:val="right"/>
        <w:rPr>
          <w:rFonts w:asciiTheme="minorHAnsi" w:hAnsiTheme="minorHAnsi" w:cstheme="minorHAnsi"/>
          <w:b/>
          <w:bCs/>
          <w:caps/>
          <w:sz w:val="15"/>
          <w:szCs w:val="15"/>
          <w:lang w:bidi="ar-SY"/>
        </w:rPr>
      </w:pPr>
      <w:bookmarkStart w:id="1" w:name="Original"/>
      <w:r w:rsidRPr="00F251BC">
        <w:rPr>
          <w:rFonts w:asciiTheme="minorHAnsi" w:hAnsiTheme="minorHAnsi" w:cstheme="minorHAnsi" w:hint="cs"/>
          <w:b/>
          <w:bCs/>
          <w:caps/>
          <w:sz w:val="15"/>
          <w:szCs w:val="15"/>
          <w:rtl/>
        </w:rPr>
        <w:t xml:space="preserve">الأصل: </w:t>
      </w:r>
      <w:r w:rsidR="00A42268" w:rsidRPr="00F251BC">
        <w:rPr>
          <w:rFonts w:asciiTheme="minorHAnsi" w:hAnsiTheme="minorHAnsi" w:cstheme="minorHAnsi" w:hint="cs"/>
          <w:b/>
          <w:bCs/>
          <w:caps/>
          <w:sz w:val="15"/>
          <w:szCs w:val="15"/>
          <w:rtl/>
          <w:lang w:bidi="ar-SY"/>
        </w:rPr>
        <w:t>بالإنكليزية</w:t>
      </w:r>
    </w:p>
    <w:p w:rsidR="008B2CC1" w:rsidRPr="00CC3E2D" w:rsidRDefault="00CC3E2D" w:rsidP="003A3AAB">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A3AAB">
        <w:rPr>
          <w:rFonts w:asciiTheme="minorHAnsi" w:hAnsiTheme="minorHAnsi" w:cstheme="minorHAnsi" w:hint="cs"/>
          <w:b/>
          <w:bCs/>
          <w:caps/>
          <w:sz w:val="15"/>
          <w:szCs w:val="15"/>
          <w:rtl/>
        </w:rPr>
        <w:t>17</w:t>
      </w:r>
      <w:r w:rsidR="00A42268">
        <w:rPr>
          <w:rFonts w:asciiTheme="minorHAnsi" w:hAnsiTheme="minorHAnsi" w:cstheme="minorHAnsi" w:hint="cs"/>
          <w:b/>
          <w:bCs/>
          <w:caps/>
          <w:sz w:val="15"/>
          <w:szCs w:val="15"/>
          <w:rtl/>
        </w:rPr>
        <w:t xml:space="preserve"> </w:t>
      </w:r>
      <w:r w:rsidR="003A3AAB">
        <w:rPr>
          <w:rFonts w:asciiTheme="minorHAnsi" w:hAnsiTheme="minorHAnsi" w:cstheme="minorHAnsi" w:hint="cs"/>
          <w:b/>
          <w:bCs/>
          <w:caps/>
          <w:sz w:val="15"/>
          <w:szCs w:val="15"/>
          <w:rtl/>
        </w:rPr>
        <w:t>ديسمبر</w:t>
      </w:r>
      <w:r w:rsidR="00A42268">
        <w:rPr>
          <w:rFonts w:asciiTheme="minorHAnsi" w:hAnsiTheme="minorHAnsi" w:cstheme="minorHAnsi" w:hint="cs"/>
          <w:b/>
          <w:bCs/>
          <w:caps/>
          <w:sz w:val="15"/>
          <w:szCs w:val="15"/>
          <w:rtl/>
        </w:rPr>
        <w:t xml:space="preserve"> 2021</w:t>
      </w:r>
    </w:p>
    <w:bookmarkEnd w:id="2"/>
    <w:p w:rsidR="008B2CC1" w:rsidRDefault="00A42268" w:rsidP="0019592A">
      <w:pPr>
        <w:pStyle w:val="Heading1"/>
        <w:rPr>
          <w:rtl/>
        </w:rPr>
      </w:pPr>
      <w:r>
        <w:rPr>
          <w:rFonts w:hint="cs"/>
          <w:rtl/>
        </w:rPr>
        <w:t>معاهدة سنغافورة بشأن قانون العلامات</w:t>
      </w:r>
    </w:p>
    <w:p w:rsidR="00A42268" w:rsidRPr="00A42268" w:rsidRDefault="00A42268" w:rsidP="00A42268">
      <w:pPr>
        <w:pStyle w:val="Heading1"/>
      </w:pPr>
      <w:r>
        <w:rPr>
          <w:rFonts w:hint="cs"/>
          <w:rtl/>
        </w:rPr>
        <w:t>الجمعية</w:t>
      </w:r>
    </w:p>
    <w:p w:rsidR="00A90F0A" w:rsidRPr="00D67EAE" w:rsidRDefault="00D67EAE" w:rsidP="00A4226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 xml:space="preserve">الرابعة </w:t>
      </w:r>
      <w:r w:rsidR="00A42268">
        <w:rPr>
          <w:rFonts w:asciiTheme="minorHAnsi" w:hAnsiTheme="minorHAnsi" w:cstheme="minorHAnsi" w:hint="cs"/>
          <w:bCs/>
          <w:sz w:val="24"/>
          <w:szCs w:val="24"/>
          <w:rtl/>
        </w:rPr>
        <w:t>عشرة</w:t>
      </w:r>
      <w:r w:rsidR="009A5ED7">
        <w:rPr>
          <w:rFonts w:asciiTheme="minorHAnsi" w:hAnsiTheme="minorHAnsi" w:cstheme="minorHAnsi" w:hint="cs"/>
          <w:bCs/>
          <w:sz w:val="24"/>
          <w:szCs w:val="24"/>
          <w:rtl/>
        </w:rPr>
        <w:t xml:space="preserve"> (الدورة العادية </w:t>
      </w:r>
      <w:r w:rsidR="00A42268">
        <w:rPr>
          <w:rFonts w:asciiTheme="minorHAnsi" w:hAnsiTheme="minorHAnsi" w:cstheme="minorHAnsi" w:hint="cs"/>
          <w:bCs/>
          <w:sz w:val="24"/>
          <w:szCs w:val="24"/>
          <w:rtl/>
        </w:rPr>
        <w:t>السابعة</w:t>
      </w:r>
      <w:r w:rsidR="009A5ED7">
        <w:rPr>
          <w:rFonts w:asciiTheme="minorHAnsi" w:hAnsiTheme="minorHAnsi" w:cstheme="minorHAnsi" w:hint="cs"/>
          <w:bCs/>
          <w:sz w:val="24"/>
          <w:szCs w:val="24"/>
          <w:rtl/>
        </w:rPr>
        <w:t>)</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224E54"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التقرير</w:t>
      </w:r>
    </w:p>
    <w:p w:rsidR="002928D3" w:rsidRDefault="003A3AAB"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الجمعية</w:t>
      </w:r>
    </w:p>
    <w:p w:rsidR="00224E54" w:rsidRPr="00224E54" w:rsidRDefault="00224E54" w:rsidP="00224E54">
      <w:pPr>
        <w:pStyle w:val="ONUMA"/>
      </w:pPr>
      <w:r w:rsidRPr="00224E54">
        <w:rPr>
          <w:rtl/>
        </w:rPr>
        <w:t xml:space="preserve">تناولت الجمعية البنود التالية التي تعنيها من جدول الأعمال الموحّد (الوثيقة </w:t>
      </w:r>
      <w:r w:rsidRPr="00224E54">
        <w:t>A/62/1</w:t>
      </w:r>
      <w:r w:rsidRPr="00224E54">
        <w:rPr>
          <w:rtl/>
        </w:rPr>
        <w:t>): 1 و2 و3 و4 و5 و6 و10"2" و11 و12 و</w:t>
      </w:r>
      <w:r>
        <w:rPr>
          <w:rFonts w:hint="cs"/>
          <w:rtl/>
        </w:rPr>
        <w:t>27</w:t>
      </w:r>
      <w:r w:rsidRPr="00224E54">
        <w:rPr>
          <w:rtl/>
        </w:rPr>
        <w:t xml:space="preserve"> و32 و33.</w:t>
      </w:r>
    </w:p>
    <w:p w:rsidR="00224E54" w:rsidRPr="00224E54" w:rsidRDefault="00224E54" w:rsidP="003A3AAB">
      <w:pPr>
        <w:pStyle w:val="ONUMA"/>
      </w:pPr>
      <w:r w:rsidRPr="00224E54">
        <w:rPr>
          <w:rtl/>
        </w:rPr>
        <w:t xml:space="preserve">وترد التقارير الخاصة بالبنود المذكورة، فيما عدا البند </w:t>
      </w:r>
      <w:r>
        <w:rPr>
          <w:rFonts w:hint="cs"/>
          <w:rtl/>
        </w:rPr>
        <w:t>27</w:t>
      </w:r>
      <w:r w:rsidRPr="00224E54">
        <w:rPr>
          <w:rtl/>
        </w:rPr>
        <w:t xml:space="preserve">، في </w:t>
      </w:r>
      <w:r w:rsidR="003A3AAB">
        <w:rPr>
          <w:rtl/>
        </w:rPr>
        <w:t>التقرير العام (الوثيقة</w:t>
      </w:r>
      <w:r w:rsidR="003A3AAB">
        <w:rPr>
          <w:rFonts w:hint="cs"/>
          <w:rtl/>
        </w:rPr>
        <w:t xml:space="preserve"> </w:t>
      </w:r>
      <w:r w:rsidR="003A3AAB" w:rsidRPr="003A3AAB">
        <w:t>A/62/13</w:t>
      </w:r>
      <w:r w:rsidRPr="00224E54">
        <w:rPr>
          <w:rtl/>
        </w:rPr>
        <w:t>).</w:t>
      </w:r>
    </w:p>
    <w:p w:rsidR="00224E54" w:rsidRPr="00224E54" w:rsidRDefault="00224E54" w:rsidP="00224E54">
      <w:pPr>
        <w:pStyle w:val="ONUMA"/>
      </w:pPr>
      <w:r w:rsidRPr="00224E54">
        <w:rPr>
          <w:rtl/>
        </w:rPr>
        <w:t xml:space="preserve">ويرد التقرير الخاص بالبند </w:t>
      </w:r>
      <w:r>
        <w:rPr>
          <w:rFonts w:hint="cs"/>
          <w:rtl/>
        </w:rPr>
        <w:t>27</w:t>
      </w:r>
      <w:r w:rsidRPr="00224E54">
        <w:rPr>
          <w:rtl/>
        </w:rPr>
        <w:t xml:space="preserve"> في هذه الوثيقة.</w:t>
      </w:r>
    </w:p>
    <w:p w:rsidR="00A657DB" w:rsidRDefault="00F251BC" w:rsidP="00F251BC">
      <w:pPr>
        <w:pStyle w:val="ONUMA"/>
        <w:rPr>
          <w:rtl/>
        </w:rPr>
      </w:pPr>
      <w:r>
        <w:rPr>
          <w:rFonts w:hint="cs"/>
          <w:rtl/>
        </w:rPr>
        <w:t>وانتُخبت</w:t>
      </w:r>
      <w:r w:rsidR="00A657DB">
        <w:rPr>
          <w:rFonts w:hint="cs"/>
          <w:rtl/>
        </w:rPr>
        <w:t xml:space="preserve"> السيدة</w:t>
      </w:r>
      <w:r w:rsidR="00224E54" w:rsidRPr="00224E54">
        <w:rPr>
          <w:rtl/>
        </w:rPr>
        <w:t xml:space="preserve"> </w:t>
      </w:r>
      <w:r w:rsidR="00A657DB" w:rsidRPr="00A657DB">
        <w:rPr>
          <w:rtl/>
        </w:rPr>
        <w:t xml:space="preserve">لوسيا استرادا </w:t>
      </w:r>
      <w:r w:rsidR="00A657DB">
        <w:rPr>
          <w:rtl/>
        </w:rPr>
        <w:t>(</w:t>
      </w:r>
      <w:r w:rsidR="00A657DB" w:rsidRPr="00A657DB">
        <w:rPr>
          <w:rtl/>
        </w:rPr>
        <w:t>أوروغواي</w:t>
      </w:r>
      <w:r w:rsidR="00FF0CBD">
        <w:rPr>
          <w:rtl/>
        </w:rPr>
        <w:t>)</w:t>
      </w:r>
      <w:r w:rsidR="00A657DB">
        <w:rPr>
          <w:rtl/>
        </w:rPr>
        <w:t xml:space="preserve"> رئيس</w:t>
      </w:r>
      <w:r w:rsidR="00A657DB">
        <w:rPr>
          <w:rFonts w:hint="cs"/>
          <w:rtl/>
        </w:rPr>
        <w:t xml:space="preserve">ةً </w:t>
      </w:r>
      <w:r w:rsidR="00A657DB">
        <w:rPr>
          <w:rtl/>
        </w:rPr>
        <w:t>للجمعية</w:t>
      </w:r>
      <w:r w:rsidR="00FF0CBD" w:rsidRPr="00FF0CBD">
        <w:rPr>
          <w:rtl/>
        </w:rPr>
        <w:t>.</w:t>
      </w:r>
    </w:p>
    <w:p w:rsidR="00A657DB" w:rsidRDefault="00A657DB">
      <w:pPr>
        <w:bidi w:val="0"/>
        <w:rPr>
          <w:rFonts w:eastAsia="Times New Roman"/>
          <w:rtl/>
          <w:lang w:eastAsia="en-US"/>
        </w:rPr>
      </w:pPr>
      <w:r>
        <w:rPr>
          <w:rtl/>
        </w:rPr>
        <w:br w:type="page"/>
      </w:r>
    </w:p>
    <w:p w:rsidR="00224E54" w:rsidRPr="00224E54" w:rsidRDefault="00224E54" w:rsidP="00224E54">
      <w:pPr>
        <w:keepNext/>
        <w:spacing w:before="240" w:after="240"/>
        <w:outlineLvl w:val="2"/>
        <w:rPr>
          <w:b/>
          <w:sz w:val="26"/>
          <w:szCs w:val="26"/>
        </w:rPr>
      </w:pPr>
      <w:r w:rsidRPr="00224E54">
        <w:rPr>
          <w:b/>
          <w:sz w:val="26"/>
          <w:szCs w:val="26"/>
          <w:rtl/>
        </w:rPr>
        <w:lastRenderedPageBreak/>
        <w:t>البند 27 من جدول الأعمال الموحّد</w:t>
      </w:r>
    </w:p>
    <w:p w:rsidR="00224E54" w:rsidRPr="00224E54" w:rsidRDefault="00224E54" w:rsidP="00224E54">
      <w:pPr>
        <w:keepNext/>
        <w:spacing w:before="240" w:after="240"/>
        <w:outlineLvl w:val="2"/>
        <w:rPr>
          <w:b/>
          <w:sz w:val="26"/>
          <w:szCs w:val="26"/>
          <w:rtl/>
        </w:rPr>
      </w:pPr>
      <w:r w:rsidRPr="00224E54">
        <w:rPr>
          <w:b/>
          <w:sz w:val="26"/>
          <w:szCs w:val="26"/>
          <w:rtl/>
        </w:rPr>
        <w:t>معاهدة سنغافورة بشأن قانون العلامات التجارية</w:t>
      </w:r>
    </w:p>
    <w:p w:rsidR="00224E54" w:rsidRPr="00F251BC" w:rsidRDefault="00224E54" w:rsidP="00224E54">
      <w:pPr>
        <w:pStyle w:val="ONUMA"/>
      </w:pPr>
      <w:r w:rsidRPr="00F251BC">
        <w:rPr>
          <w:rtl/>
        </w:rPr>
        <w:t xml:space="preserve">استندت المناقشات إلى الوثيقة </w:t>
      </w:r>
      <w:hyperlink r:id="rId12" w:history="1">
        <w:r w:rsidRPr="00F251BC">
          <w:rPr>
            <w:rStyle w:val="Hyperlink"/>
            <w:color w:val="auto"/>
            <w:u w:val="none"/>
          </w:rPr>
          <w:t>STLT/A/14/1</w:t>
        </w:r>
      </w:hyperlink>
      <w:r w:rsidRPr="00F251BC">
        <w:rPr>
          <w:rtl/>
        </w:rPr>
        <w:t>.</w:t>
      </w:r>
    </w:p>
    <w:p w:rsidR="000B6545" w:rsidRDefault="000B6545" w:rsidP="000B6545">
      <w:pPr>
        <w:pStyle w:val="ONUMA"/>
        <w:rPr>
          <w:lang w:bidi="ar-EG"/>
        </w:rPr>
      </w:pPr>
      <w:r>
        <w:rPr>
          <w:rFonts w:hint="cs"/>
          <w:rtl/>
        </w:rPr>
        <w:t xml:space="preserve">وافتتحت الرئيسة الاجتماع ورحبت بكل الوفود المشاركة في الدورة الرابعة عشرة لجمعية معاهدة سنغافورة. ورحبت أيضاً بطرفين جديدين من الأطراف المتعاقدة بموجب معاهدة سنغافورة بشأن قانون العلامات التجارية (المشار إليها فيما يلي بعبارة "معاهدة سنغافورة")، وهما </w:t>
      </w:r>
      <w:proofErr w:type="spellStart"/>
      <w:r>
        <w:rPr>
          <w:rFonts w:hint="cs"/>
          <w:rtl/>
        </w:rPr>
        <w:t>تيرنينداد</w:t>
      </w:r>
      <w:proofErr w:type="spellEnd"/>
      <w:r>
        <w:rPr>
          <w:rFonts w:hint="cs"/>
          <w:rtl/>
        </w:rPr>
        <w:t xml:space="preserve"> وتوباغو وأوروغواي، وبالتالي أصبح العدد الإجمالي للأطراف المتعاقدة 51.</w:t>
      </w:r>
    </w:p>
    <w:p w:rsidR="000B6545" w:rsidRPr="00D14E23" w:rsidRDefault="000B6545" w:rsidP="000B6545">
      <w:pPr>
        <w:pStyle w:val="ONUMA"/>
        <w:rPr>
          <w:lang w:val="fr-CH" w:bidi="ar-EG"/>
        </w:rPr>
      </w:pPr>
      <w:r>
        <w:rPr>
          <w:rFonts w:hint="cs"/>
          <w:rtl/>
        </w:rPr>
        <w:t xml:space="preserve">وقدمت الأمانة الوثيقة وذكّرت بأن المؤتمر الدبلوماسي </w:t>
      </w:r>
      <w:r w:rsidRPr="001A780A">
        <w:rPr>
          <w:rtl/>
        </w:rPr>
        <w:t>المعني باعتماد نص معد</w:t>
      </w:r>
      <w:r>
        <w:rPr>
          <w:rFonts w:hint="cs"/>
          <w:rtl/>
        </w:rPr>
        <w:t>ّ</w:t>
      </w:r>
      <w:r w:rsidRPr="001A780A">
        <w:rPr>
          <w:rtl/>
        </w:rPr>
        <w:t>ل لمعاهدة قانون العلامات</w:t>
      </w:r>
      <w:r>
        <w:rPr>
          <w:rFonts w:hint="cs"/>
          <w:rtl/>
        </w:rPr>
        <w:t>، المعقود في سنغافورة في مارس 2006، التمس في قراره التكميلي من جمعية معاهدة سنغافو</w:t>
      </w:r>
      <w:bookmarkStart w:id="5" w:name="_GoBack"/>
      <w:bookmarkEnd w:id="5"/>
      <w:r>
        <w:rPr>
          <w:rFonts w:hint="cs"/>
          <w:rtl/>
        </w:rPr>
        <w:t xml:space="preserve">رة </w:t>
      </w:r>
      <w:r w:rsidRPr="001A780A">
        <w:rPr>
          <w:rtl/>
        </w:rPr>
        <w:t xml:space="preserve">أن تراقب وتقيّم، في كل دورة من دوراتها العادية، تقدُّم المساعدة المتعلقة بجهود تنفيذ </w:t>
      </w:r>
      <w:r>
        <w:rPr>
          <w:rFonts w:hint="cs"/>
          <w:rtl/>
        </w:rPr>
        <w:t>ال</w:t>
      </w:r>
      <w:r>
        <w:rPr>
          <w:rtl/>
        </w:rPr>
        <w:t>معاهدة والمزايا المستمدة من تنفيذها</w:t>
      </w:r>
      <w:r>
        <w:rPr>
          <w:rFonts w:hint="cs"/>
          <w:rtl/>
        </w:rPr>
        <w:t>. و</w:t>
      </w:r>
      <w:r w:rsidRPr="004874EE">
        <w:rPr>
          <w:rtl/>
        </w:rPr>
        <w:t>وافقت جمعية معاهدة سنغافورة</w:t>
      </w:r>
      <w:r>
        <w:rPr>
          <w:rFonts w:hint="cs"/>
          <w:rtl/>
        </w:rPr>
        <w:t>،</w:t>
      </w:r>
      <w:r>
        <w:rPr>
          <w:rtl/>
        </w:rPr>
        <w:t xml:space="preserve"> </w:t>
      </w:r>
      <w:r>
        <w:rPr>
          <w:rFonts w:hint="cs"/>
          <w:rtl/>
        </w:rPr>
        <w:t>في</w:t>
      </w:r>
      <w:r>
        <w:rPr>
          <w:rFonts w:hint="eastAsia"/>
          <w:rtl/>
        </w:rPr>
        <w:t> </w:t>
      </w:r>
      <w:r w:rsidRPr="004874EE">
        <w:rPr>
          <w:rtl/>
        </w:rPr>
        <w:t xml:space="preserve">دورتها العادية الأولى </w:t>
      </w:r>
      <w:r>
        <w:rPr>
          <w:rFonts w:hint="cs"/>
          <w:rtl/>
        </w:rPr>
        <w:t xml:space="preserve">المعقودة </w:t>
      </w:r>
      <w:r w:rsidRPr="004874EE">
        <w:rPr>
          <w:rtl/>
        </w:rPr>
        <w:t>في جنيف في الفترة</w:t>
      </w:r>
      <w:r>
        <w:rPr>
          <w:rtl/>
        </w:rPr>
        <w:t xml:space="preserve"> من 22 سبتمبر إلى 1 أكتوبر 2009</w:t>
      </w:r>
      <w:r>
        <w:rPr>
          <w:rFonts w:hint="cs"/>
          <w:rtl/>
        </w:rPr>
        <w:t xml:space="preserve">، </w:t>
      </w:r>
      <w:r w:rsidRPr="004874EE">
        <w:rPr>
          <w:rtl/>
        </w:rPr>
        <w:t xml:space="preserve">على أن تبلّغ الأطرافُ المتعاقدة </w:t>
      </w:r>
      <w:r>
        <w:rPr>
          <w:rFonts w:hint="cs"/>
          <w:rtl/>
        </w:rPr>
        <w:t>الأمانة</w:t>
      </w:r>
      <w:r w:rsidRPr="004874EE">
        <w:rPr>
          <w:rtl/>
        </w:rPr>
        <w:t xml:space="preserve"> بأية أنشطة ت</w:t>
      </w:r>
      <w:r>
        <w:rPr>
          <w:rFonts w:hint="cs"/>
          <w:rtl/>
        </w:rPr>
        <w:t>ُ</w:t>
      </w:r>
      <w:r w:rsidRPr="004874EE">
        <w:rPr>
          <w:rtl/>
        </w:rPr>
        <w:t>نجز في سياق المساعدة التقنية الم</w:t>
      </w:r>
      <w:r>
        <w:rPr>
          <w:rFonts w:hint="cs"/>
          <w:rtl/>
        </w:rPr>
        <w:t>ُ</w:t>
      </w:r>
      <w:r w:rsidRPr="004874EE">
        <w:rPr>
          <w:rtl/>
        </w:rPr>
        <w:t>قدمة لتنفيذ</w:t>
      </w:r>
      <w:r>
        <w:rPr>
          <w:rtl/>
        </w:rPr>
        <w:t xml:space="preserve"> معاهدة سنغافورة وأن </w:t>
      </w:r>
      <w:r>
        <w:rPr>
          <w:rFonts w:hint="cs"/>
          <w:rtl/>
        </w:rPr>
        <w:t>ت</w:t>
      </w:r>
      <w:r w:rsidRPr="004874EE">
        <w:rPr>
          <w:rtl/>
        </w:rPr>
        <w:t xml:space="preserve">جمع </w:t>
      </w:r>
      <w:r>
        <w:rPr>
          <w:rFonts w:hint="cs"/>
          <w:rtl/>
        </w:rPr>
        <w:t>الأمانة</w:t>
      </w:r>
      <w:r>
        <w:rPr>
          <w:rtl/>
        </w:rPr>
        <w:t xml:space="preserve"> تلك المعلومات و</w:t>
      </w:r>
      <w:r>
        <w:rPr>
          <w:rFonts w:hint="cs"/>
          <w:rtl/>
        </w:rPr>
        <w:t>ت</w:t>
      </w:r>
      <w:r w:rsidRPr="004874EE">
        <w:rPr>
          <w:rtl/>
        </w:rPr>
        <w:t>قدّمها مع غيرها من المعلومات الوجيهة عن أنشطته</w:t>
      </w:r>
      <w:r>
        <w:rPr>
          <w:rFonts w:hint="cs"/>
          <w:rtl/>
        </w:rPr>
        <w:t>ا</w:t>
      </w:r>
      <w:r w:rsidRPr="004874EE">
        <w:rPr>
          <w:rtl/>
        </w:rPr>
        <w:t xml:space="preserve"> في هذا المجال إلى جمعية معاهدة سنغافورة في دورتها اللاحقة</w:t>
      </w:r>
      <w:r>
        <w:rPr>
          <w:rFonts w:hint="cs"/>
          <w:rtl/>
        </w:rPr>
        <w:t xml:space="preserve">. وبناء عليه، تحتوي الوثيقة </w:t>
      </w:r>
      <w:r w:rsidRPr="004874EE">
        <w:t>STLT/A/14/1</w:t>
      </w:r>
      <w:r>
        <w:rPr>
          <w:rFonts w:hint="cs"/>
          <w:rtl/>
        </w:rPr>
        <w:t xml:space="preserve"> على معلومات وجيهة تغطي الفترة من يونيو 2019 إلى مايو 2021. والمعلومات معروضة في فئتين شاملتين هما المساعدة على </w:t>
      </w:r>
      <w:r w:rsidRPr="004874EE">
        <w:rPr>
          <w:rtl/>
        </w:rPr>
        <w:t xml:space="preserve">وضع إطار قانوني </w:t>
      </w:r>
      <w:r>
        <w:rPr>
          <w:rFonts w:hint="cs"/>
          <w:rtl/>
        </w:rPr>
        <w:t>لتنفيذ المعاهدة والأنشطة المرتبطة بالتوعية والإعلام.</w:t>
      </w:r>
    </w:p>
    <w:p w:rsidR="000B6545" w:rsidRPr="001A780A" w:rsidRDefault="000B6545" w:rsidP="000B6545">
      <w:pPr>
        <w:pStyle w:val="ONUMA"/>
        <w:ind w:left="566"/>
        <w:rPr>
          <w:rtl/>
          <w:lang w:val="fr-CH" w:bidi="ar-EG"/>
        </w:rPr>
      </w:pPr>
      <w:r w:rsidRPr="00D14E23">
        <w:rPr>
          <w:rFonts w:hint="cs"/>
          <w:rtl/>
          <w:lang w:val="fr-CH"/>
        </w:rPr>
        <w:t>أحاطت</w:t>
      </w:r>
      <w:r w:rsidRPr="00D14E23">
        <w:rPr>
          <w:rtl/>
          <w:lang w:val="fr-CH"/>
        </w:rPr>
        <w:t xml:space="preserve"> جمعية معاهدة سنغافورة علماً </w:t>
      </w:r>
      <w:r w:rsidRPr="00D14E23">
        <w:rPr>
          <w:rFonts w:hint="cs"/>
          <w:rtl/>
          <w:lang w:val="fr-CH"/>
        </w:rPr>
        <w:t>بالمعلومات الواردة في</w:t>
      </w:r>
      <w:r w:rsidRPr="00D14E23">
        <w:rPr>
          <w:rtl/>
          <w:lang w:val="fr-CH"/>
        </w:rPr>
        <w:t xml:space="preserve"> "المساعدة التقنية والتعاون لأغراض تنفيذ معاهدة سنغافورة بشأن قانون العلامات التجارية" (الوثيقة </w:t>
      </w:r>
      <w:r w:rsidRPr="00D14E23">
        <w:rPr>
          <w:lang w:bidi="ar-EG"/>
        </w:rPr>
        <w:t>STLT/A/14/1</w:t>
      </w:r>
      <w:r w:rsidRPr="00D14E23">
        <w:rPr>
          <w:rtl/>
          <w:lang w:val="fr-CH"/>
        </w:rPr>
        <w:t>)</w:t>
      </w:r>
    </w:p>
    <w:p w:rsidR="00224E54" w:rsidRPr="00224E54" w:rsidRDefault="00A657DB" w:rsidP="00A657DB">
      <w:pPr>
        <w:pStyle w:val="Endofdocument-Annex"/>
        <w:spacing w:before="480"/>
      </w:pPr>
      <w:r>
        <w:rPr>
          <w:rFonts w:hint="cs"/>
          <w:rtl/>
        </w:rPr>
        <w:t>[نهاية الوثيقة]</w:t>
      </w:r>
    </w:p>
    <w:sectPr w:rsidR="00224E54" w:rsidRPr="00224E54"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A4" w:rsidRDefault="004E07A4">
      <w:r>
        <w:separator/>
      </w:r>
    </w:p>
  </w:endnote>
  <w:endnote w:type="continuationSeparator" w:id="0">
    <w:p w:rsidR="004E07A4" w:rsidRDefault="004E07A4" w:rsidP="003B38C1">
      <w:r>
        <w:separator/>
      </w:r>
    </w:p>
    <w:p w:rsidR="004E07A4" w:rsidRPr="003B38C1" w:rsidRDefault="004E07A4" w:rsidP="003B38C1">
      <w:pPr>
        <w:spacing w:after="60"/>
        <w:rPr>
          <w:sz w:val="17"/>
        </w:rPr>
      </w:pPr>
      <w:r>
        <w:rPr>
          <w:sz w:val="17"/>
        </w:rPr>
        <w:t>[Endnote continued from previous page]</w:t>
      </w:r>
    </w:p>
  </w:endnote>
  <w:endnote w:type="continuationNotice" w:id="1">
    <w:p w:rsidR="004E07A4" w:rsidRPr="003B38C1" w:rsidRDefault="004E07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00000000"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A4" w:rsidRDefault="004E07A4">
      <w:r>
        <w:separator/>
      </w:r>
    </w:p>
  </w:footnote>
  <w:footnote w:type="continuationSeparator" w:id="0">
    <w:p w:rsidR="004E07A4" w:rsidRDefault="004E07A4" w:rsidP="008B60B2">
      <w:r>
        <w:separator/>
      </w:r>
    </w:p>
    <w:p w:rsidR="004E07A4" w:rsidRPr="00ED77FB" w:rsidRDefault="004E07A4" w:rsidP="008B60B2">
      <w:pPr>
        <w:spacing w:after="60"/>
        <w:rPr>
          <w:sz w:val="17"/>
          <w:szCs w:val="17"/>
        </w:rPr>
      </w:pPr>
      <w:r w:rsidRPr="00ED77FB">
        <w:rPr>
          <w:sz w:val="17"/>
          <w:szCs w:val="17"/>
        </w:rPr>
        <w:t>[Footnote continued from previous page]</w:t>
      </w:r>
    </w:p>
  </w:footnote>
  <w:footnote w:type="continuationNotice" w:id="1">
    <w:p w:rsidR="004E07A4" w:rsidRPr="00ED77FB" w:rsidRDefault="004E07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C1" w:rsidRDefault="00BF13C1" w:rsidP="00224E54">
    <w:pPr>
      <w:bidi w:val="0"/>
    </w:pPr>
    <w:r>
      <w:t>STLT/A/14/</w:t>
    </w:r>
    <w:r w:rsidR="003A3AAB">
      <w:t>2</w:t>
    </w:r>
  </w:p>
  <w:p w:rsidR="00BF13C1" w:rsidRPr="00BF13C1" w:rsidRDefault="00BF13C1" w:rsidP="00224E54">
    <w:pPr>
      <w:bidi w:val="0"/>
      <w:rPr>
        <w:lang w:val="fr-CH"/>
      </w:rPr>
    </w:pPr>
    <w:r>
      <w:fldChar w:fldCharType="begin"/>
    </w:r>
    <w:r>
      <w:instrText xml:space="preserve"> PAGE  \* MERGEFORMAT </w:instrText>
    </w:r>
    <w:r>
      <w:fldChar w:fldCharType="separate"/>
    </w:r>
    <w:r w:rsidR="00A15194">
      <w:rPr>
        <w:noProof/>
      </w:rPr>
      <w:t>2</w:t>
    </w:r>
    <w:r>
      <w:fldChar w:fldCharType="end"/>
    </w:r>
  </w:p>
  <w:p w:rsidR="00BF13C1" w:rsidRDefault="00BF13C1" w:rsidP="00224E54">
    <w:pPr>
      <w:bidi w:val="0"/>
    </w:pPr>
  </w:p>
  <w:p w:rsidR="00BF13C1" w:rsidRDefault="00BF13C1" w:rsidP="00224E54">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A06230"/>
    <w:multiLevelType w:val="multilevel"/>
    <w:tmpl w:val="0856350A"/>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A4"/>
    <w:rsid w:val="00043CAA"/>
    <w:rsid w:val="00056816"/>
    <w:rsid w:val="00075432"/>
    <w:rsid w:val="000968ED"/>
    <w:rsid w:val="000A3D97"/>
    <w:rsid w:val="000B6545"/>
    <w:rsid w:val="000C7593"/>
    <w:rsid w:val="000F5E56"/>
    <w:rsid w:val="001362EE"/>
    <w:rsid w:val="001406E1"/>
    <w:rsid w:val="00155D8A"/>
    <w:rsid w:val="001647D5"/>
    <w:rsid w:val="00166A97"/>
    <w:rsid w:val="001832A6"/>
    <w:rsid w:val="0019592A"/>
    <w:rsid w:val="001D4107"/>
    <w:rsid w:val="00203D24"/>
    <w:rsid w:val="00210D5F"/>
    <w:rsid w:val="0021217E"/>
    <w:rsid w:val="00224E54"/>
    <w:rsid w:val="002326AB"/>
    <w:rsid w:val="00243430"/>
    <w:rsid w:val="002634C4"/>
    <w:rsid w:val="002928D3"/>
    <w:rsid w:val="002F1FE6"/>
    <w:rsid w:val="002F4E68"/>
    <w:rsid w:val="00306644"/>
    <w:rsid w:val="00312F7F"/>
    <w:rsid w:val="00361450"/>
    <w:rsid w:val="003673CF"/>
    <w:rsid w:val="003845C1"/>
    <w:rsid w:val="003A3AAB"/>
    <w:rsid w:val="003A6F89"/>
    <w:rsid w:val="003B355C"/>
    <w:rsid w:val="003B38C1"/>
    <w:rsid w:val="003C34E9"/>
    <w:rsid w:val="00423E3E"/>
    <w:rsid w:val="00427AF4"/>
    <w:rsid w:val="004647DA"/>
    <w:rsid w:val="00474062"/>
    <w:rsid w:val="00477D6B"/>
    <w:rsid w:val="00490FEA"/>
    <w:rsid w:val="004E07A4"/>
    <w:rsid w:val="004E5C11"/>
    <w:rsid w:val="005019FF"/>
    <w:rsid w:val="0053057A"/>
    <w:rsid w:val="00556076"/>
    <w:rsid w:val="00560A29"/>
    <w:rsid w:val="005C6649"/>
    <w:rsid w:val="005E7B89"/>
    <w:rsid w:val="00605827"/>
    <w:rsid w:val="00646050"/>
    <w:rsid w:val="006713CA"/>
    <w:rsid w:val="00676C5C"/>
    <w:rsid w:val="006B5C12"/>
    <w:rsid w:val="006C5FA0"/>
    <w:rsid w:val="00720EFD"/>
    <w:rsid w:val="007854AF"/>
    <w:rsid w:val="00793A7C"/>
    <w:rsid w:val="007A398A"/>
    <w:rsid w:val="007C4902"/>
    <w:rsid w:val="007D1613"/>
    <w:rsid w:val="007E4C0E"/>
    <w:rsid w:val="007F2029"/>
    <w:rsid w:val="00810FFC"/>
    <w:rsid w:val="008A134B"/>
    <w:rsid w:val="008B2CC1"/>
    <w:rsid w:val="008B60B2"/>
    <w:rsid w:val="008D4413"/>
    <w:rsid w:val="0090731E"/>
    <w:rsid w:val="00916EE2"/>
    <w:rsid w:val="00947462"/>
    <w:rsid w:val="00966A22"/>
    <w:rsid w:val="0096722F"/>
    <w:rsid w:val="0097688F"/>
    <w:rsid w:val="00980843"/>
    <w:rsid w:val="009A5ED7"/>
    <w:rsid w:val="009B0855"/>
    <w:rsid w:val="009E2791"/>
    <w:rsid w:val="009E3B67"/>
    <w:rsid w:val="009E3F6F"/>
    <w:rsid w:val="009F499F"/>
    <w:rsid w:val="00A15194"/>
    <w:rsid w:val="00A20439"/>
    <w:rsid w:val="00A37342"/>
    <w:rsid w:val="00A42268"/>
    <w:rsid w:val="00A42DAF"/>
    <w:rsid w:val="00A45BD8"/>
    <w:rsid w:val="00A657DB"/>
    <w:rsid w:val="00A869B7"/>
    <w:rsid w:val="00A90F0A"/>
    <w:rsid w:val="00AA7E3D"/>
    <w:rsid w:val="00AC205C"/>
    <w:rsid w:val="00AF0A6B"/>
    <w:rsid w:val="00B05A69"/>
    <w:rsid w:val="00B42CA9"/>
    <w:rsid w:val="00B51FF7"/>
    <w:rsid w:val="00B75281"/>
    <w:rsid w:val="00B9153C"/>
    <w:rsid w:val="00B92F1F"/>
    <w:rsid w:val="00B9734B"/>
    <w:rsid w:val="00BA30E2"/>
    <w:rsid w:val="00BF13C1"/>
    <w:rsid w:val="00C11BFE"/>
    <w:rsid w:val="00C5068F"/>
    <w:rsid w:val="00C86D74"/>
    <w:rsid w:val="00CB3DBA"/>
    <w:rsid w:val="00CC3E2D"/>
    <w:rsid w:val="00CD04F1"/>
    <w:rsid w:val="00CE19F8"/>
    <w:rsid w:val="00CF681A"/>
    <w:rsid w:val="00D07C78"/>
    <w:rsid w:val="00D45252"/>
    <w:rsid w:val="00D46F06"/>
    <w:rsid w:val="00D60B2C"/>
    <w:rsid w:val="00D67EAE"/>
    <w:rsid w:val="00D71B4D"/>
    <w:rsid w:val="00D90B96"/>
    <w:rsid w:val="00D93D55"/>
    <w:rsid w:val="00DB4B0F"/>
    <w:rsid w:val="00DD7B7F"/>
    <w:rsid w:val="00E15015"/>
    <w:rsid w:val="00E319DF"/>
    <w:rsid w:val="00E335FE"/>
    <w:rsid w:val="00E66CC5"/>
    <w:rsid w:val="00E7374D"/>
    <w:rsid w:val="00EA7D6E"/>
    <w:rsid w:val="00EB2F76"/>
    <w:rsid w:val="00EC4E49"/>
    <w:rsid w:val="00ED77FB"/>
    <w:rsid w:val="00EE066C"/>
    <w:rsid w:val="00EE45FA"/>
    <w:rsid w:val="00F043DE"/>
    <w:rsid w:val="00F251BC"/>
    <w:rsid w:val="00F66152"/>
    <w:rsid w:val="00F9165B"/>
    <w:rsid w:val="00FC482F"/>
    <w:rsid w:val="00FF0CB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971FD2"/>
  <w15:docId w15:val="{6B879E08-07D5-4E7F-BAE5-9459FA5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semiHidden/>
    <w:rsid w:val="00A42268"/>
    <w:rPr>
      <w:color w:val="0000FF" w:themeColor="hyperlink"/>
      <w:u w:val="single"/>
    </w:rPr>
  </w:style>
  <w:style w:type="paragraph" w:customStyle="1" w:styleId="Decision">
    <w:name w:val="Decision"/>
    <w:basedOn w:val="ONUMA"/>
    <w:link w:val="DecisionChar"/>
    <w:uiPriority w:val="1"/>
    <w:qFormat/>
    <w:rsid w:val="00A42268"/>
    <w:pPr>
      <w:numPr>
        <w:numId w:val="9"/>
      </w:numPr>
      <w:spacing w:before="200" w:after="0"/>
      <w:ind w:left="5534"/>
    </w:pPr>
    <w:rPr>
      <w:rFonts w:ascii="Arabic Typesetting" w:eastAsia="SimSun" w:hAnsi="Arabic Typesetting" w:cs="Arabic Typesetting"/>
      <w:i/>
      <w:iCs/>
      <w:sz w:val="36"/>
      <w:szCs w:val="36"/>
      <w:lang w:eastAsia="zh-CN"/>
    </w:rPr>
  </w:style>
  <w:style w:type="paragraph" w:customStyle="1" w:styleId="DECISION0">
    <w:name w:val="DECISION"/>
    <w:basedOn w:val="Decision"/>
    <w:link w:val="DECISIONChar0"/>
    <w:qFormat/>
    <w:rsid w:val="00A42268"/>
    <w:pPr>
      <w:numPr>
        <w:numId w:val="0"/>
      </w:numPr>
      <w:ind w:left="5534"/>
    </w:pPr>
    <w:rPr>
      <w:rFonts w:ascii="Calibri" w:hAnsi="Calibri" w:cs="Calibri"/>
    </w:rPr>
  </w:style>
  <w:style w:type="character" w:styleId="FootnoteReference">
    <w:name w:val="footnote reference"/>
    <w:basedOn w:val="DefaultParagraphFont"/>
    <w:semiHidden/>
    <w:unhideWhenUsed/>
    <w:rsid w:val="00A42268"/>
    <w:rPr>
      <w:vertAlign w:val="superscript"/>
    </w:rPr>
  </w:style>
  <w:style w:type="character" w:customStyle="1" w:styleId="BodyTextChar">
    <w:name w:val="Body Text Char"/>
    <w:basedOn w:val="DefaultParagraphFont"/>
    <w:link w:val="BodyText"/>
    <w:rsid w:val="00A42268"/>
    <w:rPr>
      <w:rFonts w:ascii="Arial" w:eastAsia="SimSun" w:hAnsi="Arial" w:cs="Calibri"/>
      <w:sz w:val="22"/>
      <w:szCs w:val="22"/>
      <w:lang w:val="en-US" w:eastAsia="zh-CN"/>
    </w:rPr>
  </w:style>
  <w:style w:type="character" w:customStyle="1" w:styleId="ONUMAChar">
    <w:name w:val="ONUM A Char"/>
    <w:basedOn w:val="BodyTextChar"/>
    <w:link w:val="ONUMA"/>
    <w:rsid w:val="00A42268"/>
    <w:rPr>
      <w:rFonts w:ascii="Arial" w:eastAsia="SimSun" w:hAnsi="Arial" w:cs="Calibri"/>
      <w:sz w:val="22"/>
      <w:szCs w:val="22"/>
      <w:lang w:val="en-US" w:eastAsia="en-US"/>
    </w:rPr>
  </w:style>
  <w:style w:type="character" w:customStyle="1" w:styleId="DecisionChar">
    <w:name w:val="Decision Char"/>
    <w:basedOn w:val="ONUMAChar"/>
    <w:link w:val="Decision"/>
    <w:uiPriority w:val="1"/>
    <w:rsid w:val="00A42268"/>
    <w:rPr>
      <w:rFonts w:ascii="Arabic Typesetting" w:eastAsia="SimSun" w:hAnsi="Arabic Typesetting" w:cs="Arabic Typesetting"/>
      <w:i/>
      <w:iCs/>
      <w:sz w:val="36"/>
      <w:szCs w:val="36"/>
      <w:lang w:val="en-US" w:eastAsia="zh-CN"/>
    </w:rPr>
  </w:style>
  <w:style w:type="character" w:customStyle="1" w:styleId="DECISIONChar0">
    <w:name w:val="DECISION Char"/>
    <w:basedOn w:val="DecisionChar"/>
    <w:link w:val="DECISION0"/>
    <w:rsid w:val="00A42268"/>
    <w:rPr>
      <w:rFonts w:ascii="Calibri" w:eastAsia="SimSun" w:hAnsi="Calibri" w:cs="Calibri"/>
      <w:i/>
      <w:iCs/>
      <w:sz w:val="36"/>
      <w:szCs w:val="36"/>
      <w:lang w:val="en-US" w:eastAsia="zh-CN"/>
    </w:rPr>
  </w:style>
  <w:style w:type="table" w:styleId="TableGrid">
    <w:name w:val="Table Grid"/>
    <w:basedOn w:val="TableNormal"/>
    <w:rsid w:val="00A4226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5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doc_details.jsp?doc_id=5443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E522D-B78A-4189-8212-A514917B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WO_GA_54_AR.dotx</Template>
  <TotalTime>32</TotalTime>
  <Pages>2</Pages>
  <Words>317</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STLT/14/2 (Arabic)</vt:lpstr>
    </vt:vector>
  </TitlesOfParts>
  <Company>WIPO</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STLT/14/2 (Arabic)</dc:title>
  <dc:creator>IHADADENE Soraya</dc:creator>
  <cp:keywords>FOR OFFICIAL USE ONLY</cp:keywords>
  <cp:lastModifiedBy>MERZOUK Fawzi</cp:lastModifiedBy>
  <cp:revision>11</cp:revision>
  <cp:lastPrinted>2021-12-10T17:15:00Z</cp:lastPrinted>
  <dcterms:created xsi:type="dcterms:W3CDTF">2021-10-05T16:38:00Z</dcterms:created>
  <dcterms:modified xsi:type="dcterms:W3CDTF">2021-12-10T17:15:00Z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