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71591FE8" wp14:editId="0329EC1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7A4E67" w:rsidRDefault="00772E46" w:rsidP="007A4E67">
            <w:pPr>
              <w:pStyle w:val="DocumentCodeAR"/>
              <w:bidi/>
              <w:rPr>
                <w:rtl/>
                <w:lang w:val="fr-CH"/>
              </w:rPr>
            </w:pPr>
            <w:r>
              <w:t>WO/</w:t>
            </w:r>
            <w:r w:rsidR="0059089F">
              <w:t>GA</w:t>
            </w:r>
            <w:r w:rsidR="00100F97">
              <w:t>/</w:t>
            </w:r>
            <w:r w:rsidR="009B48E3">
              <w:t>4</w:t>
            </w:r>
            <w:r w:rsidR="001E574D">
              <w:t>9</w:t>
            </w:r>
            <w:r w:rsidR="007A4E67">
              <w:t>/10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7A4E67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proofErr w:type="gramStart"/>
            <w:r w:rsidR="007A4E67"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7A4E67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7A4E67">
              <w:rPr>
                <w:rFonts w:hint="cs"/>
                <w:rtl/>
              </w:rPr>
              <w:t xml:space="preserve">3 </w:t>
            </w:r>
            <w:proofErr w:type="gramStart"/>
            <w:r w:rsidR="007A4E67">
              <w:rPr>
                <w:rFonts w:hint="cs"/>
                <w:rtl/>
              </w:rPr>
              <w:t>يوليو</w:t>
            </w:r>
            <w:proofErr w:type="gramEnd"/>
            <w:r w:rsidR="007A4E67">
              <w:rPr>
                <w:rFonts w:hint="cs"/>
                <w:rtl/>
              </w:rPr>
              <w:t xml:space="preserve"> </w:t>
            </w:r>
            <w:r w:rsidR="001E574D">
              <w:rPr>
                <w:rFonts w:hint="cs"/>
                <w:rtl/>
              </w:rPr>
              <w:t>2017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59089F" w:rsidRDefault="0059089F" w:rsidP="000D7BA7">
      <w:pPr>
        <w:pStyle w:val="MeetingTitleAR"/>
        <w:bidi/>
        <w:ind w:right="550"/>
        <w:rPr>
          <w:rtl/>
          <w:lang w:val="fr-CH"/>
        </w:rPr>
      </w:pPr>
      <w:r>
        <w:rPr>
          <w:rFonts w:hint="cs"/>
          <w:rtl/>
          <w:lang w:val="fr-CH"/>
        </w:rPr>
        <w:t>الجمعية العامة للويبو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59089F" w:rsidP="001E574D">
      <w:pPr>
        <w:pStyle w:val="MeetingSessionAR"/>
        <w:bidi/>
        <w:rPr>
          <w:rFonts w:ascii="Cambria Math" w:hAnsi="Cambria Math"/>
          <w:rtl/>
        </w:rPr>
      </w:pPr>
      <w:r w:rsidRPr="0059089F">
        <w:rPr>
          <w:rFonts w:ascii="Cambria Math" w:hAnsi="Cambria Math"/>
          <w:rtl/>
        </w:rPr>
        <w:t xml:space="preserve">الدورة </w:t>
      </w:r>
      <w:r w:rsidR="001E574D">
        <w:rPr>
          <w:rFonts w:ascii="Cambria Math" w:hAnsi="Cambria Math" w:hint="cs"/>
          <w:rtl/>
        </w:rPr>
        <w:t>التاسعة</w:t>
      </w:r>
      <w:r w:rsidR="00F03C3E">
        <w:rPr>
          <w:rFonts w:ascii="Cambria Math" w:hAnsi="Cambria Math" w:hint="cs"/>
          <w:rtl/>
        </w:rPr>
        <w:t xml:space="preserve"> </w:t>
      </w:r>
      <w:r w:rsidRPr="0059089F">
        <w:rPr>
          <w:rFonts w:ascii="Cambria Math" w:hAnsi="Cambria Math"/>
          <w:rtl/>
        </w:rPr>
        <w:t xml:space="preserve">والأربعون (الدورة </w:t>
      </w:r>
      <w:r w:rsidR="001E574D">
        <w:rPr>
          <w:rFonts w:ascii="Cambria Math" w:hAnsi="Cambria Math" w:hint="cs"/>
          <w:rtl/>
        </w:rPr>
        <w:t>العادية</w:t>
      </w:r>
      <w:r w:rsidR="009B48E3">
        <w:rPr>
          <w:rFonts w:ascii="Cambria Math" w:hAnsi="Cambria Math" w:hint="cs"/>
          <w:rtl/>
        </w:rPr>
        <w:t xml:space="preserve"> </w:t>
      </w:r>
      <w:r w:rsidR="001E574D">
        <w:rPr>
          <w:rFonts w:ascii="Cambria Math" w:hAnsi="Cambria Math" w:hint="cs"/>
          <w:rtl/>
        </w:rPr>
        <w:t>الثالثة</w:t>
      </w:r>
      <w:r w:rsidR="00F03C3E">
        <w:rPr>
          <w:rFonts w:ascii="Cambria Math" w:hAnsi="Cambria Math" w:hint="cs"/>
          <w:rtl/>
        </w:rPr>
        <w:t xml:space="preserve"> </w:t>
      </w:r>
      <w:proofErr w:type="gramStart"/>
      <w:r w:rsidRPr="0059089F">
        <w:rPr>
          <w:rFonts w:ascii="Cambria Math" w:hAnsi="Cambria Math"/>
          <w:rtl/>
        </w:rPr>
        <w:t>والعشرون</w:t>
      </w:r>
      <w:proofErr w:type="gramEnd"/>
      <w:r w:rsidRPr="0059089F">
        <w:rPr>
          <w:rFonts w:ascii="Cambria Math" w:hAnsi="Cambria Math"/>
          <w:rtl/>
        </w:rPr>
        <w:t>)</w:t>
      </w:r>
    </w:p>
    <w:p w:rsidR="00D61541" w:rsidRPr="00D61541" w:rsidRDefault="00D61541" w:rsidP="001E574D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proofErr w:type="gramStart"/>
      <w:r w:rsidR="00A834F7">
        <w:rPr>
          <w:rFonts w:hint="cs"/>
          <w:rtl/>
        </w:rPr>
        <w:t>من</w:t>
      </w:r>
      <w:proofErr w:type="gramEnd"/>
      <w:r w:rsidR="00A834F7">
        <w:rPr>
          <w:rFonts w:hint="cs"/>
          <w:rtl/>
        </w:rPr>
        <w:t xml:space="preserve"> </w:t>
      </w:r>
      <w:r w:rsidR="001E574D">
        <w:rPr>
          <w:rFonts w:hint="cs"/>
          <w:rtl/>
        </w:rPr>
        <w:t>2 إلى 11 أكتوبر 2017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7A4E67" w:rsidP="00FB7EC9">
      <w:pPr>
        <w:pStyle w:val="DocumentTitleAR"/>
        <w:bidi/>
        <w:rPr>
          <w:rtl/>
        </w:rPr>
      </w:pPr>
      <w:proofErr w:type="gramStart"/>
      <w:r w:rsidRPr="007A4E67">
        <w:rPr>
          <w:rtl/>
        </w:rPr>
        <w:t>قرار</w:t>
      </w:r>
      <w:proofErr w:type="gramEnd"/>
      <w:r w:rsidRPr="007A4E67">
        <w:rPr>
          <w:rtl/>
        </w:rPr>
        <w:t xml:space="preserve"> بشأن المسائل المتعلقة باللجنة المعنية بالتنمية والملكية الفكرية</w:t>
      </w:r>
    </w:p>
    <w:p w:rsidR="00D61541" w:rsidRPr="00D61541" w:rsidRDefault="007A4E67" w:rsidP="00931859">
      <w:pPr>
        <w:pStyle w:val="PreparedbyAR"/>
        <w:bidi/>
        <w:rPr>
          <w:rtl/>
        </w:rPr>
      </w:pPr>
      <w:proofErr w:type="gramStart"/>
      <w:r w:rsidRPr="007A4E67">
        <w:rPr>
          <w:rtl/>
        </w:rPr>
        <w:t>وثيقة</w:t>
      </w:r>
      <w:proofErr w:type="gramEnd"/>
      <w:r w:rsidRPr="007A4E67">
        <w:rPr>
          <w:rtl/>
        </w:rPr>
        <w:t xml:space="preserve"> من إعداد الأمانة</w:t>
      </w:r>
    </w:p>
    <w:p w:rsidR="007A4E67" w:rsidRDefault="007A4E67" w:rsidP="007A4E67">
      <w:pPr>
        <w:pStyle w:val="NumberedParaAR"/>
      </w:pPr>
      <w:r w:rsidRPr="007A4E67">
        <w:rPr>
          <w:rtl/>
        </w:rPr>
        <w:t>التمست الجمعية العامة للمنظمة العالمية للملكية الفكرية (الويبو) في دورتها الثالثة والأربعين، المنعقدة من 23 سبتمبر إلى 2 أكتوبر 2013، من اللجنة المعنية بالتنمية والملكية الفكرية، مناقشة "تنفيذ ولاية اللجنة" و"تنفيذ آليات التنسيق" خلال دورتيها الثانية عشرة والثالثة عشرة</w:t>
      </w:r>
      <w:r>
        <w:rPr>
          <w:rFonts w:hint="cs"/>
          <w:rtl/>
        </w:rPr>
        <w:t xml:space="preserve">، </w:t>
      </w:r>
      <w:r w:rsidRPr="007A4E67">
        <w:rPr>
          <w:rtl/>
        </w:rPr>
        <w:t xml:space="preserve">وتقديم تقرير وتوصيات حول المسألتين إلى الجمعية العامة للويبو في عام </w:t>
      </w:r>
      <w:r>
        <w:rPr>
          <w:rFonts w:hint="cs"/>
          <w:rtl/>
        </w:rPr>
        <w:t>2014</w:t>
      </w:r>
      <w:r w:rsidRPr="007A4E67">
        <w:rPr>
          <w:rtl/>
        </w:rPr>
        <w:t xml:space="preserve"> (الوثيقة </w:t>
      </w:r>
      <w:r w:rsidRPr="007A4E67">
        <w:t>WO/GA/43/22</w:t>
      </w:r>
      <w:r w:rsidRPr="007A4E67">
        <w:rPr>
          <w:rtl/>
        </w:rPr>
        <w:t>).</w:t>
      </w:r>
    </w:p>
    <w:p w:rsidR="009B48E3" w:rsidRDefault="007A4E67" w:rsidP="001560E7">
      <w:pPr>
        <w:pStyle w:val="NumberedParaAR"/>
      </w:pPr>
      <w:r w:rsidRPr="007A4E67">
        <w:rPr>
          <w:rtl/>
        </w:rPr>
        <w:t>ووافقت الجمعية العامة للويبو، خلال دور</w:t>
      </w:r>
      <w:r>
        <w:rPr>
          <w:rFonts w:hint="cs"/>
          <w:rtl/>
        </w:rPr>
        <w:t>ا</w:t>
      </w:r>
      <w:r w:rsidRPr="007A4E67">
        <w:rPr>
          <w:rtl/>
        </w:rPr>
        <w:t xml:space="preserve">تها السادسة والأربعين </w:t>
      </w:r>
      <w:r>
        <w:rPr>
          <w:rFonts w:hint="cs"/>
          <w:rtl/>
        </w:rPr>
        <w:t>والسابعة والأربعين والثامنة والأربعين</w:t>
      </w:r>
      <w:r w:rsidRPr="007A4E67">
        <w:rPr>
          <w:rtl/>
        </w:rPr>
        <w:t xml:space="preserve"> على التماس اللجنة بالسماح لها بمواصلة مناقشة هاتين المسألتين</w:t>
      </w:r>
      <w:r>
        <w:rPr>
          <w:rFonts w:hint="cs"/>
          <w:rtl/>
        </w:rPr>
        <w:t xml:space="preserve"> </w:t>
      </w:r>
      <w:r w:rsidR="001560E7">
        <w:rPr>
          <w:rFonts w:hint="cs"/>
          <w:rtl/>
        </w:rPr>
        <w:t xml:space="preserve">كما </w:t>
      </w:r>
      <w:r w:rsidR="001560E7">
        <w:rPr>
          <w:rtl/>
        </w:rPr>
        <w:t xml:space="preserve">هو مبين في </w:t>
      </w:r>
      <w:r w:rsidR="001560E7">
        <w:rPr>
          <w:rFonts w:hint="cs"/>
          <w:rtl/>
        </w:rPr>
        <w:t xml:space="preserve">الفقرة 60(ج) من الوثيقة </w:t>
      </w:r>
      <w:r w:rsidR="001560E7" w:rsidRPr="001560E7">
        <w:t>WO/GA/46/12</w:t>
      </w:r>
      <w:r w:rsidR="001560E7">
        <w:rPr>
          <w:rFonts w:hint="cs"/>
          <w:rtl/>
        </w:rPr>
        <w:t xml:space="preserve">، والفقرة 151(ب) من الوثيقة </w:t>
      </w:r>
      <w:r w:rsidR="001560E7" w:rsidRPr="001560E7">
        <w:t>WO/GA/47/19</w:t>
      </w:r>
      <w:r w:rsidR="006311A5">
        <w:rPr>
          <w:rFonts w:hint="cs"/>
          <w:rtl/>
        </w:rPr>
        <w:t>، والفقرة 1</w:t>
      </w:r>
      <w:r w:rsidR="001560E7">
        <w:rPr>
          <w:rFonts w:hint="cs"/>
          <w:rtl/>
        </w:rPr>
        <w:t xml:space="preserve">67(ب) من الوثيقة </w:t>
      </w:r>
      <w:r w:rsidR="001560E7" w:rsidRPr="001560E7">
        <w:t>WO/GA/48/17</w:t>
      </w:r>
      <w:r w:rsidR="001560E7">
        <w:rPr>
          <w:rFonts w:hint="cs"/>
          <w:rtl/>
        </w:rPr>
        <w:t>.</w:t>
      </w:r>
    </w:p>
    <w:p w:rsidR="001560E7" w:rsidRDefault="001560E7" w:rsidP="001560E7">
      <w:pPr>
        <w:pStyle w:val="NumberedParaAR"/>
      </w:pPr>
      <w:r>
        <w:rPr>
          <w:rtl/>
        </w:rPr>
        <w:t>ووافقت اللجنة</w:t>
      </w:r>
      <w:r w:rsidRPr="001560E7">
        <w:rPr>
          <w:rtl/>
        </w:rPr>
        <w:t>، في دورتها التاس</w:t>
      </w:r>
      <w:r w:rsidR="002B16B6">
        <w:rPr>
          <w:rtl/>
        </w:rPr>
        <w:t xml:space="preserve">عة عشرة، على تقديم </w:t>
      </w:r>
      <w:r>
        <w:rPr>
          <w:rtl/>
        </w:rPr>
        <w:t>نص ا</w:t>
      </w:r>
      <w:r>
        <w:rPr>
          <w:rFonts w:hint="cs"/>
          <w:rtl/>
        </w:rPr>
        <w:t>ل</w:t>
      </w:r>
      <w:r w:rsidRPr="001560E7">
        <w:rPr>
          <w:rtl/>
        </w:rPr>
        <w:t>قر</w:t>
      </w:r>
      <w:r>
        <w:rPr>
          <w:rFonts w:hint="cs"/>
          <w:rtl/>
        </w:rPr>
        <w:t>ا</w:t>
      </w:r>
      <w:r w:rsidRPr="001560E7">
        <w:rPr>
          <w:rtl/>
        </w:rPr>
        <w:t xml:space="preserve">ر </w:t>
      </w:r>
      <w:r>
        <w:rPr>
          <w:rFonts w:hint="cs"/>
          <w:rtl/>
        </w:rPr>
        <w:t xml:space="preserve">التالي </w:t>
      </w:r>
      <w:r w:rsidRPr="001560E7">
        <w:rPr>
          <w:rtl/>
        </w:rPr>
        <w:t xml:space="preserve">لتنظر فيه الجمعية العامة للويبو، على </w:t>
      </w:r>
      <w:r w:rsidR="009C172F">
        <w:rPr>
          <w:rtl/>
        </w:rPr>
        <w:t>النحو الوارد في ملحق ملخص الر</w:t>
      </w:r>
      <w:r w:rsidR="009C172F">
        <w:rPr>
          <w:rFonts w:hint="cs"/>
          <w:rtl/>
        </w:rPr>
        <w:t>ئيس</w:t>
      </w:r>
      <w:r>
        <w:rPr>
          <w:rFonts w:hint="cs"/>
          <w:rtl/>
        </w:rPr>
        <w:t>:</w:t>
      </w:r>
    </w:p>
    <w:p w:rsidR="001560E7" w:rsidRDefault="001560E7" w:rsidP="001560E7">
      <w:pPr>
        <w:pStyle w:val="NumberedParaAR"/>
        <w:numPr>
          <w:ilvl w:val="0"/>
          <w:numId w:val="0"/>
        </w:numPr>
        <w:ind w:left="567"/>
        <w:rPr>
          <w:rtl/>
        </w:rPr>
      </w:pPr>
      <w:r>
        <w:rPr>
          <w:rtl/>
        </w:rPr>
        <w:t>"إن الجمعية العامة للويبو:</w:t>
      </w:r>
    </w:p>
    <w:p w:rsidR="001560E7" w:rsidRDefault="001560E7" w:rsidP="002B16B6">
      <w:pPr>
        <w:pStyle w:val="NumberedParaAR"/>
        <w:numPr>
          <w:ilvl w:val="0"/>
          <w:numId w:val="0"/>
        </w:numPr>
        <w:ind w:left="567"/>
        <w:rPr>
          <w:rtl/>
        </w:rPr>
      </w:pPr>
      <w:r>
        <w:rPr>
          <w:rtl/>
        </w:rPr>
        <w:t>"1"</w:t>
      </w:r>
      <w:r>
        <w:rPr>
          <w:rFonts w:hint="cs"/>
          <w:rtl/>
        </w:rPr>
        <w:tab/>
      </w:r>
      <w:r>
        <w:rPr>
          <w:rtl/>
        </w:rPr>
        <w:t xml:space="preserve">تذكّر بالقرار الذي اتخذته في عام 2007 بشأن إنشاء اللجنة المعنية بالتنمية والملكية الفكرية (لجنة التنمية)، الوارد في الوثيقة </w:t>
      </w:r>
      <w:r>
        <w:t>A/43/13 REV</w:t>
      </w:r>
      <w:r>
        <w:rPr>
          <w:rtl/>
        </w:rPr>
        <w:t xml:space="preserve">، وقرارها بشأن آليات التنسيق وإجراءات الرصد والتقييم وإعداد التقارير، الوارد في الوثيقة </w:t>
      </w:r>
      <w:r>
        <w:t>WO/GA/39/7</w:t>
      </w:r>
      <w:r>
        <w:rPr>
          <w:rtl/>
        </w:rPr>
        <w:t>، وتؤكّد من جديد التزامها بتنفيذهما تنفيذا كاملا؛</w:t>
      </w:r>
    </w:p>
    <w:p w:rsidR="001560E7" w:rsidRDefault="001560E7" w:rsidP="001560E7">
      <w:pPr>
        <w:pStyle w:val="NumberedParaAR"/>
        <w:numPr>
          <w:ilvl w:val="0"/>
          <w:numId w:val="0"/>
        </w:numPr>
        <w:ind w:left="567"/>
        <w:rPr>
          <w:rtl/>
        </w:rPr>
      </w:pPr>
      <w:r>
        <w:rPr>
          <w:rtl/>
        </w:rPr>
        <w:t>"2"</w:t>
      </w:r>
      <w:r>
        <w:rPr>
          <w:rFonts w:hint="cs"/>
          <w:rtl/>
        </w:rPr>
        <w:tab/>
      </w:r>
      <w:r>
        <w:rPr>
          <w:rtl/>
        </w:rPr>
        <w:t xml:space="preserve">وتؤكّد مجددا على المبادئ الواردة في المرفق الثاني من الوثيقة </w:t>
      </w:r>
      <w:r>
        <w:t>WO/GA/39/7</w:t>
      </w:r>
      <w:r>
        <w:rPr>
          <w:rtl/>
        </w:rPr>
        <w:t>؛</w:t>
      </w:r>
    </w:p>
    <w:p w:rsidR="001560E7" w:rsidRDefault="001560E7" w:rsidP="001560E7">
      <w:pPr>
        <w:pStyle w:val="NumberedParaAR"/>
        <w:numPr>
          <w:ilvl w:val="0"/>
          <w:numId w:val="0"/>
        </w:numPr>
        <w:ind w:left="567"/>
        <w:rPr>
          <w:rtl/>
        </w:rPr>
      </w:pPr>
      <w:r>
        <w:rPr>
          <w:rtl/>
        </w:rPr>
        <w:t>"3"</w:t>
      </w:r>
      <w:r>
        <w:rPr>
          <w:rFonts w:hint="cs"/>
          <w:rtl/>
        </w:rPr>
        <w:tab/>
      </w:r>
      <w:r>
        <w:rPr>
          <w:rtl/>
        </w:rPr>
        <w:t>وتؤكّد مجددا على حق كل دولة عضو في التعبير عن آرائها في جميع لجان الويبو؛</w:t>
      </w:r>
    </w:p>
    <w:p w:rsidR="001560E7" w:rsidRDefault="001560E7" w:rsidP="001560E7">
      <w:pPr>
        <w:pStyle w:val="NumberedParaAR"/>
        <w:numPr>
          <w:ilvl w:val="0"/>
          <w:numId w:val="0"/>
        </w:numPr>
        <w:ind w:left="567"/>
        <w:rPr>
          <w:rtl/>
        </w:rPr>
      </w:pPr>
      <w:r>
        <w:rPr>
          <w:rtl/>
        </w:rPr>
        <w:lastRenderedPageBreak/>
        <w:t>"4"</w:t>
      </w:r>
      <w:r>
        <w:rPr>
          <w:rFonts w:hint="cs"/>
          <w:rtl/>
        </w:rPr>
        <w:tab/>
      </w:r>
      <w:r>
        <w:rPr>
          <w:rtl/>
        </w:rPr>
        <w:t xml:space="preserve">وتحيط علما بنتيجة النقاشات التي دارت بشأن المسائل الواردة في الوثيقة </w:t>
      </w:r>
      <w:r>
        <w:t>CDIP/18/10</w:t>
      </w:r>
      <w:r>
        <w:rPr>
          <w:rtl/>
        </w:rPr>
        <w:t>؛</w:t>
      </w:r>
    </w:p>
    <w:p w:rsidR="001560E7" w:rsidRDefault="001560E7" w:rsidP="001560E7">
      <w:pPr>
        <w:pStyle w:val="NumberedParaAR"/>
        <w:numPr>
          <w:ilvl w:val="0"/>
          <w:numId w:val="0"/>
        </w:numPr>
        <w:ind w:left="567"/>
        <w:rPr>
          <w:rtl/>
        </w:rPr>
      </w:pPr>
      <w:r>
        <w:rPr>
          <w:rtl/>
        </w:rPr>
        <w:t>"5"</w:t>
      </w:r>
      <w:r>
        <w:rPr>
          <w:rFonts w:hint="cs"/>
          <w:rtl/>
        </w:rPr>
        <w:tab/>
      </w:r>
      <w:proofErr w:type="gramStart"/>
      <w:r>
        <w:rPr>
          <w:rtl/>
        </w:rPr>
        <w:t>وتقرّر</w:t>
      </w:r>
      <w:proofErr w:type="gramEnd"/>
      <w:r>
        <w:rPr>
          <w:rtl/>
        </w:rPr>
        <w:t xml:space="preserve"> إضافة بند جديد إلى جدول أعمال لجنة التنمية، بعنوان الملكية الفكرية والتنمية، لمناقشة المسائل المرتبطة بالملكية الفكرية والتنمية التي وافقت عليها اللجنة، فضلا عن المسائل التي أقرّتها الجمعية العامة."</w:t>
      </w:r>
    </w:p>
    <w:p w:rsidR="001560E7" w:rsidRDefault="001560E7" w:rsidP="001560E7">
      <w:pPr>
        <w:pStyle w:val="DecisionParaAR"/>
        <w:rPr>
          <w:rtl/>
        </w:rPr>
      </w:pPr>
      <w:r w:rsidRPr="001560E7">
        <w:rPr>
          <w:rtl/>
        </w:rPr>
        <w:t>إن</w:t>
      </w:r>
      <w:r>
        <w:rPr>
          <w:rFonts w:hint="cs"/>
          <w:rtl/>
        </w:rPr>
        <w:t>ّ</w:t>
      </w:r>
      <w:r w:rsidRPr="001560E7">
        <w:rPr>
          <w:rtl/>
        </w:rPr>
        <w:t xml:space="preserve"> الجمعية العامة للويبو مدع</w:t>
      </w:r>
      <w:r>
        <w:rPr>
          <w:rtl/>
        </w:rPr>
        <w:t>وة إلى ال</w:t>
      </w:r>
      <w:r>
        <w:rPr>
          <w:rFonts w:hint="cs"/>
          <w:rtl/>
        </w:rPr>
        <w:t xml:space="preserve">نظر </w:t>
      </w:r>
      <w:bookmarkStart w:id="2" w:name="_GoBack"/>
      <w:bookmarkEnd w:id="2"/>
      <w:r>
        <w:rPr>
          <w:rFonts w:hint="cs"/>
          <w:rtl/>
        </w:rPr>
        <w:t>في نص القرار الوارد أعلاه.</w:t>
      </w:r>
    </w:p>
    <w:p w:rsidR="001560E7" w:rsidRPr="001560E7" w:rsidRDefault="001560E7" w:rsidP="001560E7">
      <w:pPr>
        <w:pStyle w:val="EndofDocumentAR"/>
      </w:pPr>
      <w:r>
        <w:rPr>
          <w:rtl/>
        </w:rPr>
        <w:t>[</w:t>
      </w:r>
      <w:proofErr w:type="gramStart"/>
      <w:r>
        <w:rPr>
          <w:rtl/>
        </w:rPr>
        <w:t>نهاية</w:t>
      </w:r>
      <w:proofErr w:type="gramEnd"/>
      <w:r>
        <w:rPr>
          <w:rtl/>
        </w:rPr>
        <w:t xml:space="preserve"> الوثيقة]</w:t>
      </w:r>
    </w:p>
    <w:sectPr w:rsidR="001560E7" w:rsidRPr="001560E7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281" w:rsidRDefault="00744281">
      <w:r>
        <w:separator/>
      </w:r>
    </w:p>
  </w:endnote>
  <w:endnote w:type="continuationSeparator" w:id="0">
    <w:p w:rsidR="00744281" w:rsidRDefault="0074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281" w:rsidRDefault="0074428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744281" w:rsidRDefault="00744281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983389" w:rsidP="000C0C72">
    <w:r>
      <w:t>W</w:t>
    </w:r>
    <w:r w:rsidR="00772E46">
      <w:t>O/</w:t>
    </w:r>
    <w:r w:rsidR="0059089F">
      <w:t>GA</w:t>
    </w:r>
    <w:r w:rsidR="002F77FC">
      <w:t>/</w:t>
    </w:r>
    <w:r w:rsidR="009B48E3">
      <w:t>4</w:t>
    </w:r>
    <w:r w:rsidR="000C0C72">
      <w:t>9</w:t>
    </w:r>
    <w:r w:rsidR="00F13E14">
      <w:t>/</w:t>
    </w:r>
    <w:r w:rsidR="00F13E14">
      <w:rPr>
        <w:rFonts w:hint="cs"/>
        <w:rtl/>
      </w:rPr>
      <w:t>10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313F8B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E67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0C72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BA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0E7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74D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6B6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3F8B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089F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1A5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2E40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281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4E67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377F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86C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48E3"/>
    <w:rsid w:val="009B528E"/>
    <w:rsid w:val="009B54FE"/>
    <w:rsid w:val="009B77DD"/>
    <w:rsid w:val="009C13BF"/>
    <w:rsid w:val="009C172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46B0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6F8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34F7"/>
    <w:rsid w:val="00A843FC"/>
    <w:rsid w:val="00A84B58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6ACD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A7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3C3E"/>
    <w:rsid w:val="00F04E62"/>
    <w:rsid w:val="00F050AA"/>
    <w:rsid w:val="00F05E6D"/>
    <w:rsid w:val="00F11800"/>
    <w:rsid w:val="00F11B61"/>
    <w:rsid w:val="00F135D6"/>
    <w:rsid w:val="00F13922"/>
    <w:rsid w:val="00F13DBC"/>
    <w:rsid w:val="00F13E14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781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46B0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1E574D"/>
    <w:pPr>
      <w:keepNext/>
      <w:bidi/>
      <w:spacing w:before="240" w:after="60" w:line="400" w:lineRule="exact"/>
      <w:outlineLvl w:val="0"/>
    </w:pPr>
    <w:rPr>
      <w:rFonts w:ascii="Arabic Typesetting" w:hAnsi="Arabic Typesetting" w:cs="Arabic Typesetting"/>
      <w:bCs/>
      <w:sz w:val="40"/>
      <w:szCs w:val="40"/>
    </w:rPr>
  </w:style>
  <w:style w:type="paragraph" w:styleId="Heading2">
    <w:name w:val="heading 2"/>
    <w:basedOn w:val="Normal"/>
    <w:next w:val="Normal"/>
    <w:qFormat/>
    <w:rsid w:val="001E574D"/>
    <w:pPr>
      <w:keepNext/>
      <w:bidi/>
      <w:spacing w:before="240" w:after="60" w:line="400" w:lineRule="exact"/>
      <w:outlineLvl w:val="1"/>
    </w:pPr>
    <w:rPr>
      <w:rFonts w:ascii="Arabic Typesetting" w:hAnsi="Arabic Typesetting" w:cs="Arabic Typesetting"/>
      <w:sz w:val="40"/>
      <w:szCs w:val="40"/>
    </w:rPr>
  </w:style>
  <w:style w:type="paragraph" w:styleId="Heading3">
    <w:name w:val="heading 3"/>
    <w:basedOn w:val="Normal"/>
    <w:next w:val="Normal"/>
    <w:qFormat/>
    <w:rsid w:val="001E574D"/>
    <w:pPr>
      <w:keepNext/>
      <w:bidi/>
      <w:spacing w:before="120" w:after="6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</w:rPr>
  </w:style>
  <w:style w:type="paragraph" w:styleId="Heading4">
    <w:name w:val="heading 4"/>
    <w:basedOn w:val="Normal"/>
    <w:next w:val="Normal"/>
    <w:qFormat/>
    <w:rsid w:val="001E574D"/>
    <w:pPr>
      <w:keepNext/>
      <w:bidi/>
      <w:spacing w:before="120" w:after="60" w:line="360" w:lineRule="exact"/>
      <w:outlineLvl w:val="3"/>
    </w:pPr>
    <w:rPr>
      <w:rFonts w:ascii="Arabic Typesetting" w:hAnsi="Arabic Typesetting" w:cs="Arabic Typesetting"/>
      <w:i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A246B0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46B0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1E574D"/>
    <w:pPr>
      <w:keepNext/>
      <w:bidi/>
      <w:spacing w:before="240" w:after="60" w:line="400" w:lineRule="exact"/>
      <w:outlineLvl w:val="0"/>
    </w:pPr>
    <w:rPr>
      <w:rFonts w:ascii="Arabic Typesetting" w:hAnsi="Arabic Typesetting" w:cs="Arabic Typesetting"/>
      <w:bCs/>
      <w:sz w:val="40"/>
      <w:szCs w:val="40"/>
    </w:rPr>
  </w:style>
  <w:style w:type="paragraph" w:styleId="Heading2">
    <w:name w:val="heading 2"/>
    <w:basedOn w:val="Normal"/>
    <w:next w:val="Normal"/>
    <w:qFormat/>
    <w:rsid w:val="001E574D"/>
    <w:pPr>
      <w:keepNext/>
      <w:bidi/>
      <w:spacing w:before="240" w:after="60" w:line="400" w:lineRule="exact"/>
      <w:outlineLvl w:val="1"/>
    </w:pPr>
    <w:rPr>
      <w:rFonts w:ascii="Arabic Typesetting" w:hAnsi="Arabic Typesetting" w:cs="Arabic Typesetting"/>
      <w:sz w:val="40"/>
      <w:szCs w:val="40"/>
    </w:rPr>
  </w:style>
  <w:style w:type="paragraph" w:styleId="Heading3">
    <w:name w:val="heading 3"/>
    <w:basedOn w:val="Normal"/>
    <w:next w:val="Normal"/>
    <w:qFormat/>
    <w:rsid w:val="001E574D"/>
    <w:pPr>
      <w:keepNext/>
      <w:bidi/>
      <w:spacing w:before="120" w:after="6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</w:rPr>
  </w:style>
  <w:style w:type="paragraph" w:styleId="Heading4">
    <w:name w:val="heading 4"/>
    <w:basedOn w:val="Normal"/>
    <w:next w:val="Normal"/>
    <w:qFormat/>
    <w:rsid w:val="001E574D"/>
    <w:pPr>
      <w:keepNext/>
      <w:bidi/>
      <w:spacing w:before="120" w:after="60" w:line="360" w:lineRule="exact"/>
      <w:outlineLvl w:val="3"/>
    </w:pPr>
    <w:rPr>
      <w:rFonts w:ascii="Arabic Typesetting" w:hAnsi="Arabic Typesetting" w:cs="Arabic Typesetting"/>
      <w:i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A246B0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WO_GA_49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20285-212B-46C4-9B1B-E9E66FDA3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WO_GA_49_AR.dotx</Template>
  <TotalTime>23</TotalTime>
  <Pages>2</Pages>
  <Words>290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WO/GA/49/-- (Arabic)</vt:lpstr>
    </vt:vector>
  </TitlesOfParts>
  <Company>World Intellectual Property Organization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WO/GA/49/-- (Arabic)</dc:title>
  <dc:creator>Basel Alakhras</dc:creator>
  <cp:lastModifiedBy>YOUSSEF Randa</cp:lastModifiedBy>
  <cp:revision>5</cp:revision>
  <cp:lastPrinted>2017-06-19T13:32:00Z</cp:lastPrinted>
  <dcterms:created xsi:type="dcterms:W3CDTF">2017-06-19T07:54:00Z</dcterms:created>
  <dcterms:modified xsi:type="dcterms:W3CDTF">2017-06-19T13:32:00Z</dcterms:modified>
</cp:coreProperties>
</file>